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Dekret nr. 2020-1757 av den 29 december 2020</w:t>
      </w:r>
      <w:r>
        <w:rPr>
          <w:b/>
          <w:sz w:val="36"/>
          <w:rFonts w:ascii="Times New Roman" w:hAnsi="Times New Roman"/>
        </w:rPr>
        <w:br/>
      </w:r>
      <w:r>
        <w:rPr>
          <w:b/>
          <w:sz w:val="36"/>
          <w:rFonts w:ascii="Times New Roman" w:hAnsi="Times New Roman"/>
        </w:rPr>
        <w:t xml:space="preserve">om reparerbarhetsindexet för elektrisk och elektronisk utrustning</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Ursprunglig version</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Målgrupper: tillverkare, importörer, distributörer eller andra personer som släpper ut elektrisk och elektronisk utrustning på marknaden liksom försäljare av samma utrustning samt de som driver en webbplats, en plattform eller någon annan elektronisk distributionskanal inom ramen för sin yrkesmässiga verksamhet i Frankrike.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Angående: genomförandebestämmelser för det reparerbarhetsindex som definieras i artikel L541-9-2 i miljöbalken.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Ikraftträdande: texten träder i kraft den 1 januari 2021.</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Meddelande: i detta dekret fastställs förfarandena för genomförandet av artikel L541-9-2 i miljöbalken, som föreskriver införande av ett reparerbarhetsindex för vissa kategorier av elektriska och elektroniska produkter.</w:t>
      </w:r>
      <w:r>
        <w:rPr>
          <w:sz w:val="24"/>
          <w:rFonts w:ascii="Times New Roman" w:hAnsi="Times New Roman"/>
        </w:rPr>
        <w:t xml:space="preserve"> </w:t>
      </w:r>
      <w:r>
        <w:rPr>
          <w:sz w:val="24"/>
          <w:rFonts w:ascii="Times New Roman" w:hAnsi="Times New Roman"/>
        </w:rPr>
        <w:t xml:space="preserve">Det ska särskilt ange kriterier och parametrar för den beräkning som används för att upprätta detta index samt den allmänna ramen för skyldigheterna i samband med dess kommunikation och presentation.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Detta dekret finns tillgängligt på webbplatsen tillhörande Légifrance (</w:t>
      </w:r>
      <w:r>
        <w:rPr>
          <w:sz w:val="24"/>
          <w:rFonts w:ascii="Times New Roman" w:hAnsi="Times New Roman"/>
        </w:rPr>
        <w:t xml:space="preserve">http://www.legifrance.gouv.fr</w:t>
      </w:r>
      <w:r>
        <w:rPr>
          <w:sz w:val="24"/>
          <w:rFonts w:ascii="Times New Roman" w:hAnsi="Times New Roman"/>
        </w:rPr>
        <w:t xml:space="preserve">).</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Premiärministern har antagit detta dekret</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Om rapporten från ministern för ekologisk övergång och ekonomi-, finans- och återhämtningsministern,</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Med beaktande av Europaparlamentets och rådets direktiv 2008/98/EG av den 19 november 2008 om avfall och om upphävande av vissa direktiv, senast ändrat genom direktiv (EU) 2018/851 av den 30 maj 2018;</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Med beaktande av Europaparlamentets och rådets direktiv (EU) 2015/1535 av den 9 september 2015 om ett informationsförfarande beträffande tekniska föreskrifter för informationssamhällets tjänster, tillsammans med anmälan som skickades till Europeiska kommissionen den 21 juli 2020;</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Med beaktande av miljölagen, särskilt artikel L541-9-2 i dess lydelse i artikel 16 i lag nr 2020-105 av den 10 februari 2020 om bekämpningen av resursslöseri och om den cirkulära ekonomin;</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Med beaktande av lag nr 2020-105 om kampen mot avfall och om cirkulär ekonomi, särskilt artiklarna 16, 29 och 130 i denna;</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Med beaktande av de synpunkter som framfördes under det offentliga samrådet mellan den 21 juli 2020 och den 17 augusti 2020 i enlighet med artikel L123-19-1 i miljöbalken;</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Efter att ha hört statsrådet (avdelningen för offentlig arbete),</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Härigenom föreskrivs följande.</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1</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Kapitel I i titel IV i bok V i miljöbalkens regleringsdel ska kompletteras med följande avsnitt 9 med följande lydelse:</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”Avsnitt 9 Information till allmänheten om avfallsgenererande produkter”</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”Underavsnitt 1 Visning av reparerbarhetsindex</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R541-210.</w:t>
      </w:r>
      <w:r>
        <w:rPr>
          <w:sz w:val="24"/>
          <w:rFonts w:ascii="Times New Roman" w:hAnsi="Times New Roman"/>
        </w:rPr>
        <w:t xml:space="preserve"> </w:t>
      </w:r>
      <w:r>
        <w:rPr>
          <w:sz w:val="24"/>
          <w:rFonts w:ascii="Times New Roman" w:hAnsi="Times New Roman"/>
        </w:rPr>
        <w:t xml:space="preserve">- Reparerbarhetsindexet för elektriska och elektroniska produkter som definieras i artikel L541-9-2 består av ett poängtal av tio som ska tillhandahållas konsumenterna vid köp av ny utrustning.</w:t>
      </w:r>
      <w:r>
        <w:rPr>
          <w:sz w:val="24"/>
          <w:rFonts w:ascii="Times New Roman" w:hAnsi="Times New Roman"/>
        </w:rPr>
        <w:br/>
      </w:r>
      <w:r>
        <w:rPr>
          <w:sz w:val="24"/>
          <w:rFonts w:ascii="Times New Roman" w:hAnsi="Times New Roman"/>
        </w:rPr>
        <w:t xml:space="preserve">”Detta index avser var och en av denna utrustnings modeller.</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R541-211.</w:t>
      </w:r>
      <w:r>
        <w:rPr>
          <w:sz w:val="24"/>
          <w:rFonts w:ascii="Times New Roman" w:hAnsi="Times New Roman"/>
        </w:rPr>
        <w:t xml:space="preserve"> </w:t>
      </w:r>
      <w:r>
        <w:rPr>
          <w:sz w:val="24"/>
          <w:rFonts w:ascii="Times New Roman" w:hAnsi="Times New Roman"/>
        </w:rPr>
        <w:t xml:space="preserve">- I detta avsnitt gäller följande definitioner:</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”Tillhandahållande på marknaden”: leveranser av elektriska eller elektroniska produkter som är avsedda att distribueras eller användas på den nationella marknaden i samband med kommersiell verksamhet, mot betalning eller kostnadsfritt;</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”Placering på marknaden”: det första tillhandahållandet av elektrisk eller elektronisk utrustning på den inhemska marknaden;</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”Importör”: varje fysisk eller juridisk person som släpper ut elektrisk eller elektronisk utrustning från Europeiska unionens medlemsstater eller från tredje land på den inhemska marknaden;</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”Säljare”: varje fysisk eller juridisk person som inom ramen för en yrkesmässig verksamhet tillhandahåller elektrisk eller elektronisk utrustning för konsumenter genom försäljning, inbegripet på distans;</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”Distansförsäljning”: distansavtal mellan en yrkesmässig säljare och en konsument inom ramen för ett organiserat system för försäljning, utan näringsidkarens och konsumentens samtidiga närvaro, som enbart ingås med hjälp av ett eller flera medel för distanskommunikation;</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w:t>
      </w:r>
      <w:r>
        <w:rPr>
          <w:sz w:val="24"/>
          <w:rFonts w:ascii="Times New Roman" w:hAnsi="Times New Roman"/>
        </w:rPr>
        <w:t xml:space="preserve"> </w:t>
      </w:r>
      <w:r>
        <w:rPr>
          <w:sz w:val="24"/>
          <w:rFonts w:ascii="Times New Roman" w:hAnsi="Times New Roman"/>
        </w:rPr>
        <w:t xml:space="preserve">”Modell”: en version av en apparat vars enheter har samma relevanta tekniska egenskaper för beräkningen av reparerbarhetsindexet.</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”De övriga termerna förstås i enlighet med bestämmelserna i artikel R543-171-2, ”producent” som betyder ”tillverkare” i den mening som avses i denna artikel.</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R541-212.</w:t>
      </w:r>
      <w:r>
        <w:rPr>
          <w:sz w:val="24"/>
          <w:rFonts w:ascii="Times New Roman" w:hAnsi="Times New Roman"/>
        </w:rPr>
        <w:t xml:space="preserve"> </w:t>
      </w:r>
      <w:r>
        <w:rPr>
          <w:sz w:val="24"/>
          <w:rFonts w:ascii="Times New Roman" w:hAnsi="Times New Roman"/>
        </w:rPr>
        <w:t xml:space="preserve">- I.- Tillverkarna eller importörerna ska upprätta reparerbarhetsindexet för den elektriska eller elektroniska utrustning som de släpper ut på marknaden samt de parametrar med vilka det har upprättats enligt de metoder som fastställs genom den förordning som refereras till i artikel R541-214(III).</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Tillverkarna eller importörerna ska, utan kostnad och i papperslöst format, meddela distributörerna eller säljarna vid saluföring och leverans av den elektriska eller elektroniska utrustningen följande för varje apparatmodell som släpps på marknaden:</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Reparerbarhetsindex i enlighet med de villkor och skyltar som föreskrivs i det beslut som avses i artikel Article R541-213(I);</w:t>
      </w:r>
      <w:r>
        <w:rPr>
          <w:sz w:val="24"/>
          <w:rFonts w:ascii="Times New Roman" w:hAnsi="Times New Roman"/>
        </w:rPr>
        <w:br/>
      </w: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De parametrar som gjorde det möjligt att fastställa reparerbarhetsindex i enlighet med det format som föreskrivs i den förordning som refereras till i artikel R541-213(I).</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Om distributören och säljaren inte är desamma ska distributören kostnadsfritt och på samma villkor som anges i II informera säljaren om indexet och parametrarna för dess beräkning vid tidpunkten för hänvisning och leverans av elektriska och elektroniska produkter.</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 Dessutom får indexet fästas direkt på varje utrustning eller på förpackningen genom märkning, i enlighet med de skyltar som föreskrivs i den förordning som refereras till i artikel R541-213(I).</w:t>
      </w:r>
      <w:r>
        <w:rPr>
          <w:sz w:val="24"/>
          <w:rFonts w:ascii="Times New Roman" w:hAnsi="Times New Roman"/>
        </w:rPr>
        <w:br/>
      </w:r>
      <w:r>
        <w:rPr>
          <w:sz w:val="24"/>
          <w:rFonts w:ascii="Times New Roman" w:hAnsi="Times New Roman"/>
        </w:rPr>
        <w:t xml:space="preserve">‘V.- Tillverkarna och importörerna ska utan kostnad och inom 15 dagar meddela de uppgifter som anges i punkt II till varje person som begär dem under en period på minst två år efter det att den senaste enheten av en apparatmodell har släppts ut på marknaden.</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R541-213.</w:t>
      </w:r>
      <w:r>
        <w:rPr>
          <w:sz w:val="24"/>
          <w:rFonts w:ascii="Times New Roman" w:hAnsi="Times New Roman"/>
        </w:rPr>
        <w:t xml:space="preserve"> </w:t>
      </w:r>
      <w:r>
        <w:rPr>
          <w:sz w:val="24"/>
          <w:rFonts w:ascii="Times New Roman" w:hAnsi="Times New Roman"/>
        </w:rPr>
        <w:t xml:space="preserve">- I. - Om elektriska eller elektroniska produkter bjuds ut till försäljning i butiker ska säljaren, i enlighet med de förfaranden och de skyltar som föreskrivs i beslut av ministern med ansvar för miljö och ekonomi, tydligt ange det reparerbarhetsindex som tillverkaren eller importören tillhandahåller på varje produkt som föreslås för försäljning eller i omedelbar närhet.</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Om elektrisk eller elektronisk utrustning bjuds ut till försäljning på distans ska säljaren på ett synligt sätt visa reparerbarhetsindexet i presentationen av utrustningen och i närheten av dess pris, i enlighet med de villkor som anges i den förordning som anges i I.</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Säljaren ska också ge konsumenterna tillgång till de parametrar som möjliggjorde att utrustningens reparerbarhetsindex kunde fastställas på lämpligt sätt.</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R541-214.</w:t>
      </w:r>
      <w:r>
        <w:rPr>
          <w:sz w:val="24"/>
          <w:rFonts w:ascii="Times New Roman" w:hAnsi="Times New Roman"/>
        </w:rPr>
        <w:t xml:space="preserve"> </w:t>
      </w:r>
      <w:r>
        <w:rPr>
          <w:sz w:val="24"/>
          <w:rFonts w:ascii="Times New Roman" w:hAnsi="Times New Roman"/>
        </w:rPr>
        <w:t xml:space="preserve">- I. - Reparerbarhetsindexet ska beräknas med hjälp av följande parametrar:</w:t>
      </w:r>
      <w:r>
        <w:rPr>
          <w:sz w:val="24"/>
          <w:rFonts w:ascii="Times New Roman" w:hAnsi="Times New Roman"/>
        </w:rPr>
        <w:br/>
      </w:r>
      <w:r>
        <w:rPr>
          <w:sz w:val="24"/>
          <w:rFonts w:ascii="Times New Roman" w:hAnsi="Times New Roman"/>
        </w:rPr>
        <w:t xml:space="preserve">‘1° En siffra mellan ett och tjugo som avser hur länge den tekniska dokumentationen finns tillgänglig och rådgivning vad gäller användning och underhåll för tillverkare, reparatörer och konsumenter;</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En siffra mellan ett och tjugo som avser utrustningens demonteringsegenskaper: antal arbetsmoment för demontering för enskild åtkomst till reservdelar, egenskaper hos erforderliga verktyg och fastsättning mellan reservdelar;</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En siffra mellan ett och tjugo som avser hur länge reservdelarna finns tillgängliga på marknaden och leveranstider för tillverkare, distributörer av reservdelar, reparatörer och konsumenter;</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En siffra mellan ett och tjugo som avser förhållandet mellan tillverkarens eller importörens försäljningspris på delarna och tillverkarens eller importörens försäljningspris på utrustningen, beräknat enligt de metoder som fastställs genom förordning;</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En siffra mellan ett och tjugo som avser de specifika kriterierna för berörd utrustningskategori.</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Reparerbarhetsindexet erhålls genom addition av de fem erhållna siffrorna och efterföljande division av totalsumman med tio för att ange en sammanfattande poängsumma på en skala mellan 1 och 10.</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Genom en förordning från miljöministern och ekonomi- och finansministern fastställs för varje kategori av elektronisk och elektrisk utrustning alla kriterier och underkriterier, inbegripet de för kategorin specifika kriterierna samt beräkningsmetoderna för indexet.</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2</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Bestämmelserna i detta dekret träder i kraft från och med den 1 januari 2021.</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3</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Ministern för ekologisk omställning och ekonomi- och finansministern ansvarar var och en inom sitt område för tillämpningen av detta dekret, som kommer att offentliggöras i Republiken Frankrikes officiella tidning (Journal officiel).</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Daterat den 29 december 2020.</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Jean Castex Av premiärministern:</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Minister för ekologisk övergång, 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Bruno Le Maire, ekonomi-, finans- och återhämtningsminister</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