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1C74" w:rsidRPr="00817DDD" w:rsidRDefault="00591C74" w:rsidP="00591C74">
      <w:pPr>
        <w:spacing w:after="120"/>
        <w:ind w:right="14"/>
        <w:jc w:val="center"/>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0469 F-- CS- ------ 20200729 --- --- PROJET</w:t>
      </w:r>
    </w:p>
    <w:p w:rsidR="00A920F2" w:rsidRDefault="00515C32" w:rsidP="00591C74">
      <w:pPr>
        <w:autoSpaceDE w:val="0"/>
        <w:spacing w:after="0" w:line="240" w:lineRule="auto"/>
        <w:jc w:val="right"/>
      </w:pPr>
      <w:r>
        <w:rPr>
          <w:color w:val="000000"/>
          <w:sz w:val="24"/>
          <w:rFonts w:ascii="Times New Roman" w:hAnsi="Times New Roman"/>
        </w:rPr>
        <w:t xml:space="preserve">Dne XXXX 2020</w:t>
      </w:r>
    </w:p>
    <w:p w:rsidR="00A920F2" w:rsidRDefault="00A920F2" w:rsidP="00591C74">
      <w:pPr>
        <w:autoSpaceDE w:val="0"/>
        <w:spacing w:after="0" w:line="240" w:lineRule="auto"/>
        <w:jc w:val="center"/>
      </w:pPr>
    </w:p>
    <w:p w:rsidR="00A920F2" w:rsidRDefault="00A920F2" w:rsidP="00591C74">
      <w:pPr>
        <w:autoSpaceDE w:val="0"/>
        <w:spacing w:after="0" w:line="240" w:lineRule="auto"/>
        <w:jc w:val="center"/>
      </w:pPr>
    </w:p>
    <w:p w:rsidR="00A920F2" w:rsidRDefault="00515C32" w:rsidP="00591C74">
      <w:pPr>
        <w:autoSpaceDE w:val="0"/>
        <w:spacing w:after="0" w:line="240" w:lineRule="auto"/>
        <w:jc w:val="center"/>
      </w:pPr>
      <w:r>
        <w:rPr>
          <w:b/>
          <w:color w:val="000000"/>
          <w:sz w:val="24"/>
          <w:rFonts w:ascii="Times New Roman" w:hAnsi="Times New Roman"/>
        </w:rPr>
        <w:t xml:space="preserve">Vyhláška ze dne XXXX týkající se způsobů zobrazení, štítkování a obecných parametrů pro výpočet indexu opravitelnosti.</w:t>
      </w:r>
    </w:p>
    <w:p w:rsidR="00A920F2" w:rsidRDefault="00A920F2" w:rsidP="00591C74">
      <w:pPr>
        <w:autoSpaceDE w:val="0"/>
        <w:spacing w:after="0" w:line="240" w:lineRule="auto"/>
        <w:jc w:val="center"/>
      </w:pPr>
    </w:p>
    <w:p w:rsidR="00A920F2" w:rsidRDefault="00515C32" w:rsidP="00591C74">
      <w:pPr>
        <w:autoSpaceDE w:val="0"/>
        <w:spacing w:after="0" w:line="240" w:lineRule="auto"/>
        <w:jc w:val="center"/>
      </w:pPr>
      <w:r>
        <w:rPr>
          <w:color w:val="000000"/>
          <w:sz w:val="24"/>
          <w:rFonts w:ascii="Times New Roman" w:hAnsi="Times New Roman"/>
        </w:rPr>
        <w:t xml:space="preserve">NOR:</w:t>
      </w:r>
      <w:r>
        <w:rPr>
          <w:color w:val="000000"/>
          <w:sz w:val="24"/>
          <w:rFonts w:ascii="Times New Roman" w:hAnsi="Times New Roman"/>
        </w:rPr>
        <w:t xml:space="preserve"> </w:t>
      </w:r>
      <w:r>
        <w:rPr>
          <w:color w:val="000000"/>
          <w:sz w:val="24"/>
          <w:rFonts w:ascii="Times New Roman" w:hAnsi="Times New Roman"/>
        </w:rPr>
        <w:t xml:space="preserve">XXXXX</w:t>
      </w:r>
    </w:p>
    <w:p w:rsidR="00A920F2" w:rsidRDefault="00A920F2" w:rsidP="00591C74">
      <w:pPr>
        <w:autoSpaceDE w:val="0"/>
        <w:spacing w:after="0" w:line="240" w:lineRule="auto"/>
      </w:pPr>
    </w:p>
    <w:p w:rsidR="00A920F2" w:rsidRDefault="00A920F2" w:rsidP="00591C74">
      <w:pPr>
        <w:autoSpaceDE w:val="0"/>
        <w:spacing w:after="0" w:line="240" w:lineRule="auto"/>
      </w:pPr>
    </w:p>
    <w:p w:rsidR="00A920F2" w:rsidRDefault="00A920F2" w:rsidP="00591C74">
      <w:pPr>
        <w:autoSpaceDE w:val="0"/>
        <w:spacing w:after="0" w:line="240" w:lineRule="auto"/>
      </w:pPr>
    </w:p>
    <w:p w:rsidR="00A920F2" w:rsidRDefault="00515C32" w:rsidP="002A489A">
      <w:pPr>
        <w:autoSpaceDE w:val="0"/>
        <w:spacing w:after="0" w:line="240" w:lineRule="auto"/>
        <w:jc w:val="both"/>
      </w:pPr>
      <w:r>
        <w:rPr>
          <w:color w:val="000000"/>
          <w:sz w:val="24"/>
          <w:rFonts w:ascii="Times New Roman" w:hAnsi="Times New Roman"/>
        </w:rPr>
        <w:t xml:space="preserve">Ministryně pro ekologický přechod a ministr hospodářství a financí</w:t>
      </w:r>
    </w:p>
    <w:p w:rsidR="00A920F2" w:rsidRDefault="00A920F2" w:rsidP="002A489A">
      <w:pPr>
        <w:autoSpaceDE w:val="0"/>
        <w:spacing w:after="0" w:line="240" w:lineRule="auto"/>
        <w:jc w:val="both"/>
      </w:pPr>
    </w:p>
    <w:p w:rsidR="00A920F2" w:rsidRPr="00BD3BED" w:rsidRDefault="00515C32" w:rsidP="002A489A">
      <w:pPr>
        <w:autoSpaceDE w:val="0"/>
        <w:spacing w:after="0" w:line="240" w:lineRule="auto"/>
        <w:jc w:val="both"/>
        <w:rPr>
          <w:color w:val="000000"/>
          <w:sz w:val="24"/>
          <w:rFonts w:ascii="Times New Roman" w:hAnsi="Times New Roman" w:cs="Times New Roman"/>
        </w:rPr>
      </w:pPr>
      <w:r>
        <w:rPr>
          <w:color w:val="000000"/>
          <w:sz w:val="24"/>
          <w:rFonts w:ascii="Times New Roman" w:hAnsi="Times New Roman"/>
        </w:rPr>
        <w:t xml:space="preserve">s ohledem na nařízení Komise (EU) 2019/2021 ze dne 1. října 2019, které stanoví požadavky ekologického navrhování pro elektronická zobrazovací zařízení v souladu se směrnicí Evropského parlamentu a Rady 2009/125/ES, kterým se pozměňuje nařízení Komise (ES) č. 1275/2008 a zrušuje nařízení Komise (ES) č. 642 /2009</w:t>
      </w:r>
    </w:p>
    <w:p w:rsidR="00A920F2" w:rsidRDefault="00A920F2" w:rsidP="002A489A">
      <w:pPr>
        <w:autoSpaceDE w:val="0"/>
        <w:spacing w:after="0" w:line="240" w:lineRule="auto"/>
        <w:jc w:val="both"/>
      </w:pPr>
    </w:p>
    <w:p w:rsidR="00A920F2" w:rsidRDefault="00515C32" w:rsidP="002A489A">
      <w:pPr>
        <w:autoSpaceDE w:val="0"/>
        <w:spacing w:after="0" w:line="240" w:lineRule="auto"/>
        <w:jc w:val="both"/>
      </w:pPr>
      <w:r>
        <w:rPr>
          <w:color w:val="000000"/>
          <w:sz w:val="24"/>
          <w:rFonts w:ascii="Times New Roman" w:hAnsi="Times New Roman"/>
        </w:rPr>
        <w:t xml:space="preserve">S ohledem na zákon o životním prostředí, zejména jeho článek L541-9-2;</w:t>
      </w:r>
    </w:p>
    <w:p w:rsidR="00A920F2" w:rsidRDefault="00A920F2" w:rsidP="002A489A">
      <w:pPr>
        <w:autoSpaceDE w:val="0"/>
        <w:spacing w:after="0" w:line="240" w:lineRule="auto"/>
        <w:jc w:val="both"/>
      </w:pPr>
    </w:p>
    <w:p w:rsidR="00A920F2" w:rsidRDefault="00515C32" w:rsidP="002A489A">
      <w:pPr>
        <w:autoSpaceDE w:val="0"/>
        <w:spacing w:after="0" w:line="240" w:lineRule="auto"/>
        <w:jc w:val="both"/>
      </w:pPr>
      <w:r>
        <w:rPr>
          <w:color w:val="000000"/>
          <w:sz w:val="24"/>
          <w:rFonts w:ascii="Times New Roman" w:hAnsi="Times New Roman"/>
        </w:rPr>
        <w:t xml:space="preserve">S ohledem na nařízení XXX ze dne XXXX o způsobech uplatňování indexu opravitelnosti pro elektrické a elektronické výrobky, jeho kritériích a způsobu výpočtu;</w:t>
      </w:r>
    </w:p>
    <w:p w:rsidR="00A920F2" w:rsidRDefault="00A920F2" w:rsidP="00591C74">
      <w:pPr>
        <w:autoSpaceDE w:val="0"/>
        <w:spacing w:after="0" w:line="240" w:lineRule="auto"/>
      </w:pPr>
    </w:p>
    <w:p w:rsidR="00A920F2" w:rsidRDefault="00A920F2" w:rsidP="00591C74">
      <w:pPr>
        <w:autoSpaceDE w:val="0"/>
        <w:spacing w:after="0" w:line="240" w:lineRule="auto"/>
        <w:rPr>
          <w:rFonts w:ascii="Times New Roman" w:hAnsi="Times New Roman" w:cs="Times New Roman"/>
          <w:b/>
          <w:bCs/>
          <w:color w:val="000000"/>
          <w:sz w:val="24"/>
          <w:szCs w:val="24"/>
        </w:rPr>
      </w:pPr>
    </w:p>
    <w:p w:rsidR="00A920F2" w:rsidRPr="00591C74" w:rsidRDefault="00515C32" w:rsidP="00591C74">
      <w:pPr>
        <w:keepNext/>
        <w:keepLines/>
        <w:autoSpaceDE w:val="0"/>
        <w:spacing w:after="0" w:line="240" w:lineRule="auto"/>
        <w:rPr>
          <w:b/>
          <w:color w:val="000000"/>
          <w:sz w:val="24"/>
          <w:szCs w:val="24"/>
          <w:rFonts w:ascii="Times New Roman" w:hAnsi="Times New Roman" w:cs="Times New Roman"/>
        </w:rPr>
      </w:pPr>
      <w:r>
        <w:rPr>
          <w:b/>
          <w:color w:val="000000"/>
          <w:sz w:val="24"/>
          <w:rFonts w:ascii="Times New Roman" w:hAnsi="Times New Roman"/>
        </w:rPr>
        <w:t xml:space="preserve">Článek 1:</w:t>
      </w:r>
      <w:r>
        <w:rPr>
          <w:b/>
          <w:color w:val="000000"/>
          <w:sz w:val="24"/>
          <w:rFonts w:ascii="Times New Roman" w:hAnsi="Times New Roman"/>
        </w:rPr>
        <w:t xml:space="preserve"> </w:t>
      </w:r>
      <w:r>
        <w:rPr>
          <w:b/>
          <w:color w:val="000000"/>
          <w:sz w:val="24"/>
          <w:rFonts w:ascii="Times New Roman" w:hAnsi="Times New Roman"/>
        </w:rPr>
        <w:t xml:space="preserve">Elektrická a elektronická zařízení, u nichž je povinné zobrazení</w:t>
      </w:r>
    </w:p>
    <w:p w:rsidR="00A920F2" w:rsidRDefault="00A920F2" w:rsidP="00591C74">
      <w:pPr>
        <w:keepNext/>
        <w:keepLines/>
        <w:autoSpaceDE w:val="0"/>
        <w:spacing w:after="0" w:line="240" w:lineRule="auto"/>
        <w:rPr>
          <w:rFonts w:ascii="Times New Roman" w:hAnsi="Times New Roman" w:cs="Times New Roman"/>
          <w:color w:val="000000"/>
          <w:sz w:val="24"/>
          <w:szCs w:val="24"/>
        </w:rPr>
      </w:pPr>
    </w:p>
    <w:p w:rsidR="00A920F2" w:rsidRDefault="00515C32" w:rsidP="00591C74">
      <w:pPr>
        <w:autoSpaceDE w:val="0"/>
        <w:spacing w:after="0" w:line="240" w:lineRule="auto"/>
        <w:jc w:val="both"/>
      </w:pPr>
      <w:r>
        <w:rPr>
          <w:color w:val="000000"/>
          <w:sz w:val="24"/>
          <w:rFonts w:ascii="Times New Roman" w:hAnsi="Times New Roman"/>
        </w:rPr>
        <w:t xml:space="preserve">Tato vyhláška se vztahuje na všechna elektrická a elektronická zařízení, která podléhají výpočtu a zobrazení indexu opravitelnosti v souladu s ustanoveními nařízení č. XXX ze dne XXXX týkajícího se způsobů zavádění indexu opravitelnosti pro elektrické a elektronické výrobky, jeho kritérií a způsobu jeho výpočtu.</w:t>
      </w:r>
    </w:p>
    <w:p w:rsidR="00A920F2" w:rsidRDefault="00A920F2" w:rsidP="00591C74">
      <w:pPr>
        <w:autoSpaceDE w:val="0"/>
        <w:spacing w:after="0" w:line="240" w:lineRule="auto"/>
        <w:rPr>
          <w:rFonts w:ascii="Times New Roman" w:hAnsi="Times New Roman" w:cs="Times New Roman"/>
          <w:color w:val="000000"/>
          <w:sz w:val="24"/>
          <w:szCs w:val="24"/>
        </w:rPr>
      </w:pPr>
    </w:p>
    <w:p w:rsidR="00A920F2" w:rsidRPr="00591C74" w:rsidRDefault="00515C32" w:rsidP="00591C74">
      <w:pPr>
        <w:keepNext/>
        <w:keepLines/>
        <w:autoSpaceDE w:val="0"/>
        <w:spacing w:after="0" w:line="240" w:lineRule="auto"/>
        <w:rPr>
          <w:b/>
          <w:color w:val="000000"/>
          <w:sz w:val="24"/>
          <w:szCs w:val="24"/>
          <w:rFonts w:ascii="Times New Roman" w:hAnsi="Times New Roman" w:cs="Times New Roman"/>
        </w:rPr>
      </w:pPr>
      <w:r>
        <w:rPr>
          <w:b/>
          <w:color w:val="000000"/>
          <w:sz w:val="24"/>
          <w:rFonts w:ascii="Times New Roman" w:hAnsi="Times New Roman"/>
        </w:rPr>
        <w:t xml:space="preserve">Článek 2:</w:t>
      </w:r>
      <w:r>
        <w:rPr>
          <w:b/>
          <w:color w:val="000000"/>
          <w:sz w:val="24"/>
          <w:rFonts w:ascii="Times New Roman" w:hAnsi="Times New Roman"/>
        </w:rPr>
        <w:t xml:space="preserve"> </w:t>
      </w:r>
      <w:r>
        <w:rPr>
          <w:b/>
          <w:color w:val="000000"/>
          <w:sz w:val="24"/>
          <w:rFonts w:ascii="Times New Roman" w:hAnsi="Times New Roman"/>
        </w:rPr>
        <w:t xml:space="preserve">Známka, která představuje index opravitelnosti</w:t>
      </w:r>
    </w:p>
    <w:p w:rsidR="00A920F2" w:rsidRDefault="00A920F2" w:rsidP="00591C74">
      <w:pPr>
        <w:keepNext/>
        <w:keepLines/>
        <w:autoSpaceDE w:val="0"/>
        <w:spacing w:after="0" w:line="240" w:lineRule="auto"/>
        <w:rPr>
          <w:rFonts w:ascii="Times New Roman" w:hAnsi="Times New Roman" w:cs="Times New Roman"/>
          <w:color w:val="000000"/>
          <w:sz w:val="24"/>
          <w:szCs w:val="24"/>
        </w:rPr>
      </w:pPr>
    </w:p>
    <w:p w:rsidR="00A920F2" w:rsidRDefault="00515C32" w:rsidP="00591C74">
      <w:pPr>
        <w:autoSpaceDE w:val="0"/>
        <w:spacing w:after="0" w:line="240" w:lineRule="auto"/>
        <w:jc w:val="both"/>
      </w:pPr>
      <w:r>
        <w:rPr>
          <w:color w:val="000000"/>
          <w:sz w:val="24"/>
          <w:rFonts w:ascii="Times New Roman" w:hAnsi="Times New Roman"/>
        </w:rPr>
        <w:t xml:space="preserve">U všech elektrických a elektronických zařízení uvedených v prvním článku je index opravitelnosti představován v podobě známky od jedné do 10 s možností jednoho desetinného místa.</w:t>
      </w:r>
    </w:p>
    <w:p w:rsidR="00A920F2" w:rsidRDefault="00515C32" w:rsidP="00591C74">
      <w:pPr>
        <w:autoSpaceDE w:val="0"/>
        <w:spacing w:after="0" w:line="240" w:lineRule="auto"/>
        <w:jc w:val="both"/>
      </w:pPr>
      <w:r>
        <w:rPr>
          <w:color w:val="000000"/>
          <w:sz w:val="24"/>
          <w:rFonts w:ascii="Times New Roman" w:hAnsi="Times New Roman"/>
        </w:rPr>
        <w:t xml:space="preserve">Pokud je číslice na místě desetiny nižší než 5, známka se zaokrouhlí na nižší celé číslo.</w:t>
      </w:r>
    </w:p>
    <w:p w:rsidR="00A920F2" w:rsidRDefault="00515C32" w:rsidP="00591C74">
      <w:pPr>
        <w:pStyle w:val="Paragraphedeliste"/>
        <w:suppressAutoHyphens w:val="0"/>
        <w:spacing w:after="0" w:line="240" w:lineRule="auto"/>
        <w:ind w:left="0"/>
        <w:jc w:val="both"/>
      </w:pPr>
      <w:r>
        <w:rPr>
          <w:color w:val="000000"/>
          <w:sz w:val="24"/>
          <w:rFonts w:ascii="Times New Roman" w:hAnsi="Times New Roman"/>
        </w:rPr>
        <w:t xml:space="preserve">Pokud je číslice na místě desetiny vyšší než nebo rovna 5, známka se zaokrouhlí na vyšší celé číslo.</w:t>
      </w:r>
    </w:p>
    <w:p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rsidR="00A920F2" w:rsidRPr="00591C74" w:rsidRDefault="00515C32" w:rsidP="00591C74">
      <w:pPr>
        <w:keepNext/>
        <w:keepLines/>
        <w:autoSpaceDE w:val="0"/>
        <w:spacing w:after="0" w:line="240" w:lineRule="auto"/>
        <w:rPr>
          <w:b/>
          <w:color w:val="000000"/>
          <w:sz w:val="24"/>
          <w:szCs w:val="24"/>
          <w:rFonts w:ascii="Times New Roman" w:hAnsi="Times New Roman" w:cs="Times New Roman"/>
        </w:rPr>
      </w:pPr>
      <w:r>
        <w:rPr>
          <w:b/>
          <w:color w:val="000000"/>
          <w:sz w:val="24"/>
          <w:rFonts w:ascii="Times New Roman" w:hAnsi="Times New Roman"/>
        </w:rPr>
        <w:t xml:space="preserve">Článek 3:</w:t>
      </w:r>
      <w:r>
        <w:rPr>
          <w:b/>
          <w:color w:val="000000"/>
          <w:sz w:val="24"/>
          <w:rFonts w:ascii="Times New Roman" w:hAnsi="Times New Roman"/>
        </w:rPr>
        <w:t xml:space="preserve"> </w:t>
      </w:r>
      <w:r>
        <w:rPr>
          <w:b/>
          <w:color w:val="000000"/>
          <w:sz w:val="24"/>
          <w:rFonts w:ascii="Times New Roman" w:hAnsi="Times New Roman"/>
        </w:rPr>
        <w:t xml:space="preserve">Barvy a zobrazení značení</w:t>
      </w:r>
    </w:p>
    <w:p w:rsidR="00A920F2" w:rsidRDefault="00A920F2" w:rsidP="00591C74">
      <w:pPr>
        <w:keepNext/>
        <w:keepLines/>
        <w:autoSpaceDE w:val="0"/>
        <w:spacing w:after="0" w:line="240" w:lineRule="auto"/>
        <w:rPr>
          <w:rFonts w:ascii="Times New Roman" w:hAnsi="Times New Roman" w:cs="Times New Roman"/>
          <w:b/>
          <w:color w:val="000000"/>
          <w:sz w:val="24"/>
          <w:szCs w:val="24"/>
        </w:rPr>
      </w:pPr>
    </w:p>
    <w:p w:rsidR="00A920F2" w:rsidRDefault="00515C32" w:rsidP="00591C74">
      <w:pPr>
        <w:pStyle w:val="Paragraphedeliste"/>
        <w:keepNext/>
        <w:keepLines/>
        <w:suppressAutoHyphens w:val="0"/>
        <w:spacing w:after="0" w:line="240" w:lineRule="auto"/>
        <w:ind w:left="0"/>
        <w:jc w:val="both"/>
      </w:pPr>
      <w:r>
        <w:rPr>
          <w:color w:val="000000"/>
          <w:sz w:val="24"/>
          <w:rFonts w:ascii="Times New Roman" w:hAnsi="Times New Roman"/>
        </w:rPr>
        <w:t xml:space="preserve">Podle takto získané známky se použijí následující barevné kódy pro zobrazení indexu:</w:t>
      </w:r>
    </w:p>
    <w:p w:rsidR="00A920F2" w:rsidRDefault="00515C32" w:rsidP="00591C74">
      <w:pPr>
        <w:pStyle w:val="Paragraphedeliste"/>
        <w:numPr>
          <w:ilvl w:val="0"/>
          <w:numId w:val="1"/>
        </w:numPr>
        <w:suppressAutoHyphens w:val="0"/>
        <w:spacing w:after="0" w:line="240" w:lineRule="auto"/>
        <w:jc w:val="both"/>
      </w:pPr>
      <w:r>
        <w:rPr>
          <w:color w:val="000000"/>
          <w:sz w:val="24"/>
          <w:rFonts w:ascii="Times New Roman" w:hAnsi="Times New Roman"/>
        </w:rPr>
        <w:t xml:space="preserve">Známka vyšší než nebo rovná 0 a nižší než nebo rovná 1,9: červená, standard Pantone 186 C;</w:t>
      </w:r>
      <w:r>
        <w:rPr>
          <w:color w:val="000000"/>
          <w:sz w:val="24"/>
          <w:rFonts w:ascii="Times New Roman" w:hAnsi="Times New Roman"/>
        </w:rPr>
        <w:t xml:space="preserve"> </w:t>
      </w:r>
    </w:p>
    <w:p w:rsidR="00A920F2" w:rsidRDefault="00515C32" w:rsidP="00591C74">
      <w:pPr>
        <w:pStyle w:val="Paragraphedeliste"/>
        <w:numPr>
          <w:ilvl w:val="0"/>
          <w:numId w:val="1"/>
        </w:numPr>
        <w:suppressAutoHyphens w:val="0"/>
        <w:spacing w:after="0" w:line="240" w:lineRule="auto"/>
        <w:jc w:val="both"/>
      </w:pPr>
      <w:r>
        <w:rPr>
          <w:color w:val="000000"/>
          <w:sz w:val="24"/>
          <w:rFonts w:ascii="Times New Roman" w:hAnsi="Times New Roman"/>
        </w:rPr>
        <w:t xml:space="preserve">Známka vyšší než nebo rovná 2 a nižší než nebo rovná 3,9: oranžová, standard Pantone 1585 C;</w:t>
      </w:r>
    </w:p>
    <w:p w:rsidR="00A920F2" w:rsidRDefault="00515C32" w:rsidP="00591C74">
      <w:pPr>
        <w:pStyle w:val="Paragraphedeliste"/>
        <w:numPr>
          <w:ilvl w:val="0"/>
          <w:numId w:val="1"/>
        </w:numPr>
        <w:suppressAutoHyphens w:val="0"/>
        <w:spacing w:after="0" w:line="240" w:lineRule="auto"/>
        <w:jc w:val="both"/>
      </w:pPr>
      <w:r>
        <w:rPr>
          <w:color w:val="000000"/>
          <w:sz w:val="24"/>
          <w:rFonts w:ascii="Times New Roman" w:hAnsi="Times New Roman"/>
        </w:rPr>
        <w:t xml:space="preserve">Známka vyšší než nebo rovná 4 a nižší než nebo rovná 5,9: žlutá, standard Pantone 7548 C;</w:t>
      </w:r>
    </w:p>
    <w:p w:rsidR="00A920F2" w:rsidRDefault="00515C32" w:rsidP="00591C74">
      <w:pPr>
        <w:pStyle w:val="Paragraphedeliste"/>
        <w:numPr>
          <w:ilvl w:val="0"/>
          <w:numId w:val="1"/>
        </w:numPr>
        <w:suppressAutoHyphens w:val="0"/>
        <w:spacing w:after="0" w:line="240" w:lineRule="auto"/>
        <w:jc w:val="both"/>
      </w:pPr>
      <w:r>
        <w:rPr>
          <w:color w:val="000000"/>
          <w:sz w:val="24"/>
          <w:rFonts w:ascii="Times New Roman" w:hAnsi="Times New Roman"/>
        </w:rPr>
        <w:t xml:space="preserve">Známka vyšší než nebo rovná 6 a nižší než nebo rovná 7,9: světle zelená, standard Pantone 2291 C;</w:t>
      </w:r>
    </w:p>
    <w:p w:rsidR="00A920F2" w:rsidRDefault="00515C32" w:rsidP="00591C74">
      <w:pPr>
        <w:pStyle w:val="Paragraphedeliste"/>
        <w:numPr>
          <w:ilvl w:val="0"/>
          <w:numId w:val="1"/>
        </w:numPr>
        <w:suppressAutoHyphens w:val="0"/>
        <w:spacing w:after="0" w:line="240" w:lineRule="auto"/>
        <w:jc w:val="both"/>
      </w:pPr>
      <w:r>
        <w:rPr>
          <w:color w:val="000000"/>
          <w:sz w:val="24"/>
          <w:rFonts w:ascii="Times New Roman" w:hAnsi="Times New Roman"/>
        </w:rPr>
        <w:t xml:space="preserve">Známka vyšší než nebo rovná 8 a nižší než nebo rovná 10: tmavě zelená, standard Pantone 347 C;</w:t>
      </w:r>
    </w:p>
    <w:p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rsidR="00A920F2" w:rsidRDefault="00515C32" w:rsidP="00591C74">
      <w:pPr>
        <w:pStyle w:val="Paragraphedeliste"/>
        <w:suppressAutoHyphens w:val="0"/>
        <w:spacing w:after="0" w:line="240" w:lineRule="auto"/>
        <w:ind w:left="0"/>
        <w:jc w:val="both"/>
      </w:pPr>
      <w:r>
        <w:rPr>
          <w:color w:val="000000"/>
          <w:sz w:val="24"/>
          <w:rFonts w:ascii="Times New Roman" w:hAnsi="Times New Roman"/>
        </w:rPr>
        <w:t xml:space="preserve">Povinné značení pro zobrazení indexu opravitelnosti má grafickou podobu, která obsahuje údaj „index opravitelnosti“ a piktogram s vyznačením známky indexu viz níže [odpovídá značce „indexu opravitelnosti“].</w:t>
      </w:r>
      <w:r>
        <w:rPr>
          <w:color w:val="000000"/>
          <w:sz w:val="24"/>
          <w:rFonts w:ascii="Times New Roman" w:hAnsi="Times New Roman"/>
        </w:rPr>
        <w:t xml:space="preserve"> </w:t>
      </w:r>
    </w:p>
    <w:p w:rsidR="00A920F2" w:rsidRDefault="00C93306" w:rsidP="00591C74">
      <w:pPr>
        <w:pStyle w:val="Paragraphedeliste"/>
        <w:suppressAutoHyphens w:val="0"/>
        <w:spacing w:after="0" w:line="240" w:lineRule="auto"/>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51.5pt;mso-wrap-distance-left:0;mso-wrap-distance-top:0;mso-wrap-distance-right:0;mso-wrap-distance-bottom:0;mso-position-horizontal:center;mso-position-horizontal-relative:text;mso-position-vertical:top;mso-position-vertical-relative:text" filled="t">
            <v:fill color2="black"/>
            <v:imagedata r:id="rId7" o:title=""/>
          </v:shap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863"/>
        <w:gridCol w:w="4863"/>
      </w:tblGrid>
      <w:tr w:rsidR="00882C27" w:rsidRPr="00882C27" w:rsidTr="00882C27">
        <w:trPr>
          <w:hidden/>
        </w:trPr>
        <w:tc>
          <w:tcPr>
            <w:tcW w:w="2500" w:type="pct"/>
            <w:shd w:val="clear" w:color="auto" w:fill="auto"/>
          </w:tcPr>
          <w:p w:rsidR="00591C74" w:rsidRPr="00882C27" w:rsidRDefault="00591C74" w:rsidP="00882C27">
            <w:pPr>
              <w:pStyle w:val="Paragraphedeliste"/>
              <w:suppressAutoHyphens w:val="0"/>
              <w:spacing w:after="0" w:line="240" w:lineRule="auto"/>
              <w:ind w:left="0"/>
              <w:rPr>
                <w:vanish/>
              </w:rPr>
            </w:pPr>
            <w:r>
              <w:rPr>
                <w:vanish/>
              </w:rPr>
              <w:t xml:space="preserve">INDICE DE REPETABILITE</w:t>
            </w:r>
          </w:p>
        </w:tc>
        <w:tc>
          <w:tcPr>
            <w:tcW w:w="2500" w:type="pct"/>
            <w:shd w:val="clear" w:color="auto" w:fill="auto"/>
          </w:tcPr>
          <w:p w:rsidR="00591C74" w:rsidRPr="00882C27" w:rsidRDefault="00591C74" w:rsidP="00882C27">
            <w:pPr>
              <w:pStyle w:val="Paragraphedeliste"/>
              <w:suppressAutoHyphens w:val="0"/>
              <w:spacing w:after="0" w:line="240" w:lineRule="auto"/>
              <w:ind w:left="0"/>
              <w:rPr>
                <w:color w:val="000000"/>
                <w:sz w:val="24"/>
                <w:szCs w:val="24"/>
                <w:rFonts w:ascii="Times New Roman" w:hAnsi="Times New Roman" w:cs="Times New Roman"/>
              </w:rPr>
            </w:pPr>
            <w:r>
              <w:t xml:space="preserve">INDEX OPRAVITELNOSTI</w:t>
            </w:r>
          </w:p>
        </w:tc>
      </w:tr>
    </w:tbl>
    <w:p w:rsidR="00A920F2" w:rsidRDefault="00515C32" w:rsidP="00591C74">
      <w:pPr>
        <w:pStyle w:val="Paragraphedeliste"/>
        <w:suppressAutoHyphens w:val="0"/>
        <w:spacing w:after="0" w:line="240" w:lineRule="auto"/>
        <w:ind w:left="0"/>
        <w:jc w:val="both"/>
      </w:pPr>
      <w:r>
        <w:rPr>
          <w:color w:val="000000"/>
          <w:sz w:val="24"/>
          <w:rFonts w:ascii="Times New Roman" w:hAnsi="Times New Roman"/>
        </w:rPr>
        <w:t xml:space="preserve">Velikost písma známky od jedné do 10 musí být přinejmenším shodná s velikostí písma u číslic ceny v daném oddělení.</w:t>
      </w:r>
    </w:p>
    <w:p w:rsidR="00A920F2" w:rsidRDefault="00515C32" w:rsidP="00591C74">
      <w:pPr>
        <w:pStyle w:val="Paragraphedeliste"/>
        <w:suppressAutoHyphens w:val="0"/>
        <w:spacing w:after="0" w:line="240" w:lineRule="auto"/>
        <w:ind w:left="0"/>
        <w:jc w:val="both"/>
      </w:pPr>
      <w:r>
        <w:rPr>
          <w:color w:val="000000"/>
          <w:sz w:val="24"/>
          <w:rFonts w:ascii="Times New Roman" w:hAnsi="Times New Roman"/>
        </w:rPr>
        <w:t xml:space="preserve">Jakékoli úpravy velikosti tohoto značení je nutno provádět stejnoměrně.</w:t>
      </w:r>
    </w:p>
    <w:p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rsidR="00A920F2" w:rsidRDefault="00515C32" w:rsidP="00591C74">
      <w:pPr>
        <w:pStyle w:val="Paragraphedeliste"/>
        <w:suppressAutoHyphens w:val="0"/>
        <w:spacing w:after="0" w:line="240" w:lineRule="auto"/>
        <w:ind w:left="0"/>
        <w:jc w:val="both"/>
        <w:rPr>
          <w:color w:val="000000"/>
          <w:sz w:val="24"/>
          <w:szCs w:val="24"/>
          <w:rFonts w:ascii="Times New Roman" w:hAnsi="Times New Roman" w:cs="Times New Roman"/>
        </w:rPr>
      </w:pPr>
      <w:r>
        <w:rPr>
          <w:color w:val="000000"/>
          <w:sz w:val="24"/>
          <w:rFonts w:ascii="Times New Roman" w:hAnsi="Times New Roman"/>
        </w:rPr>
        <w:t xml:space="preserve">V případě, kdy se index také umisťuje přímo na každou jednotku modelu nebo na obal pomocí štítku nebo značky, je velikost grafické podoby libovolná pod podmínkou, že musí být viditelná a čitelná.</w:t>
      </w:r>
    </w:p>
    <w:p w:rsidR="00591C74" w:rsidRDefault="00591C74" w:rsidP="00591C74">
      <w:pPr>
        <w:pStyle w:val="Paragraphedeliste"/>
        <w:suppressAutoHyphens w:val="0"/>
        <w:spacing w:after="0" w:line="240" w:lineRule="auto"/>
        <w:ind w:left="0"/>
        <w:jc w:val="both"/>
      </w:pPr>
    </w:p>
    <w:p w:rsidR="00A920F2" w:rsidRPr="00591C74" w:rsidRDefault="00515C32" w:rsidP="00591C74">
      <w:pPr>
        <w:keepNext/>
        <w:keepLines/>
        <w:autoSpaceDE w:val="0"/>
        <w:spacing w:after="0" w:line="240" w:lineRule="auto"/>
        <w:rPr>
          <w:b/>
          <w:color w:val="000000"/>
          <w:sz w:val="24"/>
          <w:szCs w:val="24"/>
          <w:rFonts w:ascii="Times New Roman" w:hAnsi="Times New Roman" w:cs="Times New Roman"/>
        </w:rPr>
      </w:pPr>
      <w:r>
        <w:rPr>
          <w:b/>
          <w:color w:val="000000"/>
          <w:sz w:val="24"/>
          <w:rFonts w:ascii="Times New Roman" w:hAnsi="Times New Roman"/>
        </w:rPr>
        <w:t xml:space="preserve">Článek 4:</w:t>
      </w:r>
      <w:r>
        <w:rPr>
          <w:b/>
          <w:color w:val="000000"/>
          <w:sz w:val="24"/>
          <w:rFonts w:ascii="Times New Roman" w:hAnsi="Times New Roman"/>
        </w:rPr>
        <w:t xml:space="preserve"> </w:t>
      </w:r>
      <w:r>
        <w:rPr>
          <w:b/>
          <w:color w:val="000000"/>
          <w:sz w:val="24"/>
          <w:rFonts w:ascii="Times New Roman" w:hAnsi="Times New Roman"/>
        </w:rPr>
        <w:t xml:space="preserve">Výpočet indexu a prezentace parametrů, které umožnily jeho stanovení</w:t>
      </w:r>
    </w:p>
    <w:p w:rsidR="00A920F2" w:rsidRDefault="00A920F2" w:rsidP="00591C74">
      <w:pPr>
        <w:keepNext/>
        <w:keepLines/>
        <w:autoSpaceDE w:val="0"/>
        <w:spacing w:after="0" w:line="240" w:lineRule="auto"/>
        <w:rPr>
          <w:rFonts w:ascii="Times New Roman" w:hAnsi="Times New Roman" w:cs="Times New Roman"/>
          <w:b/>
          <w:color w:val="000000"/>
          <w:sz w:val="24"/>
          <w:szCs w:val="24"/>
        </w:rPr>
      </w:pPr>
    </w:p>
    <w:p w:rsidR="00A920F2" w:rsidRDefault="00515C32" w:rsidP="00591C74">
      <w:pPr>
        <w:autoSpaceDE w:val="0"/>
        <w:spacing w:after="0" w:line="240" w:lineRule="auto"/>
        <w:jc w:val="both"/>
      </w:pPr>
      <w:r>
        <w:rPr>
          <w:color w:val="000000"/>
          <w:sz w:val="24"/>
          <w:rFonts w:ascii="Times New Roman" w:hAnsi="Times New Roman"/>
        </w:rPr>
        <w:t xml:space="preserve">Každé dílčí kritérium indexu je známka od jedné do deseti a obsahuje koeficient, podle něhož lze stanovit známku od jedné do 20 za každé kritérium, jak je uvedeno v následující tabulce.</w:t>
      </w:r>
      <w:r>
        <w:rPr>
          <w:color w:val="000000"/>
          <w:sz w:val="24"/>
          <w:rFonts w:ascii="Times New Roman" w:hAnsi="Times New Roman"/>
        </w:rPr>
        <w:t xml:space="preserve"> </w:t>
      </w:r>
      <w:r>
        <w:rPr>
          <w:color w:val="000000"/>
          <w:sz w:val="24"/>
          <w:rFonts w:ascii="Times New Roman" w:hAnsi="Times New Roman"/>
        </w:rPr>
        <w:t xml:space="preserve">Součet známek za jednotlivá kritéria, která mají stejnou váhu, znamená součet na stupnici do sta, z něhož se pak vypočítá index od jedné do deseti.</w:t>
      </w:r>
    </w:p>
    <w:p w:rsidR="00A920F2" w:rsidRDefault="00A920F2" w:rsidP="00591C74">
      <w:pPr>
        <w:autoSpaceDE w:val="0"/>
        <w:spacing w:after="0" w:line="240" w:lineRule="auto"/>
        <w:jc w:val="both"/>
        <w:rPr>
          <w:rFonts w:ascii="Times New Roman" w:hAnsi="Times New Roman" w:cs="Times New Roman"/>
          <w:color w:val="000000"/>
          <w:sz w:val="24"/>
          <w:szCs w:val="24"/>
        </w:rPr>
      </w:pPr>
    </w:p>
    <w:p w:rsidR="00A920F2" w:rsidRDefault="00515C32" w:rsidP="00591C74">
      <w:pPr>
        <w:pStyle w:val="SNSignatureGauche"/>
        <w:spacing w:before="0" w:after="0" w:line="240" w:lineRule="auto"/>
        <w:ind w:left="0" w:right="0" w:firstLine="0"/>
        <w:jc w:val="both"/>
      </w:pPr>
      <w:r>
        <w:rPr>
          <w:color w:val="000000"/>
          <w:rFonts w:ascii="Times New Roman" w:hAnsi="Times New Roman"/>
        </w:rPr>
        <w:t xml:space="preserve">Oznámení a zpřístupnění parametrů, podle nichž se stanovuje index opravitelnosti u každého zařízení, se provádí v souladu s následující tabulkou v neměnném číselném formátu o rozměrech 21 × 29,7 cm.</w:t>
      </w:r>
    </w:p>
    <w:p w:rsidR="00A920F2" w:rsidRDefault="00A920F2" w:rsidP="00591C74">
      <w:pPr>
        <w:suppressAutoHyphens w:val="0"/>
        <w:spacing w:after="0" w:line="240" w:lineRule="auto"/>
        <w:rPr>
          <w:rFonts w:ascii="Times New Roman" w:hAnsi="Times New Roman" w:cs="Times New Roman"/>
          <w:color w:val="000000"/>
          <w:sz w:val="24"/>
          <w:szCs w:val="24"/>
        </w:rPr>
      </w:pPr>
    </w:p>
    <w:tbl>
      <w:tblPr>
        <w:tblW w:w="5000" w:type="pct"/>
        <w:tblLayout w:type="fixed"/>
        <w:tblCellMar>
          <w:left w:w="43" w:type="dxa"/>
          <w:right w:w="43" w:type="dxa"/>
        </w:tblCellMar>
        <w:tblLook w:val="0000" w:firstRow="0" w:lastRow="0" w:firstColumn="0" w:lastColumn="0" w:noHBand="0" w:noVBand="0"/>
      </w:tblPr>
      <w:tblGrid>
        <w:gridCol w:w="1797"/>
        <w:gridCol w:w="3439"/>
        <w:gridCol w:w="1070"/>
        <w:gridCol w:w="1319"/>
        <w:gridCol w:w="1004"/>
        <w:gridCol w:w="1097"/>
      </w:tblGrid>
      <w:tr w:rsidR="00A920F2" w:rsidTr="00591C74">
        <w:tc>
          <w:tcPr>
            <w:tcW w:w="924" w:type="pct"/>
            <w:tcBorders>
              <w:top w:val="single" w:sz="4" w:space="0" w:color="00000A"/>
              <w:left w:val="single" w:sz="4" w:space="0" w:color="00000A"/>
              <w:bottom w:val="single" w:sz="4" w:space="0" w:color="00000A"/>
            </w:tcBorders>
            <w:shd w:val="clear" w:color="auto" w:fill="auto"/>
          </w:tcPr>
          <w:p w:rsidR="00A920F2" w:rsidRDefault="00515C32" w:rsidP="00591C74">
            <w:pPr>
              <w:keepNext/>
              <w:keepLines/>
              <w:suppressAutoHyphens w:val="0"/>
              <w:spacing w:after="0" w:line="240" w:lineRule="auto"/>
            </w:pPr>
            <w:r>
              <w:rPr>
                <w:b/>
                <w:color w:val="000000"/>
                <w:sz w:val="24"/>
                <w:rFonts w:ascii="Times New Roman" w:hAnsi="Times New Roman"/>
              </w:rPr>
              <w:t xml:space="preserve">Kritérium</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keepNext/>
              <w:keepLines/>
              <w:suppressAutoHyphens w:val="0"/>
              <w:spacing w:after="0" w:line="240" w:lineRule="auto"/>
            </w:pPr>
            <w:r>
              <w:rPr>
                <w:b/>
                <w:color w:val="000000"/>
                <w:sz w:val="24"/>
                <w:rFonts w:ascii="Times New Roman" w:hAnsi="Times New Roman"/>
              </w:rPr>
              <w:t xml:space="preserve">Dílčí kritérium</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keepNext/>
              <w:keepLines/>
              <w:suppressAutoHyphens w:val="0"/>
              <w:spacing w:after="0" w:line="240" w:lineRule="auto"/>
              <w:jc w:val="center"/>
            </w:pPr>
            <w:r>
              <w:rPr>
                <w:b/>
                <w:color w:val="000000"/>
                <w:sz w:val="24"/>
                <w:rFonts w:ascii="Times New Roman" w:hAnsi="Times New Roman"/>
              </w:rPr>
              <w:t xml:space="preserve">Známka za dílčí kritérium</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keepNext/>
              <w:keepLines/>
              <w:suppressAutoHyphens w:val="0"/>
              <w:spacing w:after="0" w:line="240" w:lineRule="auto"/>
              <w:jc w:val="center"/>
            </w:pPr>
            <w:r>
              <w:rPr>
                <w:b/>
                <w:color w:val="000000"/>
                <w:sz w:val="24"/>
                <w:rFonts w:ascii="Times New Roman" w:hAnsi="Times New Roman"/>
              </w:rPr>
              <w:t xml:space="preserve">Koeficient dílčího kritéria</w:t>
            </w:r>
          </w:p>
        </w:tc>
        <w:tc>
          <w:tcPr>
            <w:tcW w:w="515" w:type="pct"/>
            <w:tcBorders>
              <w:top w:val="single" w:sz="8" w:space="0" w:color="00000A"/>
              <w:left w:val="single" w:sz="8" w:space="0" w:color="00000A"/>
              <w:bottom w:val="single" w:sz="8" w:space="0" w:color="00000A"/>
            </w:tcBorders>
            <w:shd w:val="clear" w:color="auto" w:fill="auto"/>
          </w:tcPr>
          <w:p w:rsidR="00A920F2" w:rsidRDefault="00515C32" w:rsidP="00591C74">
            <w:pPr>
              <w:keepNext/>
              <w:keepLines/>
              <w:suppressAutoHyphens w:val="0"/>
              <w:spacing w:after="0" w:line="240" w:lineRule="auto"/>
              <w:jc w:val="center"/>
            </w:pPr>
            <w:r>
              <w:rPr>
                <w:b/>
                <w:color w:val="000000"/>
                <w:sz w:val="24"/>
                <w:rFonts w:ascii="Times New Roman" w:hAnsi="Times New Roman"/>
              </w:rPr>
              <w:t xml:space="preserve">Známka za kritérium</w:t>
            </w:r>
          </w:p>
        </w:tc>
        <w:tc>
          <w:tcPr>
            <w:tcW w:w="564" w:type="pct"/>
            <w:tcBorders>
              <w:top w:val="single" w:sz="8" w:space="0" w:color="00000A"/>
              <w:left w:val="single" w:sz="8" w:space="0" w:color="00000A"/>
              <w:bottom w:val="single" w:sz="8" w:space="0" w:color="00000A"/>
              <w:right w:val="single" w:sz="8" w:space="0" w:color="00000A"/>
            </w:tcBorders>
            <w:shd w:val="clear" w:color="auto" w:fill="auto"/>
          </w:tcPr>
          <w:p w:rsidR="00A920F2" w:rsidRDefault="00515C32" w:rsidP="00591C74">
            <w:pPr>
              <w:keepNext/>
              <w:keepLines/>
              <w:suppressAutoHyphens w:val="0"/>
              <w:spacing w:after="0" w:line="240" w:lineRule="auto"/>
              <w:jc w:val="center"/>
            </w:pPr>
            <w:r>
              <w:rPr>
                <w:b/>
                <w:color w:val="000000"/>
                <w:sz w:val="24"/>
                <w:rFonts w:ascii="Times New Roman" w:hAnsi="Times New Roman"/>
              </w:rPr>
              <w:t xml:space="preserve">Součet známek za kritéria</w:t>
            </w:r>
          </w:p>
        </w:tc>
      </w:tr>
      <w:tr w:rsidR="00A920F2" w:rsidTr="00591C74">
        <w:tc>
          <w:tcPr>
            <w:tcW w:w="924"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rFonts w:ascii="Times New Roman" w:hAnsi="Times New Roman"/>
              </w:rPr>
              <w:t xml:space="preserve">1.</w:t>
            </w:r>
            <w:r>
              <w:rPr>
                <w:b/>
                <w:color w:val="000000"/>
                <w:sz w:val="24"/>
                <w:rFonts w:ascii="Times New Roman" w:hAnsi="Times New Roman"/>
              </w:rPr>
              <w:t xml:space="preserve"> </w:t>
            </w:r>
            <w:r>
              <w:rPr>
                <w:b/>
                <w:color w:val="000000"/>
                <w:sz w:val="24"/>
                <w:rFonts w:ascii="Times New Roman" w:hAnsi="Times New Roman"/>
              </w:rPr>
              <w:t xml:space="preserve">Dokumentace</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1.1.</w:t>
            </w:r>
            <w:r>
              <w:rPr>
                <w:color w:val="000000"/>
                <w:sz w:val="24"/>
                <w:rFonts w:ascii="Times New Roman" w:hAnsi="Times New Roman"/>
              </w:rPr>
              <w:t xml:space="preserve"> </w:t>
            </w:r>
            <w:r>
              <w:rPr>
                <w:color w:val="000000"/>
                <w:sz w:val="24"/>
                <w:rFonts w:ascii="Times New Roman" w:hAnsi="Times New Roman"/>
              </w:rPr>
              <w:t xml:space="preserve">Délka dostupnosti technické dokumentace a doporučení pro použití a údržbu</w:t>
            </w:r>
          </w:p>
        </w:tc>
        <w:tc>
          <w:tcPr>
            <w:tcW w:w="550" w:type="pct"/>
            <w:tcBorders>
              <w:top w:val="single" w:sz="8"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2</w:t>
            </w:r>
          </w:p>
        </w:tc>
        <w:tc>
          <w:tcPr>
            <w:tcW w:w="515"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▀▀/20</w:t>
            </w:r>
          </w:p>
        </w:tc>
        <w:tc>
          <w:tcPr>
            <w:tcW w:w="564" w:type="pct"/>
            <w:vMerge w:val="restart"/>
            <w:tcBorders>
              <w:top w:val="single" w:sz="8" w:space="0" w:color="00000A"/>
              <w:left w:val="single" w:sz="8" w:space="0" w:color="00000A"/>
              <w:bottom w:val="single" w:sz="8" w:space="0" w:color="00000A"/>
              <w:right w:val="single" w:sz="8" w:space="0" w:color="00000A"/>
            </w:tcBorders>
            <w:shd w:val="clear" w:color="auto" w:fill="auto"/>
            <w:vAlign w:val="center"/>
          </w:tcPr>
          <w:p w:rsidR="00A920F2" w:rsidRDefault="00515C32" w:rsidP="00591C74">
            <w:pPr>
              <w:suppressAutoHyphens w:val="0"/>
              <w:spacing w:after="0" w:line="240" w:lineRule="auto"/>
              <w:jc w:val="center"/>
            </w:pPr>
            <w:r>
              <w:rPr>
                <w:color w:val="000000"/>
                <w:sz w:val="24"/>
                <w:rFonts w:ascii="Times New Roman" w:hAnsi="Times New Roman"/>
              </w:rPr>
              <w:t xml:space="preserve">▀▀/100</w:t>
            </w:r>
          </w:p>
        </w:tc>
      </w:tr>
      <w:tr w:rsidR="00A920F2" w:rsidTr="00591C74">
        <w:tc>
          <w:tcPr>
            <w:tcW w:w="924" w:type="pct"/>
            <w:vMerge w:val="restar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rFonts w:ascii="Times New Roman" w:hAnsi="Times New Roman"/>
              </w:rPr>
              <w:t xml:space="preserve">2.</w:t>
            </w:r>
            <w:r>
              <w:rPr>
                <w:b/>
                <w:color w:val="000000"/>
                <w:sz w:val="24"/>
                <w:rFonts w:ascii="Times New Roman" w:hAnsi="Times New Roman"/>
              </w:rPr>
              <w:t xml:space="preserve"> </w:t>
            </w:r>
            <w:r>
              <w:rPr>
                <w:b/>
                <w:color w:val="000000"/>
                <w:sz w:val="24"/>
                <w:rFonts w:ascii="Times New Roman" w:hAnsi="Times New Roman"/>
              </w:rPr>
              <w:t xml:space="preserve">Demontovatelnost a přístup, nářadí, spoje</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2.1. Snadnost demontáže součástek ze seznamu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w:t>
            </w:r>
          </w:p>
        </w:tc>
        <w:tc>
          <w:tcPr>
            <w:tcW w:w="515" w:type="pct"/>
            <w:vMerge w:val="restar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2.2.</w:t>
            </w:r>
            <w:r>
              <w:rPr>
                <w:color w:val="000000"/>
                <w:sz w:val="24"/>
                <w:rFonts w:ascii="Times New Roman" w:hAnsi="Times New Roman"/>
              </w:rPr>
              <w:t xml:space="preserve"> </w:t>
            </w:r>
            <w:r>
              <w:rPr>
                <w:color w:val="000000"/>
                <w:sz w:val="24"/>
                <w:rFonts w:ascii="Times New Roman" w:hAnsi="Times New Roman"/>
              </w:rPr>
              <w:t xml:space="preserve">Nezbytné nářadí (seznam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2.3.</w:t>
            </w:r>
            <w:r>
              <w:rPr>
                <w:color w:val="000000"/>
                <w:sz w:val="24"/>
                <w:rFonts w:ascii="Times New Roman" w:hAnsi="Times New Roman"/>
              </w:rPr>
              <w:t xml:space="preserve"> </w:t>
            </w:r>
            <w:r>
              <w:rPr>
                <w:color w:val="000000"/>
                <w:sz w:val="24"/>
                <w:rFonts w:ascii="Times New Roman" w:hAnsi="Times New Roman"/>
              </w:rPr>
              <w:t xml:space="preserve">Vlastnosti spojení mezi součástkami ze seznamu 1** a ze seznamu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val="restar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rFonts w:ascii="Times New Roman" w:hAnsi="Times New Roman"/>
              </w:rPr>
              <w:t xml:space="preserve">3.</w:t>
            </w:r>
            <w:r>
              <w:rPr>
                <w:b/>
                <w:color w:val="000000"/>
                <w:sz w:val="24"/>
                <w:rFonts w:ascii="Times New Roman" w:hAnsi="Times New Roman"/>
              </w:rPr>
              <w:t xml:space="preserve"> </w:t>
            </w:r>
            <w:r>
              <w:rPr>
                <w:b/>
                <w:color w:val="000000"/>
                <w:sz w:val="24"/>
                <w:rFonts w:ascii="Times New Roman" w:hAnsi="Times New Roman"/>
              </w:rPr>
              <w:t xml:space="preserve">Dostupnost náhradních dílů</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3.1. Doba dostupnosti součástek ze seznamu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w:t>
            </w:r>
          </w:p>
        </w:tc>
        <w:tc>
          <w:tcPr>
            <w:tcW w:w="515" w:type="pct"/>
            <w:vMerge w:val="restar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3.2.</w:t>
            </w:r>
            <w:r>
              <w:rPr>
                <w:color w:val="000000"/>
                <w:sz w:val="24"/>
                <w:rFonts w:ascii="Times New Roman" w:hAnsi="Times New Roman"/>
              </w:rPr>
              <w:t xml:space="preserve"> </w:t>
            </w:r>
            <w:r>
              <w:rPr>
                <w:color w:val="000000"/>
                <w:sz w:val="24"/>
                <w:rFonts w:ascii="Times New Roman" w:hAnsi="Times New Roman"/>
              </w:rPr>
              <w:t xml:space="preserve">Doba dostupnosti součástek ze seznamu 1</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3.3.</w:t>
            </w:r>
            <w:r>
              <w:rPr>
                <w:color w:val="000000"/>
                <w:sz w:val="24"/>
                <w:rFonts w:ascii="Times New Roman" w:hAnsi="Times New Roman"/>
              </w:rPr>
              <w:t xml:space="preserve"> </w:t>
            </w:r>
            <w:r>
              <w:rPr>
                <w:color w:val="000000"/>
                <w:sz w:val="24"/>
                <w:rFonts w:ascii="Times New Roman" w:hAnsi="Times New Roman"/>
              </w:rPr>
              <w:t xml:space="preserve">Dodací lhůta součástek ze seznamu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0,3</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3.4.</w:t>
            </w:r>
            <w:r>
              <w:rPr>
                <w:color w:val="000000"/>
                <w:sz w:val="24"/>
                <w:rFonts w:ascii="Times New Roman" w:hAnsi="Times New Roman"/>
              </w:rPr>
              <w:t xml:space="preserve"> </w:t>
            </w:r>
            <w:r>
              <w:rPr>
                <w:color w:val="000000"/>
                <w:sz w:val="24"/>
                <w:rFonts w:ascii="Times New Roman" w:hAnsi="Times New Roman"/>
              </w:rPr>
              <w:t xml:space="preserve">Dodací lhůta součástek ze seznamu 1</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0,2</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rFonts w:ascii="Times New Roman" w:hAnsi="Times New Roman"/>
              </w:rPr>
              <w:t xml:space="preserve">4.</w:t>
            </w:r>
            <w:r>
              <w:rPr>
                <w:b/>
                <w:color w:val="000000"/>
                <w:sz w:val="24"/>
                <w:rFonts w:ascii="Times New Roman" w:hAnsi="Times New Roman"/>
              </w:rPr>
              <w:t xml:space="preserve"> </w:t>
            </w:r>
            <w:r>
              <w:rPr>
                <w:b/>
                <w:color w:val="000000"/>
                <w:sz w:val="24"/>
                <w:rFonts w:ascii="Times New Roman" w:hAnsi="Times New Roman"/>
              </w:rPr>
              <w:t xml:space="preserve">Cena náhradních dílů</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4.1.</w:t>
            </w:r>
            <w:r>
              <w:rPr>
                <w:color w:val="000000"/>
                <w:sz w:val="24"/>
                <w:rFonts w:ascii="Times New Roman" w:hAnsi="Times New Roman"/>
              </w:rPr>
              <w:t xml:space="preserve"> </w:t>
            </w:r>
            <w:r>
              <w:rPr>
                <w:color w:val="000000"/>
                <w:sz w:val="24"/>
                <w:rFonts w:ascii="Times New Roman" w:hAnsi="Times New Roman"/>
              </w:rPr>
              <w:t xml:space="preserve">Poměr ceny za součástky ze seznamu 2 a ceny nového zařízení</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2</w:t>
            </w:r>
          </w:p>
        </w:tc>
        <w:tc>
          <w:tcPr>
            <w:tcW w:w="515"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val="restar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rFonts w:ascii="Times New Roman" w:hAnsi="Times New Roman"/>
              </w:rPr>
              <w:t xml:space="preserve">5.</w:t>
            </w:r>
            <w:r>
              <w:rPr>
                <w:b/>
                <w:color w:val="000000"/>
                <w:sz w:val="24"/>
                <w:rFonts w:ascii="Times New Roman" w:hAnsi="Times New Roman"/>
              </w:rPr>
              <w:t xml:space="preserve"> </w:t>
            </w:r>
            <w:r>
              <w:rPr>
                <w:b/>
                <w:color w:val="000000"/>
                <w:sz w:val="24"/>
                <w:rFonts w:ascii="Times New Roman" w:hAnsi="Times New Roman"/>
              </w:rPr>
              <w:t xml:space="preserve">Zvláštní kritérium</w:t>
            </w:r>
          </w:p>
          <w:p w:rsidR="00A920F2" w:rsidRDefault="00515C32" w:rsidP="00591C74">
            <w:pPr>
              <w:suppressAutoHyphens w:val="0"/>
              <w:spacing w:after="0" w:line="240" w:lineRule="auto"/>
              <w:rPr>
                <w:b/>
                <w:color w:val="000000"/>
                <w:sz w:val="24"/>
                <w:szCs w:val="24"/>
                <w:rFonts w:ascii="Times New Roman" w:hAnsi="Times New Roman" w:cs="Times New Roman"/>
              </w:rPr>
            </w:pPr>
            <w:r>
              <w:rPr>
                <w:b/>
                <w:color w:val="000000"/>
                <w:sz w:val="24"/>
                <w:rFonts w:ascii="Times New Roman" w:hAnsi="Times New Roman"/>
              </w:rPr>
              <w:t xml:space="preserve">(Příklad se 3 dílčími kritérii)</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5.1.</w:t>
            </w:r>
            <w:r>
              <w:rPr>
                <w:color w:val="000000"/>
                <w:sz w:val="24"/>
                <w:rFonts w:ascii="Times New Roman" w:hAnsi="Times New Roman"/>
              </w:rPr>
              <w:t xml:space="preserve"> </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w:t>
            </w:r>
          </w:p>
        </w:tc>
        <w:tc>
          <w:tcPr>
            <w:tcW w:w="515" w:type="pct"/>
            <w:vMerge w:val="restar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5.2.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rFonts w:ascii="Times New Roman" w:hAnsi="Times New Roman"/>
              </w:rPr>
              <w:t xml:space="preserve">5.3.</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4436" w:type="pct"/>
            <w:gridSpan w:val="5"/>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right"/>
            </w:pPr>
            <w:r>
              <w:rPr>
                <w:b/>
                <w:color w:val="000000"/>
                <w:sz w:val="24"/>
                <w:rFonts w:ascii="Times New Roman" w:hAnsi="Times New Roman"/>
              </w:rPr>
              <w:t xml:space="preserve">Známka indexu</w:t>
            </w:r>
            <w:r>
              <w:rPr>
                <w:b/>
                <w:color w:val="000000"/>
                <w:sz w:val="24"/>
                <w:rFonts w:ascii="Times New Roman" w:hAnsi="Times New Roman"/>
              </w:rPr>
              <w:t xml:space="preserve"> </w:t>
            </w:r>
          </w:p>
        </w:tc>
        <w:tc>
          <w:tcPr>
            <w:tcW w:w="564" w:type="pct"/>
            <w:tcBorders>
              <w:top w:val="single" w:sz="8" w:space="0" w:color="00000A"/>
              <w:left w:val="single" w:sz="8" w:space="0" w:color="00000A"/>
              <w:bottom w:val="single" w:sz="8" w:space="0" w:color="00000A"/>
              <w:right w:val="single" w:sz="8" w:space="0" w:color="00000A"/>
            </w:tcBorders>
            <w:shd w:val="clear" w:color="auto" w:fill="auto"/>
          </w:tcPr>
          <w:p w:rsidR="00A920F2" w:rsidRDefault="00515C32" w:rsidP="00591C74">
            <w:pPr>
              <w:suppressAutoHyphens w:val="0"/>
              <w:spacing w:after="0" w:line="240" w:lineRule="auto"/>
              <w:jc w:val="center"/>
            </w:pPr>
            <w:r>
              <w:rPr>
                <w:color w:val="000000"/>
                <w:sz w:val="24"/>
                <w:rFonts w:ascii="Times New Roman" w:hAnsi="Times New Roman"/>
              </w:rPr>
              <w:t xml:space="preserve">▀▀/10</w:t>
            </w:r>
          </w:p>
        </w:tc>
      </w:tr>
      <w:tr w:rsidR="00A920F2" w:rsidTr="00591C74">
        <w:tc>
          <w:tcPr>
            <w:tcW w:w="5000" w:type="pct"/>
            <w:gridSpan w:val="6"/>
            <w:tcBorders>
              <w:top w:val="single" w:sz="8" w:space="0" w:color="00000A"/>
              <w:left w:val="single" w:sz="8" w:space="0" w:color="00000A"/>
              <w:bottom w:val="single" w:sz="8" w:space="0" w:color="00000A"/>
              <w:right w:val="single" w:sz="8" w:space="0" w:color="00000A"/>
            </w:tcBorders>
            <w:shd w:val="clear" w:color="auto" w:fill="auto"/>
          </w:tcPr>
          <w:p w:rsidR="00A920F2" w:rsidRDefault="00515C32" w:rsidP="00591C74">
            <w:pPr>
              <w:pStyle w:val="SNSignatureGauche"/>
              <w:suppressAutoHyphens w:val="0"/>
              <w:spacing w:before="0" w:after="0" w:line="240" w:lineRule="auto"/>
              <w:ind w:left="0" w:right="0" w:firstLine="0"/>
              <w:jc w:val="both"/>
            </w:pPr>
            <w:r>
              <w:rPr>
                <w:i/>
                <w:color w:val="000000"/>
                <w:rFonts w:ascii="Times New Roman" w:hAnsi="Times New Roman"/>
              </w:rPr>
              <w:t xml:space="preserve">* seznam 2: seznam 3 až 5 náhradních dílů (podle dotčené kategorie zařízení), jejichž rozbití nebo poruchy jsou nejčastější;</w:t>
            </w:r>
          </w:p>
          <w:p w:rsidR="00A920F2" w:rsidRDefault="00515C32" w:rsidP="00BD3BED">
            <w:pPr>
              <w:pStyle w:val="SNSignatureGauche"/>
              <w:suppressAutoHyphens w:val="0"/>
              <w:spacing w:before="0" w:after="0" w:line="240" w:lineRule="auto"/>
              <w:ind w:left="0" w:right="0" w:firstLine="0"/>
              <w:jc w:val="both"/>
            </w:pPr>
            <w:r>
              <w:rPr>
                <w:i/>
                <w:color w:val="000000"/>
                <w:rFonts w:ascii="Times New Roman" w:hAnsi="Times New Roman"/>
              </w:rPr>
              <w:t xml:space="preserve">** seznam 1: seznam 10 až 5 náhradních dílů (podle dotčené kategorie zařízení), jejichž dobrý stav je nezbytný pro fungování zařízení;</w:t>
            </w:r>
          </w:p>
        </w:tc>
      </w:tr>
    </w:tbl>
    <w:p w:rsidR="00A920F2" w:rsidRDefault="00A920F2" w:rsidP="00591C74">
      <w:pPr>
        <w:pStyle w:val="SNSignatureGauche"/>
        <w:spacing w:before="0" w:after="0" w:line="240" w:lineRule="auto"/>
        <w:ind w:left="0" w:right="0" w:firstLine="0"/>
        <w:jc w:val="both"/>
        <w:rPr>
          <w:rFonts w:ascii="Times New Roman" w:hAnsi="Times New Roman"/>
          <w:color w:val="000000"/>
        </w:rPr>
      </w:pPr>
    </w:p>
    <w:p w:rsidR="00A920F2" w:rsidRDefault="00515C32" w:rsidP="00591C74">
      <w:pPr>
        <w:spacing w:after="0" w:line="240" w:lineRule="auto"/>
      </w:pPr>
      <w:r>
        <w:rPr>
          <w:color w:val="000000"/>
          <w:sz w:val="24"/>
          <w:rFonts w:ascii="Times New Roman" w:hAnsi="Times New Roman"/>
        </w:rPr>
        <w:t xml:space="preserve">U jednoho kritéria součet koeficientů pro dílčí kritéria je roven 2.</w:t>
      </w:r>
    </w:p>
    <w:p w:rsidR="009451F9" w:rsidRDefault="00515C32" w:rsidP="00591C74">
      <w:pPr>
        <w:spacing w:after="0" w:line="240" w:lineRule="auto"/>
        <w:rPr>
          <w:color w:val="000000"/>
          <w:sz w:val="24"/>
          <w:szCs w:val="24"/>
          <w:rFonts w:ascii="Times New Roman" w:hAnsi="Times New Roman" w:cs="Times New Roman"/>
        </w:rPr>
      </w:pPr>
      <w:r>
        <w:rPr>
          <w:color w:val="000000"/>
          <w:sz w:val="24"/>
          <w:rFonts w:ascii="Times New Roman" w:hAnsi="Times New Roman"/>
        </w:rPr>
        <w:t xml:space="preserve">Podrobné rozpisy známkování pro každou konkrétní kategorii zařízení s uvedením seznamů náhradních dílů a podrobností každého dílčího kritéria jsou stanoveny vyhláškou.</w:t>
      </w:r>
    </w:p>
    <w:p w:rsidR="00A920F2" w:rsidRDefault="00A920F2" w:rsidP="00591C74">
      <w:pPr>
        <w:spacing w:after="0" w:line="240" w:lineRule="auto"/>
      </w:pPr>
    </w:p>
    <w:p w:rsidR="00591C74" w:rsidRDefault="00515C32" w:rsidP="00591C74">
      <w:pPr>
        <w:pStyle w:val="SNSignatureGauche"/>
        <w:keepNext/>
        <w:keepLines/>
        <w:spacing w:before="0" w:after="0" w:line="240" w:lineRule="auto"/>
        <w:ind w:left="0" w:right="0" w:firstLine="0"/>
        <w:jc w:val="both"/>
        <w:rPr>
          <w:b/>
          <w:color w:val="000000"/>
          <w:rFonts w:ascii="Times New Roman" w:hAnsi="Times New Roman"/>
        </w:rPr>
      </w:pPr>
      <w:r>
        <w:rPr>
          <w:b/>
          <w:color w:val="000000"/>
          <w:rFonts w:ascii="Times New Roman" w:hAnsi="Times New Roman"/>
        </w:rPr>
        <w:t xml:space="preserve">Článek 5:</w:t>
      </w:r>
      <w:r>
        <w:rPr>
          <w:b/>
          <w:color w:val="000000"/>
          <w:rFonts w:ascii="Times New Roman" w:hAnsi="Times New Roman"/>
        </w:rPr>
        <w:t xml:space="preserve"> </w:t>
      </w:r>
      <w:r>
        <w:rPr>
          <w:b/>
          <w:color w:val="000000"/>
          <w:rFonts w:ascii="Times New Roman" w:hAnsi="Times New Roman"/>
        </w:rPr>
        <w:t xml:space="preserve">Definice dílčích kritérií</w:t>
      </w:r>
    </w:p>
    <w:p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rsidR="00591C74" w:rsidRDefault="00515C32" w:rsidP="00591C74">
      <w:pPr>
        <w:pStyle w:val="SNSignatureGauche"/>
        <w:keepNext/>
        <w:keepLines/>
        <w:spacing w:before="0" w:after="0" w:line="240" w:lineRule="auto"/>
        <w:ind w:left="0" w:right="0" w:firstLine="0"/>
        <w:jc w:val="both"/>
        <w:rPr>
          <w:b/>
          <w:color w:val="000000"/>
          <w:rFonts w:ascii="Times New Roman" w:hAnsi="Times New Roman"/>
        </w:rPr>
      </w:pPr>
      <w:r>
        <w:rPr>
          <w:b/>
          <w:color w:val="000000"/>
          <w:rFonts w:ascii="Times New Roman" w:hAnsi="Times New Roman"/>
        </w:rPr>
        <w:t xml:space="preserve">Kritérium č. 1 – Dokumentace:</w:t>
      </w:r>
    </w:p>
    <w:p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rsidR="009451F9" w:rsidRDefault="00515C32" w:rsidP="00591C74">
      <w:pPr>
        <w:pStyle w:val="SNSignatureGauche"/>
        <w:keepNext/>
        <w:keepLines/>
        <w:spacing w:before="0" w:after="0" w:line="240" w:lineRule="auto"/>
        <w:ind w:left="0" w:right="0" w:firstLine="0"/>
        <w:jc w:val="both"/>
        <w:rPr>
          <w:b/>
          <w:color w:val="000000"/>
          <w:rFonts w:ascii="Times New Roman" w:hAnsi="Times New Roman"/>
        </w:rPr>
      </w:pPr>
      <w:r>
        <w:rPr>
          <w:b/>
          <w:color w:val="000000"/>
          <w:rFonts w:ascii="Times New Roman" w:hAnsi="Times New Roman"/>
        </w:rPr>
        <w:t xml:space="preserve">Dílčí kritérium 1.1:</w:t>
      </w:r>
      <w:r>
        <w:rPr>
          <w:b/>
          <w:color w:val="000000"/>
          <w:rFonts w:ascii="Times New Roman" w:hAnsi="Times New Roman"/>
        </w:rPr>
        <w:t xml:space="preserve"> </w:t>
      </w:r>
      <w:r>
        <w:rPr>
          <w:b/>
          <w:color w:val="000000"/>
          <w:rFonts w:ascii="Times New Roman" w:hAnsi="Times New Roman"/>
        </w:rPr>
        <w:t xml:space="preserve">Délka dostupnosti technické dokumentace a doporučení pro použití a údržbu</w:t>
      </w:r>
    </w:p>
    <w:p w:rsidR="00A920F2" w:rsidRPr="009451F9" w:rsidRDefault="00515C32" w:rsidP="009451F9">
      <w:pPr>
        <w:suppressAutoHyphens w:val="0"/>
        <w:spacing w:after="0" w:line="240" w:lineRule="auto"/>
        <w:jc w:val="both"/>
        <w:rPr>
          <w:color w:val="000000"/>
          <w:sz w:val="24"/>
          <w:szCs w:val="24"/>
          <w:rFonts w:ascii="Times New Roman" w:hAnsi="Times New Roman" w:cs="Times New Roman"/>
        </w:rPr>
      </w:pPr>
      <w:r>
        <w:rPr>
          <w:color w:val="000000"/>
          <w:sz w:val="24"/>
          <w:rFonts w:ascii="Times New Roman" w:hAnsi="Times New Roman"/>
        </w:rPr>
        <w:t xml:space="preserve">Je stanovena závazkem výrobce bezplatně poskytovat technické dokumenty pro autorizované a nezávislé opravce a spotřebitele i dokumenty týkající se doporučení použití a údržby pro spotřebitele, vyjadřuje se číslem jako počet roků od uvedení poslední jednotky na trh.</w:t>
      </w:r>
    </w:p>
    <w:p w:rsidR="00A920F2" w:rsidRDefault="00A920F2" w:rsidP="00591C74">
      <w:pPr>
        <w:pStyle w:val="SNSignatureGauche"/>
        <w:spacing w:before="0" w:after="0" w:line="240" w:lineRule="auto"/>
        <w:ind w:left="0" w:right="0" w:firstLine="0"/>
        <w:jc w:val="left"/>
        <w:rPr>
          <w:rFonts w:ascii="Times New Roman" w:hAnsi="Times New Roman"/>
          <w:b/>
          <w:color w:val="000000"/>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Kritérium č. 2 – Demontovatelnost a přístup, nářadí, spoje:</w:t>
      </w:r>
    </w:p>
    <w:p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Dílčí kritérium 2.1.</w:t>
      </w:r>
      <w:r>
        <w:rPr>
          <w:b/>
          <w:color w:val="000000"/>
          <w:sz w:val="24"/>
          <w:rFonts w:ascii="Times New Roman" w:hAnsi="Times New Roman"/>
        </w:rPr>
        <w:t xml:space="preserve"> </w:t>
      </w:r>
      <w:r>
        <w:rPr>
          <w:b/>
          <w:color w:val="000000"/>
          <w:sz w:val="24"/>
          <w:rFonts w:ascii="Times New Roman" w:hAnsi="Times New Roman"/>
        </w:rPr>
        <w:t xml:space="preserve">Snadnost demontáže součástek ze seznamu 2:</w:t>
      </w:r>
    </w:p>
    <w:p w:rsidR="00A920F2" w:rsidRDefault="00515C32" w:rsidP="00591C74">
      <w:pPr>
        <w:suppressAutoHyphens w:val="0"/>
        <w:spacing w:after="0" w:line="240" w:lineRule="auto"/>
        <w:jc w:val="both"/>
      </w:pPr>
      <w:r>
        <w:rPr>
          <w:color w:val="000000"/>
          <w:sz w:val="24"/>
          <w:rFonts w:ascii="Times New Roman" w:hAnsi="Times New Roman"/>
        </w:rPr>
        <w:t xml:space="preserve">Je stanovena počtem kroků demontáže, která umožní u každé součástky ze seznamu 2 přístup k této součástce a jejímu odpojení od zařízení pro účely její výměny.</w:t>
      </w:r>
      <w:r>
        <w:rPr>
          <w:color w:val="000000"/>
          <w:sz w:val="24"/>
          <w:rFonts w:ascii="Times New Roman" w:hAnsi="Times New Roman"/>
        </w:rPr>
        <w:t xml:space="preserve"> </w:t>
      </w:r>
      <w:r>
        <w:rPr>
          <w:color w:val="000000"/>
          <w:sz w:val="24"/>
          <w:rFonts w:ascii="Times New Roman" w:hAnsi="Times New Roman"/>
        </w:rPr>
        <w:t xml:space="preserve">Mezi známkou tohoto dílčího kritéria a známkou dílčího kritéria 3.1 je propojení v případě, kdy nějakou součástku nelze demontovat: známka nula se tedy přenáší z jednoho dílčího kritéria na druhé.</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Dílčí kritérium 2.2.</w:t>
      </w:r>
      <w:r>
        <w:rPr>
          <w:b/>
          <w:color w:val="000000"/>
          <w:sz w:val="24"/>
          <w:rFonts w:ascii="Times New Roman" w:hAnsi="Times New Roman"/>
        </w:rPr>
        <w:t xml:space="preserve"> </w:t>
      </w:r>
      <w:r>
        <w:rPr>
          <w:b/>
          <w:color w:val="000000"/>
          <w:sz w:val="24"/>
          <w:rFonts w:ascii="Times New Roman" w:hAnsi="Times New Roman"/>
        </w:rPr>
        <w:t xml:space="preserve">Nezbytné nářadí:</w:t>
      </w:r>
    </w:p>
    <w:p w:rsidR="00A920F2" w:rsidRDefault="00515C32" w:rsidP="00591C74">
      <w:pPr>
        <w:suppressAutoHyphens w:val="0"/>
        <w:spacing w:after="0" w:line="240" w:lineRule="auto"/>
        <w:jc w:val="both"/>
      </w:pPr>
      <w:r>
        <w:rPr>
          <w:color w:val="000000"/>
          <w:sz w:val="24"/>
          <w:rFonts w:ascii="Times New Roman" w:hAnsi="Times New Roman"/>
        </w:rPr>
        <w:t xml:space="preserve">Je určeno typem nezbytného nářadí pro demontáž každé součástky ze seznamu 2, podle typologie, která odlišuje „běžné“, „zvláštní“ nebo „vlastní“ nářadí.</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Dílčí kritérium 2.3.</w:t>
      </w:r>
      <w:r>
        <w:rPr>
          <w:b/>
          <w:color w:val="000000"/>
          <w:sz w:val="24"/>
          <w:rFonts w:ascii="Times New Roman" w:hAnsi="Times New Roman"/>
        </w:rPr>
        <w:t xml:space="preserve"> </w:t>
      </w:r>
      <w:r>
        <w:rPr>
          <w:b/>
          <w:color w:val="000000"/>
          <w:sz w:val="24"/>
          <w:rFonts w:ascii="Times New Roman" w:hAnsi="Times New Roman"/>
        </w:rPr>
        <w:t xml:space="preserve">Vlastnosti spojů:</w:t>
      </w:r>
    </w:p>
    <w:p w:rsidR="00A920F2" w:rsidRDefault="00515C32" w:rsidP="00591C74">
      <w:pPr>
        <w:suppressAutoHyphens w:val="0"/>
        <w:spacing w:after="0" w:line="240" w:lineRule="auto"/>
        <w:jc w:val="both"/>
      </w:pPr>
      <w:r>
        <w:rPr>
          <w:color w:val="000000"/>
          <w:sz w:val="24"/>
          <w:rFonts w:ascii="Times New Roman" w:hAnsi="Times New Roman"/>
        </w:rPr>
        <w:t xml:space="preserve">Jsou určeny u každé součástky na seznamech 1 a 2 podle typu spojů, které zaručují jejich upevnění k jiným součástkám zařízení podle typologie, která rozlišuje „odnímatelné a opakovaně použitelné“ spoje, „odnímatelné a opakovaně nepoužitelné“ spoje nebo „neodnímatelné a opakovaně nepoužitelné“ spoje.</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pPr>
      <w:r>
        <w:rPr>
          <w:b/>
          <w:color w:val="000000"/>
          <w:sz w:val="24"/>
          <w:rFonts w:ascii="Times New Roman" w:hAnsi="Times New Roman"/>
        </w:rPr>
        <w:t xml:space="preserve">Kritérium č. 3 – Dostupnost náhradních dílů</w:t>
      </w:r>
    </w:p>
    <w:p w:rsidR="00A920F2" w:rsidRDefault="00A920F2" w:rsidP="00591C74">
      <w:pPr>
        <w:keepNext/>
        <w:keepLines/>
        <w:suppressAutoHyphens w:val="0"/>
        <w:spacing w:after="0" w:line="240" w:lineRule="auto"/>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pPr>
      <w:r>
        <w:rPr>
          <w:b/>
          <w:color w:val="000000"/>
          <w:sz w:val="24"/>
          <w:rFonts w:ascii="Times New Roman" w:hAnsi="Times New Roman"/>
        </w:rPr>
        <w:t xml:space="preserve">Dílčí kritérium 3.1.</w:t>
      </w:r>
      <w:r>
        <w:rPr>
          <w:b/>
          <w:color w:val="000000"/>
          <w:sz w:val="24"/>
          <w:rFonts w:ascii="Times New Roman" w:hAnsi="Times New Roman"/>
        </w:rPr>
        <w:t xml:space="preserve"> </w:t>
      </w:r>
      <w:r>
        <w:rPr>
          <w:b/>
          <w:color w:val="000000"/>
          <w:sz w:val="24"/>
          <w:rFonts w:ascii="Times New Roman" w:hAnsi="Times New Roman"/>
        </w:rPr>
        <w:t xml:space="preserve">Doba dostupnosti součástek ze seznamu 2</w:t>
      </w:r>
    </w:p>
    <w:p w:rsidR="00A920F2" w:rsidRDefault="00515C32" w:rsidP="00591C74">
      <w:pPr>
        <w:suppressAutoHyphens w:val="0"/>
        <w:spacing w:after="0" w:line="240" w:lineRule="auto"/>
        <w:jc w:val="both"/>
      </w:pPr>
      <w:r>
        <w:rPr>
          <w:color w:val="000000"/>
          <w:sz w:val="24"/>
          <w:rFonts w:ascii="Times New Roman" w:hAnsi="Times New Roman"/>
        </w:rPr>
        <w:t xml:space="preserve">Je stanovena závazkem výrobce poskytovat součástky ze seznamu 2 pro autorizované a nezávislé opravce a spotřebitele , vyjadřuje se číslem jako počet roků od uvedení poslední jednotky na trh.</w:t>
      </w:r>
    </w:p>
    <w:p w:rsidR="00A920F2" w:rsidRDefault="00A920F2" w:rsidP="00591C74">
      <w:pPr>
        <w:suppressAutoHyphens w:val="0"/>
        <w:spacing w:after="0" w:line="240" w:lineRule="auto"/>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pPr>
      <w:r>
        <w:rPr>
          <w:b/>
          <w:color w:val="000000"/>
          <w:sz w:val="24"/>
          <w:rFonts w:ascii="Times New Roman" w:hAnsi="Times New Roman"/>
        </w:rPr>
        <w:t xml:space="preserve">Dílčí kritérium 3.2.</w:t>
      </w:r>
      <w:r>
        <w:rPr>
          <w:b/>
          <w:color w:val="000000"/>
          <w:sz w:val="24"/>
          <w:rFonts w:ascii="Times New Roman" w:hAnsi="Times New Roman"/>
        </w:rPr>
        <w:t xml:space="preserve"> </w:t>
      </w:r>
      <w:r>
        <w:rPr>
          <w:b/>
          <w:color w:val="000000"/>
          <w:sz w:val="24"/>
          <w:rFonts w:ascii="Times New Roman" w:hAnsi="Times New Roman"/>
        </w:rPr>
        <w:t xml:space="preserve">Doba dostupnosti součástek ze seznamu 1.</w:t>
      </w:r>
    </w:p>
    <w:p w:rsidR="00A920F2" w:rsidRDefault="00515C32" w:rsidP="00591C74">
      <w:pPr>
        <w:suppressAutoHyphens w:val="0"/>
        <w:spacing w:after="0" w:line="240" w:lineRule="auto"/>
        <w:jc w:val="both"/>
      </w:pPr>
      <w:r>
        <w:rPr>
          <w:color w:val="000000"/>
          <w:sz w:val="24"/>
          <w:rFonts w:ascii="Times New Roman" w:hAnsi="Times New Roman"/>
        </w:rPr>
        <w:t xml:space="preserve">Je stanovena závazkem výrobce poskytovat součástky ze seznamu 1 pro distributory náhradních dílů, autorizované a nezávislé opravce a spotřebitele, vyjadřuje se číslem jako počet roků od uvedení poslední jednotky na trh.</w:t>
      </w:r>
    </w:p>
    <w:p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pPr>
      <w:r>
        <w:rPr>
          <w:b/>
          <w:color w:val="000000"/>
          <w:sz w:val="24"/>
          <w:rFonts w:ascii="Times New Roman" w:hAnsi="Times New Roman"/>
        </w:rPr>
        <w:t xml:space="preserve">Dílčí kritérium 3.3.</w:t>
      </w:r>
      <w:r>
        <w:rPr>
          <w:b/>
          <w:color w:val="000000"/>
          <w:sz w:val="24"/>
          <w:rFonts w:ascii="Times New Roman" w:hAnsi="Times New Roman"/>
        </w:rPr>
        <w:t xml:space="preserve"> </w:t>
      </w:r>
      <w:r>
        <w:rPr>
          <w:b/>
          <w:color w:val="000000"/>
          <w:sz w:val="24"/>
          <w:rFonts w:ascii="Times New Roman" w:hAnsi="Times New Roman"/>
        </w:rPr>
        <w:t xml:space="preserve">Dodací lhůta součástek ze seznamu 2</w:t>
      </w:r>
    </w:p>
    <w:p w:rsidR="00A920F2" w:rsidRDefault="00515C32" w:rsidP="00591C74">
      <w:pPr>
        <w:suppressAutoHyphens w:val="0"/>
        <w:spacing w:after="0" w:line="240" w:lineRule="auto"/>
        <w:jc w:val="both"/>
      </w:pPr>
      <w:r>
        <w:rPr>
          <w:color w:val="000000"/>
          <w:sz w:val="24"/>
          <w:rFonts w:ascii="Times New Roman" w:hAnsi="Times New Roman"/>
        </w:rPr>
        <w:t xml:space="preserve">Je stanovena závazkem výrobce dodržet dodací lhůtu v počtu pracovních dní ode dne objednání a týká se součástek ze seznamu 2 objednaných distributory náhradních dílů, autorizovanými a nezávislými opravci a spotřebiteli.</w:t>
      </w:r>
    </w:p>
    <w:p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pPr>
      <w:r>
        <w:rPr>
          <w:b/>
          <w:color w:val="000000"/>
          <w:sz w:val="24"/>
          <w:rFonts w:ascii="Times New Roman" w:hAnsi="Times New Roman"/>
        </w:rPr>
        <w:t xml:space="preserve">Dílčí kritérium 3.4.</w:t>
      </w:r>
      <w:r>
        <w:rPr>
          <w:b/>
          <w:color w:val="000000"/>
          <w:sz w:val="24"/>
          <w:rFonts w:ascii="Times New Roman" w:hAnsi="Times New Roman"/>
        </w:rPr>
        <w:t xml:space="preserve"> </w:t>
      </w:r>
      <w:r>
        <w:rPr>
          <w:b/>
          <w:color w:val="000000"/>
          <w:sz w:val="24"/>
          <w:rFonts w:ascii="Times New Roman" w:hAnsi="Times New Roman"/>
        </w:rPr>
        <w:t xml:space="preserve">Dodací lhůta součástek ze seznamu 1</w:t>
      </w:r>
    </w:p>
    <w:p w:rsidR="00A920F2" w:rsidRDefault="00515C32" w:rsidP="00591C74">
      <w:pPr>
        <w:suppressAutoHyphens w:val="0"/>
        <w:spacing w:after="0" w:line="240" w:lineRule="auto"/>
        <w:jc w:val="both"/>
      </w:pPr>
      <w:r>
        <w:rPr>
          <w:color w:val="000000"/>
          <w:sz w:val="24"/>
          <w:rFonts w:ascii="Times New Roman" w:hAnsi="Times New Roman"/>
        </w:rPr>
        <w:t xml:space="preserve">Je stanovena závazkem výrobce dodržet dodací lhůtu v počtu pracovních dní ode dne objednání a týká se součástek ze seznamu 1 objednaných distributory náhradních dílů, autorizovanými a nezávislými opravci a spotřebiteli.</w:t>
      </w:r>
    </w:p>
    <w:p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Kritérium č. 4 – Cena náhradních dílů</w:t>
      </w:r>
    </w:p>
    <w:p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rsidR="00591C74" w:rsidRPr="00591C74" w:rsidRDefault="00515C32" w:rsidP="00591C74">
      <w:pPr>
        <w:keepNext/>
        <w:keepLines/>
        <w:suppressAutoHyphens w:val="0"/>
        <w:spacing w:after="0" w:line="240" w:lineRule="auto"/>
        <w:jc w:val="both"/>
        <w:rPr>
          <w:b/>
          <w:color w:val="000000"/>
          <w:sz w:val="24"/>
          <w:szCs w:val="24"/>
          <w:rFonts w:ascii="Times New Roman" w:hAnsi="Times New Roman" w:cs="Times New Roman"/>
        </w:rPr>
      </w:pPr>
      <w:r>
        <w:rPr>
          <w:b/>
          <w:color w:val="000000"/>
          <w:sz w:val="24"/>
          <w:rFonts w:ascii="Times New Roman" w:hAnsi="Times New Roman"/>
        </w:rPr>
        <w:t xml:space="preserve">Dílčí kritérium 4.1.</w:t>
      </w:r>
      <w:r>
        <w:rPr>
          <w:b/>
          <w:color w:val="000000"/>
          <w:sz w:val="24"/>
          <w:rFonts w:ascii="Times New Roman" w:hAnsi="Times New Roman"/>
        </w:rPr>
        <w:t xml:space="preserve"> </w:t>
      </w:r>
      <w:r>
        <w:rPr>
          <w:b/>
          <w:color w:val="000000"/>
          <w:sz w:val="24"/>
          <w:rFonts w:ascii="Times New Roman" w:hAnsi="Times New Roman"/>
        </w:rPr>
        <w:t xml:space="preserve">Poměr prodejní ceny náhradních dílů od výrobce nebo dovozce a cenou zařízení od výrobce nebo dovozce.</w:t>
      </w:r>
    </w:p>
    <w:p w:rsidR="00A920F2" w:rsidRDefault="00515C32" w:rsidP="00591C74">
      <w:pPr>
        <w:keepNext/>
        <w:keepLines/>
        <w:suppressAutoHyphens w:val="0"/>
        <w:spacing w:after="0" w:line="240" w:lineRule="auto"/>
        <w:jc w:val="both"/>
      </w:pPr>
      <w:r>
        <w:rPr>
          <w:color w:val="000000"/>
          <w:sz w:val="24"/>
          <w:rFonts w:ascii="Times New Roman" w:hAnsi="Times New Roman"/>
        </w:rPr>
        <w:t xml:space="preserve">Toto kritérium je stanoveno pomocí poměru:</w:t>
      </w:r>
    </w:p>
    <w:p w:rsidR="00591C74" w:rsidRDefault="00515C32" w:rsidP="00591C74">
      <w:pPr>
        <w:suppressAutoHyphens w:val="0"/>
        <w:spacing w:after="0" w:line="240" w:lineRule="auto"/>
        <w:jc w:val="both"/>
        <w:rPr>
          <w:color w:val="000000"/>
          <w:sz w:val="24"/>
          <w:szCs w:val="24"/>
          <w:rFonts w:ascii="Times New Roman" w:hAnsi="Times New Roman" w:cs="Times New Roman"/>
        </w:rPr>
      </w:pPr>
      <w:r>
        <w:rPr>
          <w:color w:val="000000"/>
          <w:sz w:val="24"/>
          <w:rFonts w:ascii="Times New Roman" w:hAnsi="Times New Roman"/>
        </w:rPr>
        <w:t xml:space="preserve">Mezi cenou bez daně nejdražší součástky ze seznamu 2 + (průměr cen bez daně jiných součástek ze seznamu 2)/2 a</w:t>
      </w:r>
    </w:p>
    <w:p w:rsidR="00A920F2" w:rsidRDefault="00515C32" w:rsidP="00591C74">
      <w:pPr>
        <w:suppressAutoHyphens w:val="0"/>
        <w:spacing w:after="0" w:line="240" w:lineRule="auto"/>
        <w:jc w:val="both"/>
      </w:pPr>
      <w:r>
        <w:rPr>
          <w:color w:val="000000"/>
          <w:sz w:val="24"/>
          <w:rFonts w:ascii="Times New Roman" w:hAnsi="Times New Roman"/>
        </w:rPr>
        <w:t xml:space="preserve">cenou bez daně modelu dotčeného zařízení, kde se každá cena bere jako cena bez daně dle sazebníku platného v době výpočtu indexu a je uvedena ve všeobecných obchodních podmínkách výrobce nebo dovozce nebo případně v jakémkoli příslušném smluvním dokumentu.</w:t>
      </w:r>
      <w:r>
        <w:rPr>
          <w:color w:val="000000"/>
          <w:sz w:val="24"/>
          <w:rFonts w:ascii="Times New Roman" w:hAnsi="Times New Roman"/>
        </w:rPr>
        <w:t xml:space="preserve"> </w:t>
      </w:r>
    </w:p>
    <w:p w:rsidR="00A920F2" w:rsidRDefault="00A920F2" w:rsidP="00591C74">
      <w:pPr>
        <w:suppressAutoHyphens w:val="0"/>
        <w:spacing w:after="0" w:line="240" w:lineRule="auto"/>
        <w:jc w:val="both"/>
        <w:rPr>
          <w:rFonts w:ascii="Times New Roman" w:hAnsi="Times New Roman" w:cs="Times New Roman"/>
          <w:color w:val="000000"/>
          <w:sz w:val="24"/>
          <w:szCs w:val="24"/>
        </w:rPr>
      </w:pPr>
    </w:p>
    <w:p w:rsidR="00A920F2" w:rsidRDefault="00515C32" w:rsidP="00591C74">
      <w:pPr>
        <w:suppressAutoHyphens w:val="0"/>
        <w:spacing w:after="0" w:line="240" w:lineRule="auto"/>
        <w:jc w:val="both"/>
      </w:pPr>
      <w:r>
        <w:rPr>
          <w:color w:val="000000"/>
          <w:sz w:val="24"/>
          <w:rFonts w:ascii="Times New Roman" w:hAnsi="Times New Roman"/>
        </w:rPr>
        <w:t xml:space="preserve">Pokud výrobce nebo dovozce má k dispozici pro součástky nebo posuzovaná zařízení různé sazebníky podle různých kategorií zákazníků z řad distributorů nebo prodejců, ceny posuzované pro výpočet indexu jsou ceny ze sazebníku, který představuje nejvyšší část obratu výrobce nebo dovozce pro daný typ součástky nebo typ zařízení za poslední uzavřené účetní období.</w:t>
      </w:r>
      <w:r>
        <w:rPr>
          <w:color w:val="000000"/>
          <w:sz w:val="24"/>
          <w:rFonts w:ascii="Times New Roman" w:hAnsi="Times New Roman"/>
        </w:rPr>
        <w:t xml:space="preserve"> </w:t>
      </w:r>
    </w:p>
    <w:p w:rsidR="00A920F2" w:rsidRDefault="00A920F2" w:rsidP="00591C74">
      <w:pPr>
        <w:suppressAutoHyphens w:val="0"/>
        <w:spacing w:after="0" w:line="240" w:lineRule="auto"/>
        <w:jc w:val="both"/>
        <w:rPr>
          <w:rFonts w:ascii="Times New Roman" w:hAnsi="Times New Roman" w:cs="Times New Roman"/>
          <w:color w:val="000000"/>
          <w:sz w:val="24"/>
          <w:szCs w:val="24"/>
        </w:rPr>
      </w:pPr>
    </w:p>
    <w:p w:rsidR="00A920F2" w:rsidRDefault="00515C32" w:rsidP="00591C74">
      <w:pPr>
        <w:suppressAutoHyphens w:val="0"/>
        <w:spacing w:after="0" w:line="240" w:lineRule="auto"/>
        <w:jc w:val="both"/>
      </w:pPr>
      <w:r>
        <w:rPr>
          <w:color w:val="000000"/>
          <w:sz w:val="24"/>
          <w:rFonts w:ascii="Times New Roman" w:hAnsi="Times New Roman"/>
        </w:rPr>
        <w:t xml:space="preserve">V případě, že některé z těchto součástek nelze rozdělit nebo pokud je přišroubovaná součástka součástí modulu, který je jediný dostupný, je posuzovanou cenou souhrnná cena součástek nebo cena modulu.</w:t>
      </w:r>
    </w:p>
    <w:p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Kritérium č. 5 – Zvláštní kritérium pro dotčenou kategorii zařízení</w:t>
      </w:r>
    </w:p>
    <w:p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suppressAutoHyphens w:val="0"/>
        <w:spacing w:after="0" w:line="240" w:lineRule="auto"/>
        <w:jc w:val="both"/>
      </w:pPr>
      <w:r>
        <w:rPr>
          <w:color w:val="000000"/>
          <w:sz w:val="24"/>
          <w:rFonts w:ascii="Times New Roman" w:hAnsi="Times New Roman"/>
        </w:rPr>
        <w:t xml:space="preserve">Toto kritérium se skládá z jednoho či více dílčích kritérií, která jsou specifická pro dotčenou kategorii zařízení.</w:t>
      </w:r>
      <w:r>
        <w:rPr>
          <w:color w:val="000000"/>
          <w:sz w:val="24"/>
          <w:rFonts w:ascii="Times New Roman" w:hAnsi="Times New Roman"/>
        </w:rPr>
        <w:t xml:space="preserve"> </w:t>
      </w:r>
      <w:r>
        <w:rPr>
          <w:color w:val="000000"/>
          <w:sz w:val="24"/>
          <w:rFonts w:ascii="Times New Roman" w:hAnsi="Times New Roman"/>
        </w:rPr>
        <w:t xml:space="preserve">Pokud je to vhodné pro dotčenou kategorii zařízení, zahrnuje kritérium 5, které je specifické pro danou kategorii, ještě jedno dílčí kritérium vztahující se k přítomnosti použití, k němuž má spotřebitel přístup, jehož koeficient pak má hodnotu alespoň 1.</w:t>
      </w:r>
    </w:p>
    <w:p w:rsidR="00A920F2" w:rsidRDefault="00A920F2" w:rsidP="00591C74">
      <w:pPr>
        <w:pStyle w:val="SNSignatureGauche"/>
        <w:spacing w:before="0" w:after="0" w:line="240" w:lineRule="auto"/>
        <w:ind w:left="0" w:right="0" w:firstLine="0"/>
        <w:jc w:val="left"/>
        <w:rPr>
          <w:rFonts w:ascii="Times New Roman" w:hAnsi="Times New Roman"/>
          <w:b/>
          <w:color w:val="000000"/>
        </w:rPr>
      </w:pPr>
    </w:p>
    <w:p w:rsidR="00A920F2" w:rsidRDefault="00515C32" w:rsidP="00591C74">
      <w:pPr>
        <w:pStyle w:val="SNSignatureGauche"/>
        <w:keepNext/>
        <w:keepLines/>
        <w:spacing w:before="0" w:after="0" w:line="240" w:lineRule="auto"/>
        <w:ind w:left="0" w:right="0" w:firstLine="0"/>
        <w:jc w:val="left"/>
      </w:pPr>
      <w:r>
        <w:rPr>
          <w:b/>
          <w:color w:val="000000"/>
          <w:rFonts w:ascii="Times New Roman" w:hAnsi="Times New Roman"/>
        </w:rPr>
        <w:t xml:space="preserve">Článek 6 – Použité definice</w:t>
      </w:r>
    </w:p>
    <w:p w:rsidR="00A920F2" w:rsidRDefault="00A920F2" w:rsidP="00591C74">
      <w:pPr>
        <w:pStyle w:val="SNSignatureGauche"/>
        <w:keepNext/>
        <w:keepLines/>
        <w:spacing w:before="0" w:after="0" w:line="240" w:lineRule="auto"/>
        <w:ind w:left="0" w:right="0" w:firstLine="0"/>
        <w:jc w:val="left"/>
        <w:rPr>
          <w:rFonts w:ascii="Times New Roman" w:hAnsi="Times New Roman"/>
          <w:b/>
          <w:color w:val="000000"/>
        </w:rPr>
      </w:pPr>
    </w:p>
    <w:p w:rsidR="00591C74" w:rsidRDefault="00515C32" w:rsidP="00591C74">
      <w:pPr>
        <w:pStyle w:val="SNSignatureGauche"/>
        <w:keepNext/>
        <w:keepLines/>
        <w:spacing w:before="0" w:after="0" w:line="240" w:lineRule="auto"/>
        <w:ind w:left="0" w:right="0" w:firstLine="0"/>
        <w:jc w:val="left"/>
        <w:rPr>
          <w:b/>
          <w:color w:val="000000"/>
          <w:rFonts w:ascii="Times New Roman" w:hAnsi="Times New Roman"/>
        </w:rPr>
      </w:pPr>
      <w:r>
        <w:rPr>
          <w:b/>
          <w:color w:val="000000"/>
          <w:rFonts w:ascii="Times New Roman" w:hAnsi="Times New Roman"/>
        </w:rPr>
        <w:t xml:space="preserve">Seznam součástek</w:t>
      </w:r>
    </w:p>
    <w:p w:rsidR="00591C74" w:rsidRDefault="00515C32" w:rsidP="002A489A">
      <w:pPr>
        <w:pStyle w:val="SNSignatureGauche"/>
        <w:keepNext/>
        <w:keepLines/>
        <w:spacing w:before="0" w:after="0" w:line="240" w:lineRule="auto"/>
        <w:ind w:left="0" w:right="0" w:firstLine="0"/>
        <w:jc w:val="both"/>
        <w:rPr>
          <w:color w:val="000000"/>
          <w:rFonts w:ascii="Times New Roman" w:hAnsi="Times New Roman"/>
        </w:rPr>
      </w:pPr>
      <w:r>
        <w:rPr>
          <w:color w:val="000000"/>
          <w:rFonts w:ascii="Times New Roman" w:hAnsi="Times New Roman"/>
        </w:rPr>
        <w:t xml:space="preserve">Pro každou kategorii zařízení jsou stanoveny dva seznamy součástek:</w:t>
      </w:r>
    </w:p>
    <w:p w:rsidR="00591C74" w:rsidRDefault="00515C32" w:rsidP="002A489A">
      <w:pPr>
        <w:pStyle w:val="SNSignatureGauche"/>
        <w:spacing w:before="0" w:after="0" w:line="240" w:lineRule="auto"/>
        <w:ind w:left="0" w:right="0" w:firstLine="0"/>
        <w:jc w:val="both"/>
        <w:rPr>
          <w:color w:val="000000"/>
          <w:rFonts w:ascii="Times New Roman" w:hAnsi="Times New Roman"/>
        </w:rPr>
      </w:pPr>
      <w:r>
        <w:rPr>
          <w:color w:val="000000"/>
          <w:rFonts w:ascii="Times New Roman" w:hAnsi="Times New Roman"/>
        </w:rPr>
        <w:t xml:space="preserve">– seznam 2: seznam tří až pěti náhradních dílů (podle dotčené kategorie zařízení), jejichž rozbití nebo poruchy jsou nejčastější;</w:t>
      </w:r>
    </w:p>
    <w:p w:rsidR="00A920F2" w:rsidRDefault="00BD3BED" w:rsidP="002A489A">
      <w:pPr>
        <w:pStyle w:val="SNSignatureGauche"/>
        <w:spacing w:before="0" w:after="0" w:line="240" w:lineRule="auto"/>
        <w:ind w:left="0" w:right="0" w:firstLine="0"/>
        <w:jc w:val="both"/>
        <w:rPr>
          <w:color w:val="000000"/>
          <w:rFonts w:ascii="Times New Roman" w:hAnsi="Times New Roman"/>
        </w:rPr>
      </w:pPr>
      <w:r>
        <w:rPr>
          <w:color w:val="000000"/>
          <w:rFonts w:ascii="Times New Roman" w:hAnsi="Times New Roman"/>
        </w:rPr>
        <w:t xml:space="preserve">– seznam 1: seznam deseti dalších náhradních dílů (podle dotčené kategorie zařízení), jejichž dobrý stav je nezbytný pro fungování zařízení.</w:t>
      </w:r>
    </w:p>
    <w:p w:rsidR="00591C74" w:rsidRDefault="00591C74" w:rsidP="00591C74">
      <w:pPr>
        <w:pStyle w:val="SNSignatureGauche"/>
        <w:spacing w:before="0" w:after="0" w:line="240" w:lineRule="auto"/>
        <w:ind w:left="0" w:right="0" w:firstLine="0"/>
        <w:jc w:val="left"/>
      </w:pPr>
    </w:p>
    <w:p w:rsidR="00A920F2" w:rsidRDefault="00515C32" w:rsidP="00591C74">
      <w:pPr>
        <w:pStyle w:val="SNSignatureGauche"/>
        <w:spacing w:before="0" w:after="0" w:line="240" w:lineRule="auto"/>
        <w:ind w:left="0" w:right="0" w:firstLine="0"/>
        <w:jc w:val="left"/>
      </w:pPr>
      <w:r>
        <w:rPr>
          <w:color w:val="000000"/>
          <w:rFonts w:ascii="Times New Roman" w:hAnsi="Times New Roman"/>
        </w:rPr>
        <w:t xml:space="preserve">Tyto seznamy nemusejí nezbytně pokrývat všechny součástky, z nichž je zařízení složeno.</w:t>
      </w:r>
      <w:r>
        <w:rPr>
          <w:color w:val="000000"/>
          <w:rFonts w:ascii="Times New Roman" w:hAnsi="Times New Roman"/>
        </w:rPr>
        <w:t xml:space="preserve"> </w:t>
      </w:r>
    </w:p>
    <w:p w:rsidR="00591C74" w:rsidRDefault="00591C74" w:rsidP="00591C74">
      <w:pPr>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Pojem „krok“</w:t>
      </w:r>
    </w:p>
    <w:p w:rsidR="00A920F2" w:rsidRDefault="00515C32" w:rsidP="00591C74">
      <w:pPr>
        <w:suppressAutoHyphens w:val="0"/>
        <w:spacing w:after="0" w:line="240" w:lineRule="auto"/>
        <w:jc w:val="both"/>
      </w:pPr>
      <w:r>
        <w:rPr>
          <w:color w:val="000000"/>
          <w:sz w:val="24"/>
          <w:rFonts w:ascii="Times New Roman" w:hAnsi="Times New Roman"/>
        </w:rPr>
        <w:t xml:space="preserve">Krok je operace, po jejímž provedení dojde k demontáži součástky nebo dílu nebo k výměně nástroje.</w:t>
      </w:r>
      <w:r>
        <w:rPr>
          <w:color w:val="000000"/>
          <w:sz w:val="24"/>
          <w:rFonts w:ascii="Times New Roman" w:hAnsi="Times New Roman"/>
        </w:rPr>
        <w:t xml:space="preserve"> </w:t>
      </w:r>
      <w:r>
        <w:rPr>
          <w:color w:val="000000"/>
          <w:sz w:val="24"/>
          <w:rFonts w:ascii="Times New Roman" w:hAnsi="Times New Roman"/>
        </w:rPr>
        <w:t xml:space="preserve">Součástka může obsahovat jeden nebo více dílů.</w:t>
      </w:r>
    </w:p>
    <w:p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rsidR="00A920F2" w:rsidRDefault="00515C32" w:rsidP="00591C74">
      <w:pPr>
        <w:suppressAutoHyphens w:val="0"/>
        <w:spacing w:after="0" w:line="240" w:lineRule="auto"/>
        <w:jc w:val="both"/>
      </w:pPr>
      <w:r>
        <w:rPr>
          <w:color w:val="000000"/>
          <w:sz w:val="24"/>
          <w:rFonts w:ascii="Times New Roman" w:hAnsi="Times New Roman"/>
        </w:rPr>
        <w:t xml:space="preserve">Tato obecná definice může mít výjimky odůvodněné praktickými nebo bezpečnostními skutečnostmi.</w:t>
      </w:r>
      <w:r>
        <w:rPr>
          <w:color w:val="000000"/>
          <w:sz w:val="24"/>
          <w:rFonts w:ascii="Times New Roman" w:hAnsi="Times New Roman"/>
        </w:rPr>
        <w:t xml:space="preserve"> </w:t>
      </w:r>
      <w:r>
        <w:rPr>
          <w:color w:val="000000"/>
          <w:sz w:val="24"/>
          <w:rFonts w:ascii="Times New Roman" w:hAnsi="Times New Roman"/>
        </w:rPr>
        <w:t xml:space="preserve">Tyto výjimky upřesňuje za každou kategorii zařízení vyhláška ministra pověřeného životním prostředím a ministra pověřeného hospodářstvím a financemi.</w:t>
      </w:r>
    </w:p>
    <w:p w:rsidR="00A920F2" w:rsidRDefault="00A920F2" w:rsidP="00591C74">
      <w:pPr>
        <w:suppressAutoHyphens w:val="0"/>
        <w:spacing w:after="0" w:line="240" w:lineRule="auto"/>
        <w:jc w:val="both"/>
        <w:rPr>
          <w:rFonts w:ascii="Times New Roman" w:hAnsi="Times New Roman" w:cs="Times New Roman"/>
          <w:bCs/>
          <w:color w:val="000000"/>
          <w:sz w:val="24"/>
          <w:szCs w:val="24"/>
        </w:rPr>
      </w:pPr>
    </w:p>
    <w:p w:rsidR="00A920F2" w:rsidRDefault="00515C32" w:rsidP="00591C74">
      <w:pPr>
        <w:suppressAutoHyphens w:val="0"/>
        <w:spacing w:after="0" w:line="240" w:lineRule="auto"/>
        <w:jc w:val="both"/>
      </w:pPr>
      <w:r>
        <w:rPr>
          <w:color w:val="000000"/>
          <w:sz w:val="24"/>
          <w:rFonts w:ascii="Times New Roman" w:hAnsi="Times New Roman"/>
        </w:rPr>
        <w:t xml:space="preserve">Spoje nebo propojení se definují jako spojovací, fixační nebo upevňovací techniky.</w:t>
      </w:r>
      <w:r>
        <w:rPr>
          <w:color w:val="000000"/>
          <w:sz w:val="24"/>
          <w:rFonts w:ascii="Times New Roman" w:hAnsi="Times New Roman"/>
        </w:rPr>
        <w:t xml:space="preserve"> </w:t>
      </w:r>
      <w:r>
        <w:rPr>
          <w:color w:val="000000"/>
          <w:sz w:val="24"/>
          <w:rFonts w:ascii="Times New Roman" w:hAnsi="Times New Roman"/>
        </w:rPr>
        <w:t xml:space="preserve">Fixační nebo spojovací prvky se nepovažují za díly.</w:t>
      </w:r>
    </w:p>
    <w:p w:rsidR="00A920F2" w:rsidRDefault="00A920F2" w:rsidP="00591C74">
      <w:pPr>
        <w:suppressAutoHyphens w:val="0"/>
        <w:spacing w:after="0" w:line="240" w:lineRule="auto"/>
        <w:jc w:val="both"/>
        <w:rPr>
          <w:rFonts w:ascii="Times New Roman" w:hAnsi="Times New Roman" w:cs="Times New Roman"/>
          <w:bCs/>
          <w:color w:val="000000"/>
          <w:sz w:val="24"/>
          <w:szCs w:val="24"/>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Druhy spojů</w:t>
      </w:r>
    </w:p>
    <w:p w:rsidR="00A920F2" w:rsidRDefault="00515C32" w:rsidP="00591C74">
      <w:pPr>
        <w:suppressAutoHyphens w:val="0"/>
        <w:spacing w:after="0" w:line="240" w:lineRule="auto"/>
        <w:jc w:val="both"/>
      </w:pPr>
      <w:r>
        <w:rPr>
          <w:color w:val="000000"/>
          <w:sz w:val="24"/>
          <w:rFonts w:ascii="Times New Roman" w:hAnsi="Times New Roman"/>
        </w:rPr>
        <w:t xml:space="preserve">Odnímatelné a opakovaně použitelné: původní systém upevnění, který lze zcela demontovat, aniž by došlo k poškození zařízení a k zanechání zbytků, a který lze opakovaně použít.</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color w:val="000000"/>
          <w:sz w:val="24"/>
          <w:rFonts w:ascii="Times New Roman" w:hAnsi="Times New Roman"/>
        </w:rPr>
        <w:t xml:space="preserve">Odnímatelné a opakovaně nepoužitelné: původní systém upevnění, který lze zcela demontovat, aniž by došlo k poškození zařízení a k zanechání zbytků, který však nelze opakovaně použít.</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color w:val="000000"/>
          <w:sz w:val="24"/>
          <w:rFonts w:ascii="Times New Roman" w:hAnsi="Times New Roman"/>
        </w:rPr>
        <w:t xml:space="preserve">Neodnímatelné a opakovaně nepoužitelné: původní systém upevnění, který nelze zcela demontovat, aniž by došlo k poškození zařízení a k zanechání zbytků, a který nelze opakovaně použít.</w:t>
      </w:r>
    </w:p>
    <w:p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Druhy nářadí</w:t>
      </w:r>
    </w:p>
    <w:p w:rsidR="00A920F2" w:rsidRDefault="00515C32" w:rsidP="00591C74">
      <w:pPr>
        <w:suppressAutoHyphens w:val="0"/>
        <w:spacing w:after="0" w:line="240" w:lineRule="auto"/>
        <w:jc w:val="both"/>
      </w:pPr>
      <w:r>
        <w:rPr>
          <w:color w:val="000000"/>
          <w:sz w:val="24"/>
          <w:rFonts w:ascii="Times New Roman" w:hAnsi="Times New Roman"/>
        </w:rPr>
        <w:t xml:space="preserve">Seznam běžného nářadí je tvořen následujícím seznamem a odpovídá referenčním normám:</w:t>
      </w:r>
    </w:p>
    <w:p w:rsidR="00A920F2" w:rsidRDefault="00A920F2" w:rsidP="00591C74">
      <w:pPr>
        <w:pStyle w:val="Tabletitle"/>
        <w:keepNext w:val="0"/>
        <w:spacing w:before="0" w:after="0" w:line="240" w:lineRule="auto"/>
        <w:jc w:val="left"/>
        <w:rPr>
          <w:rFonts w:ascii="Times New Roman" w:hAnsi="Times New Roman"/>
          <w:color w:val="000000"/>
          <w:sz w:val="24"/>
          <w:lang w:val="fr-FR" w:eastAsia="fr-FR"/>
        </w:rPr>
      </w:pPr>
    </w:p>
    <w:tbl>
      <w:tblPr>
        <w:tblW w:w="5000" w:type="pct"/>
        <w:tblLayout w:type="fixed"/>
        <w:tblCellMar>
          <w:left w:w="43" w:type="dxa"/>
          <w:right w:w="43" w:type="dxa"/>
        </w:tblCellMar>
        <w:tblLook w:val="0000" w:firstRow="0" w:lastRow="0" w:firstColumn="0" w:lastColumn="0" w:noHBand="0" w:noVBand="0"/>
      </w:tblPr>
      <w:tblGrid>
        <w:gridCol w:w="4828"/>
        <w:gridCol w:w="4898"/>
      </w:tblGrid>
      <w:tr w:rsidR="00A920F2" w:rsidRPr="009451F9" w:rsidTr="00591C74">
        <w:trPr>
          <w:tblHeader/>
        </w:trPr>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header"/>
              <w:keepNext/>
              <w:keepLines/>
              <w:spacing w:before="0" w:after="0" w:line="240" w:lineRule="auto"/>
              <w:jc w:val="center"/>
              <w:rPr>
                <w:b/>
                <w:color w:val="000000"/>
                <w:sz w:val="24"/>
                <w:szCs w:val="24"/>
                <w:rFonts w:ascii="Times New Roman" w:hAnsi="Times New Roman"/>
              </w:rPr>
            </w:pPr>
            <w:r>
              <w:rPr>
                <w:b/>
                <w:color w:val="000000"/>
                <w:sz w:val="24"/>
                <w:rFonts w:ascii="Times New Roman" w:hAnsi="Times New Roman"/>
              </w:rPr>
              <w:t xml:space="preserve">Běžná nářadí</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header"/>
              <w:keepNext/>
              <w:keepLines/>
              <w:spacing w:before="0" w:after="0" w:line="240" w:lineRule="auto"/>
              <w:jc w:val="center"/>
              <w:rPr>
                <w:b/>
                <w:color w:val="000000"/>
                <w:sz w:val="24"/>
                <w:szCs w:val="24"/>
                <w:rFonts w:ascii="Times New Roman" w:hAnsi="Times New Roman"/>
              </w:rPr>
            </w:pPr>
            <w:r>
              <w:rPr>
                <w:b/>
                <w:color w:val="000000"/>
                <w:sz w:val="24"/>
                <w:rFonts w:ascii="Times New Roman" w:hAnsi="Times New Roman"/>
              </w:rPr>
              <w:t xml:space="preserve">Reference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Plochý šroubovák, křížový šroubovák a šroubovák pro šrouby Torx.</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rFonts w:ascii="Times New Roman" w:hAnsi="Times New Roman"/>
              </w:rPr>
              <w:t xml:space="preserve">ISO 2380, ISO 8764, ISO 10664</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Klíč pro šestihranné šrouby</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rFonts w:ascii="Times New Roman" w:hAnsi="Times New Roman"/>
              </w:rPr>
              <w:t xml:space="preserve">ISO 2936</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Smíšený klíč</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rFonts w:ascii="Times New Roman" w:hAnsi="Times New Roman"/>
              </w:rPr>
              <w:t xml:space="preserve">ISO 7738</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Univerzální kleště</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rFonts w:ascii="Times New Roman" w:hAnsi="Times New Roman"/>
              </w:rPr>
              <w:t xml:space="preserve">ISO 5746</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Zahnuté kleště</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rFonts w:ascii="Times New Roman" w:hAnsi="Times New Roman"/>
              </w:rPr>
              <w:t xml:space="preserve">ISO 5745</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Štípací kleště</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rFonts w:ascii="Times New Roman" w:hAnsi="Times New Roman"/>
              </w:rPr>
              <w:t xml:space="preserve">ISO 5749</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Kleště Siko</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rFonts w:ascii="Times New Roman" w:hAnsi="Times New Roman"/>
              </w:rPr>
              <w:t xml:space="preserve">ISO 8976</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Samosvorné kleště</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Univerzální kleště pro odizolování a lisování svorek</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Páka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Pinzeta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Kladivo (kovová hlava)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rFonts w:ascii="Times New Roman" w:hAnsi="Times New Roman"/>
              </w:rPr>
              <w:t xml:space="preserve">ISO 15601</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Univerzální nůž (cutter) se zasouvacím ostřím</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Multimetr</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Voltmetr (zkoušečka napětí)</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Svářečka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Lepicí pistole</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Lupa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rFonts w:ascii="Times New Roman" w:hAnsi="Times New Roman"/>
              </w:rPr>
              <w:t xml:space="preserve">/</w:t>
            </w:r>
          </w:p>
        </w:tc>
      </w:tr>
    </w:tbl>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color w:val="000000"/>
          <w:sz w:val="24"/>
          <w:rFonts w:ascii="Times New Roman" w:hAnsi="Times New Roman"/>
        </w:rPr>
        <w:t xml:space="preserve">Zvláštní nářadí je takové, které není uvedeno na seznamu běžného nářadí, aniž by šlo o vlastní nářadí výrobce.</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color w:val="000000"/>
          <w:sz w:val="24"/>
          <w:rFonts w:ascii="Times New Roman" w:hAnsi="Times New Roman"/>
        </w:rPr>
        <w:t xml:space="preserve">Vlastní nářadí výrobce je takové, k němuž drží duševní vlastnictví výrobce nebo zvláštní subjekt.</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rFonts w:ascii="Times New Roman" w:hAnsi="Times New Roman"/>
        </w:rPr>
        <w:t xml:space="preserve">Počítadlo použití</w:t>
      </w:r>
    </w:p>
    <w:p w:rsidR="00A920F2" w:rsidRDefault="00515C32" w:rsidP="00591C74">
      <w:pPr>
        <w:suppressAutoHyphens w:val="0"/>
        <w:spacing w:after="0" w:line="240" w:lineRule="auto"/>
        <w:jc w:val="both"/>
      </w:pPr>
      <w:r>
        <w:rPr>
          <w:color w:val="000000"/>
          <w:sz w:val="24"/>
          <w:rFonts w:ascii="Times New Roman" w:hAnsi="Times New Roman"/>
        </w:rPr>
        <w:t xml:space="preserve">Zařízení, které kumulativně zaznamenává použití zařízení v počtu jednotek.</w:t>
      </w:r>
      <w:r>
        <w:rPr>
          <w:color w:val="000000"/>
          <w:sz w:val="24"/>
          <w:rFonts w:ascii="Times New Roman" w:hAnsi="Times New Roman"/>
        </w:rPr>
        <w:t xml:space="preserve"> </w:t>
      </w:r>
      <w:r>
        <w:rPr>
          <w:color w:val="000000"/>
          <w:sz w:val="24"/>
          <w:rFonts w:ascii="Times New Roman" w:hAnsi="Times New Roman"/>
        </w:rPr>
        <w:t xml:space="preserve">Počítadlo použití může být přímo přístupné pro spotřebitele při každém zapnutí zařízení nebo může vyžadovat úmyslnou činnost ze strany uživatele za účelem zjištění hodnoty zobrazované počítadlem použití.</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A920F2" w:rsidP="00591C74">
      <w:pPr>
        <w:spacing w:after="0" w:line="240" w:lineRule="auto"/>
        <w:rPr>
          <w:rFonts w:ascii="Times New Roman" w:hAnsi="Times New Roman" w:cs="Times New Roman"/>
          <w:color w:val="000000"/>
          <w:sz w:val="24"/>
          <w:szCs w:val="24"/>
          <w:lang w:eastAsia="fr-FR"/>
        </w:rPr>
      </w:pPr>
    </w:p>
    <w:p w:rsidR="00591C74" w:rsidRDefault="00591C74" w:rsidP="00591C74">
      <w:pPr>
        <w:spacing w:after="0" w:line="240" w:lineRule="auto"/>
        <w:rPr>
          <w:rFonts w:ascii="Times New Roman" w:hAnsi="Times New Roman" w:cs="Times New Roman"/>
          <w:color w:val="000000"/>
          <w:sz w:val="24"/>
          <w:szCs w:val="24"/>
          <w:lang w:eastAsia="fr-FR"/>
        </w:rPr>
      </w:pPr>
    </w:p>
    <w:p w:rsidR="00A920F2" w:rsidRPr="00247F97" w:rsidRDefault="00515C32" w:rsidP="00845239">
      <w:pPr>
        <w:keepNext/>
        <w:keepLines/>
        <w:autoSpaceDE w:val="0"/>
        <w:spacing w:after="0" w:line="240" w:lineRule="auto"/>
        <w:rPr>
          <w:color w:val="000000"/>
          <w:sz w:val="24"/>
          <w:szCs w:val="24"/>
          <w:rFonts w:ascii="Times New Roman" w:hAnsi="Times New Roman" w:cs="Times New Roman"/>
        </w:rPr>
      </w:pPr>
      <w:r>
        <w:rPr>
          <w:color w:val="000000"/>
          <w:sz w:val="24"/>
          <w:rFonts w:ascii="Times New Roman" w:hAnsi="Times New Roman"/>
        </w:rPr>
        <w:t xml:space="preserve">Ministryně pro ekologický přechod:</w:t>
      </w:r>
    </w:p>
    <w:p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0C5560">
      <w:pPr>
        <w:keepNext/>
        <w:keepLines/>
        <w:autoSpaceDE w:val="0"/>
        <w:spacing w:after="0" w:line="240" w:lineRule="auto"/>
        <w:rPr>
          <w:color w:val="000000"/>
          <w:sz w:val="24"/>
          <w:szCs w:val="24"/>
          <w:rFonts w:ascii="Times New Roman" w:hAnsi="Times New Roman" w:cs="Times New Roman"/>
        </w:rPr>
      </w:pPr>
      <w:r>
        <w:rPr>
          <w:color w:val="000000"/>
          <w:sz w:val="24"/>
          <w:rFonts w:ascii="Times New Roman" w:hAnsi="Times New Roman"/>
        </w:rPr>
        <w:t xml:space="preserve">Za ministryni a z pověření, generální ředitel pro udržitelný rozvoj,</w:t>
      </w:r>
    </w:p>
    <w:p w:rsidR="00BD3BED" w:rsidRDefault="00BD3BED" w:rsidP="000C5560">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845239">
      <w:pPr>
        <w:autoSpaceDE w:val="0"/>
        <w:spacing w:after="0" w:line="240" w:lineRule="auto"/>
        <w:rPr>
          <w:color w:val="000000"/>
          <w:sz w:val="24"/>
          <w:szCs w:val="24"/>
          <w:rFonts w:ascii="Times New Roman" w:hAnsi="Times New Roman" w:cs="Times New Roman"/>
        </w:rPr>
      </w:pPr>
      <w:r>
        <w:rPr>
          <w:color w:val="000000"/>
          <w:sz w:val="24"/>
          <w:rFonts w:ascii="Times New Roman" w:hAnsi="Times New Roman"/>
        </w:rPr>
        <w:t xml:space="preserve">T. Lesueur</w:t>
      </w:r>
    </w:p>
    <w:p w:rsidR="00BD3BED" w:rsidRDefault="00BD3BED" w:rsidP="00845239">
      <w:pPr>
        <w:autoSpaceDE w:val="0"/>
        <w:spacing w:after="0" w:line="240" w:lineRule="auto"/>
        <w:rPr>
          <w:rFonts w:ascii="Times New Roman" w:hAnsi="Times New Roman" w:cs="Times New Roman"/>
          <w:color w:val="000000"/>
          <w:sz w:val="24"/>
          <w:szCs w:val="24"/>
        </w:rPr>
      </w:pPr>
    </w:p>
    <w:p w:rsidR="00BD3BED" w:rsidRDefault="00BD3BED" w:rsidP="00845239">
      <w:pPr>
        <w:autoSpaceDE w:val="0"/>
        <w:spacing w:after="0" w:line="240" w:lineRule="auto"/>
        <w:rPr>
          <w:rFonts w:ascii="Times New Roman" w:hAnsi="Times New Roman" w:cs="Times New Roman"/>
          <w:color w:val="000000"/>
          <w:sz w:val="24"/>
          <w:szCs w:val="24"/>
        </w:rPr>
      </w:pPr>
    </w:p>
    <w:p w:rsidR="00BD3BED" w:rsidRDefault="00BD3BED" w:rsidP="00845239">
      <w:pPr>
        <w:autoSpaceDE w:val="0"/>
        <w:spacing w:after="0" w:line="240" w:lineRule="auto"/>
        <w:rPr>
          <w:rFonts w:ascii="Times New Roman" w:hAnsi="Times New Roman" w:cs="Times New Roman"/>
          <w:color w:val="000000"/>
          <w:sz w:val="24"/>
          <w:szCs w:val="24"/>
        </w:rPr>
      </w:pPr>
    </w:p>
    <w:p w:rsidR="00A920F2" w:rsidRPr="00247F97" w:rsidRDefault="00515C32" w:rsidP="00845239">
      <w:pPr>
        <w:keepNext/>
        <w:keepLines/>
        <w:autoSpaceDE w:val="0"/>
        <w:spacing w:after="0" w:line="240" w:lineRule="auto"/>
        <w:rPr>
          <w:color w:val="000000"/>
          <w:sz w:val="24"/>
          <w:szCs w:val="24"/>
          <w:rFonts w:ascii="Times New Roman" w:hAnsi="Times New Roman" w:cs="Times New Roman"/>
        </w:rPr>
      </w:pPr>
      <w:r>
        <w:rPr>
          <w:color w:val="000000"/>
          <w:sz w:val="24"/>
          <w:rFonts w:ascii="Times New Roman" w:hAnsi="Times New Roman"/>
        </w:rPr>
        <w:t xml:space="preserve">Ministr hospodářství a financí:</w:t>
      </w:r>
    </w:p>
    <w:p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0C5560">
      <w:pPr>
        <w:keepNext/>
        <w:keepLines/>
        <w:autoSpaceDE w:val="0"/>
        <w:spacing w:after="0" w:line="240" w:lineRule="auto"/>
        <w:rPr>
          <w:color w:val="000000"/>
          <w:sz w:val="24"/>
          <w:szCs w:val="24"/>
          <w:rFonts w:ascii="Times New Roman" w:hAnsi="Times New Roman" w:cs="Times New Roman"/>
        </w:rPr>
      </w:pPr>
      <w:r>
        <w:rPr>
          <w:color w:val="000000"/>
          <w:sz w:val="24"/>
          <w:rFonts w:ascii="Times New Roman" w:hAnsi="Times New Roman"/>
        </w:rPr>
        <w:t xml:space="preserve">Za ministra a na základě pověření, generální ředitelka pro hospodářskou soutěž, spotřebu a stíhání podvodů</w:t>
      </w:r>
    </w:p>
    <w:p w:rsidR="00BD3BED" w:rsidRDefault="00BD3BED" w:rsidP="000C5560">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845239">
      <w:pPr>
        <w:autoSpaceDE w:val="0"/>
        <w:spacing w:after="0" w:line="240" w:lineRule="auto"/>
        <w:rPr>
          <w:color w:val="000000"/>
          <w:sz w:val="24"/>
          <w:szCs w:val="24"/>
          <w:rFonts w:ascii="Times New Roman" w:hAnsi="Times New Roman" w:cs="Times New Roman"/>
        </w:rPr>
      </w:pPr>
      <w:r>
        <w:rPr>
          <w:color w:val="000000"/>
          <w:sz w:val="24"/>
          <w:rFonts w:ascii="Times New Roman" w:hAnsi="Times New Roman"/>
        </w:rPr>
        <w:t xml:space="preserve">V. Beaumeunierová</w:t>
      </w:r>
    </w:p>
    <w:sectPr w:rsidR="00A920F2" w:rsidRPr="00247F97">
      <w:pgSz w:w="11906" w:h="16838"/>
      <w:pgMar w:top="1416" w:right="1133" w:bottom="1133" w:left="1133" w:header="113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306" w:rsidRDefault="00C93306">
      <w:pPr>
        <w:spacing w:after="0" w:line="240" w:lineRule="auto"/>
      </w:pPr>
      <w:r>
        <w:separator/>
      </w:r>
    </w:p>
  </w:endnote>
  <w:endnote w:type="continuationSeparator" w:id="0">
    <w:p w:rsidR="00C93306" w:rsidRDefault="00C9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Symbol">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LT Std">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306" w:rsidRDefault="00C93306">
      <w:pPr>
        <w:spacing w:after="0" w:line="240" w:lineRule="auto"/>
      </w:pPr>
      <w:r>
        <w:separator/>
      </w:r>
    </w:p>
  </w:footnote>
  <w:footnote w:type="continuationSeparator" w:id="0">
    <w:p w:rsidR="00C93306" w:rsidRDefault="00C93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C32"/>
    <w:rsid w:val="000C5560"/>
    <w:rsid w:val="00247F97"/>
    <w:rsid w:val="002A489A"/>
    <w:rsid w:val="00515C32"/>
    <w:rsid w:val="00591C74"/>
    <w:rsid w:val="00596751"/>
    <w:rsid w:val="006039E8"/>
    <w:rsid w:val="00801F0A"/>
    <w:rsid w:val="00845239"/>
    <w:rsid w:val="00882C27"/>
    <w:rsid w:val="00924F06"/>
    <w:rsid w:val="009451F9"/>
    <w:rsid w:val="009A7F5C"/>
    <w:rsid w:val="00A920F2"/>
    <w:rsid w:val="00BD3BED"/>
    <w:rsid w:val="00C933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E3F2D20-FD34-434E-B052-5EB6BBDA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hAnsi="Calibri" w:cs="Calibri"/>
      <w:kern w:val="2"/>
      <w:sz w:val="22"/>
      <w:szCs w:val="22"/>
      <w:lang w:val="cs-CZ"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sz w:val="20"/>
      <w:szCs w:val="20"/>
      <w:lang w:eastAsia="fr-FR"/>
    </w:rPr>
  </w:style>
  <w:style w:type="character" w:customStyle="1" w:styleId="WW8Num4z0">
    <w:name w:val="WW8Num4z0"/>
    <w:rPr>
      <w:rFonts w:ascii="Times New Roman" w:hAnsi="Times New Roman" w:cs="Times New Roman" w:hint="default"/>
      <w:sz w:val="20"/>
      <w:szCs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hAnsi="Times New Roman" w:cs="Times New Roman" w:hint="default"/>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Policepardfaut">
    <w:name w:val="Police par défaut"/>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3">
    <w:name w:val="Police par défaut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Policepardfaut2">
    <w:name w:val="Police par défaut2"/>
  </w:style>
  <w:style w:type="character" w:customStyle="1" w:styleId="WW8Num10z0">
    <w:name w:val="WW8Num10z0"/>
    <w:rPr>
      <w:rFonts w:hint="default"/>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Policepardfaut1">
    <w:name w:val="Police par défaut1"/>
  </w:style>
  <w:style w:type="character" w:customStyle="1" w:styleId="En-tteCar">
    <w:name w:val="En-tête Car"/>
    <w:rPr>
      <w:rFonts w:eastAsia="Calibri"/>
    </w:rPr>
  </w:style>
  <w:style w:type="character" w:customStyle="1" w:styleId="PieddepageCar">
    <w:name w:val="Pied de page Car"/>
    <w:rPr>
      <w:rFonts w:eastAsia="Calibri"/>
    </w:rPr>
  </w:style>
  <w:style w:type="character" w:customStyle="1" w:styleId="TextedebullesCar">
    <w:name w:val="Texte de bulles Car"/>
    <w:rPr>
      <w:rFonts w:ascii="Segoe UI" w:eastAsia="Calibr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hAnsi="Times New Roman" w:cs="Times New Roman"/>
      <w:sz w:val="20"/>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sz w:val="20"/>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hAnsi="Times New Roman" w:cs="Times New Roman"/>
      <w:sz w:val="2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hAnsi="Times New Roman" w:cs="Times New Roman"/>
      <w:sz w:val="20"/>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hAnsi="Times New Roman" w:cs="Times New Roman"/>
      <w:sz w:val="20"/>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hAnsi="Times New Roman" w:cs="Times New Roman"/>
      <w:sz w:val="20"/>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CorpsdetexteCar">
    <w:name w:val="Corps de texte Car"/>
    <w:rPr>
      <w:rFonts w:ascii="Calibri" w:eastAsia="Times New Roman" w:hAnsi="Calibri" w:cs="Calibri"/>
      <w:lang w:eastAsia="zh-CN"/>
    </w:rPr>
  </w:style>
  <w:style w:type="character" w:customStyle="1" w:styleId="En-tteCar1">
    <w:name w:val="En-tête Car1"/>
    <w:rPr>
      <w:rFonts w:ascii="Calibri" w:eastAsia="Calibri" w:hAnsi="Calibri" w:cs="Calibri"/>
      <w:lang w:eastAsia="zh-CN"/>
    </w:rPr>
  </w:style>
  <w:style w:type="character" w:customStyle="1" w:styleId="PieddepageCar1">
    <w:name w:val="Pied de page Car1"/>
    <w:rPr>
      <w:rFonts w:ascii="Calibri" w:eastAsia="Calibri" w:hAnsi="Calibri" w:cs="Calibri"/>
      <w:lang w:eastAsia="zh-CN"/>
    </w:rPr>
  </w:style>
  <w:style w:type="character" w:customStyle="1" w:styleId="TextedebullesCar1">
    <w:name w:val="Texte de bulles Car1"/>
    <w:rPr>
      <w:rFonts w:ascii="Segoe UI" w:eastAsia="Calibri" w:hAnsi="Segoe UI" w:cs="Segoe UI"/>
      <w:sz w:val="18"/>
      <w:szCs w:val="18"/>
      <w:lang w:eastAsia="zh-CN"/>
    </w:rPr>
  </w:style>
  <w:style w:type="character" w:customStyle="1" w:styleId="ListLabel100">
    <w:name w:val="ListLabel 100"/>
    <w:rPr>
      <w:rFonts w:cs="Times New Roman"/>
      <w:sz w:val="20"/>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rFonts w:cs="Times New Roman"/>
      <w:sz w:val="20"/>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Puces">
    <w:name w:val="Puces"/>
    <w:rPr>
      <w:rFonts w:ascii="OpenSymbol" w:eastAsia="OpenSymbol" w:hAnsi="OpenSymbol" w:cs="OpenSymbol"/>
    </w:rPr>
  </w:style>
  <w:style w:type="character" w:styleId="Strong">
    <w:name w:val="Strong"/>
    <w:qFormat/>
    <w:rPr>
      <w:b/>
      <w:bCs/>
    </w:rPr>
  </w:style>
  <w:style w:type="character" w:customStyle="1" w:styleId="PrformatHTMLCar">
    <w:name w:val="Préformaté HTML Car"/>
    <w:rPr>
      <w:rFonts w:ascii="Courier New" w:eastAsia="Times New Roman" w:hAnsi="Courier New" w:cs="Courier New"/>
      <w:sz w:val="20"/>
      <w:szCs w:val="20"/>
    </w:rPr>
  </w:style>
  <w:style w:type="character" w:customStyle="1" w:styleId="CarCar">
    <w:name w:val="Car Car"/>
    <w:rPr>
      <w:sz w:val="24"/>
      <w:szCs w:val="24"/>
    </w:rPr>
  </w:style>
  <w:style w:type="character" w:customStyle="1" w:styleId="TabletitleChar">
    <w:name w:val="Table title Char"/>
    <w:rPr>
      <w:rFonts w:ascii="Arial" w:eastAsia="Calibri" w:hAnsi="Arial" w:cs="Arial"/>
      <w:b/>
      <w:szCs w:val="24"/>
      <w:lang w:val="cs-CZ"/>
    </w:rPr>
  </w:style>
  <w:style w:type="character" w:customStyle="1" w:styleId="TablebodyChar">
    <w:name w:val="Table body Char"/>
    <w:rPr>
      <w:rFonts w:ascii="Arial" w:eastAsia="Calibri" w:hAnsi="Arial" w:cs="Arial"/>
      <w:szCs w:val="22"/>
      <w:lang w:val="cs-CZ"/>
    </w:rPr>
  </w:style>
  <w:style w:type="character" w:customStyle="1" w:styleId="TableheaderChar">
    <w:name w:val="Table header Char"/>
    <w:rPr>
      <w:rFonts w:ascii="Arial" w:eastAsia="Calibri" w:hAnsi="Arial" w:cs="Arial"/>
      <w:szCs w:val="22"/>
      <w:lang w:val="cs-CZ"/>
    </w:rPr>
  </w:style>
  <w:style w:type="paragraph" w:customStyle="1" w:styleId="Titre">
    <w:name w:val="Titre"/>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re3">
    <w:name w:val="Titre3"/>
    <w:basedOn w:val="Normal"/>
    <w:next w:val="BodyText"/>
    <w:pPr>
      <w:keepNext/>
      <w:spacing w:before="240" w:after="120"/>
    </w:pPr>
    <w:rPr>
      <w:rFonts w:ascii="Liberation Sans" w:eastAsia="Microsoft YaHei" w:hAnsi="Liberation Sans" w:cs="Lucida Sans"/>
      <w:sz w:val="28"/>
      <w:szCs w:val="28"/>
    </w:rPr>
  </w:style>
  <w:style w:type="paragraph" w:customStyle="1" w:styleId="Titre2">
    <w:name w:val="Titre2"/>
    <w:basedOn w:val="Normal"/>
    <w:next w:val="BodyText"/>
    <w:pPr>
      <w:keepNext/>
      <w:spacing w:before="240" w:after="120"/>
    </w:pPr>
    <w:rPr>
      <w:rFonts w:ascii="Liberation Sans" w:eastAsia="Microsoft YaHei" w:hAnsi="Liberation Sans" w:cs="Lucida Sans"/>
      <w:sz w:val="28"/>
      <w:szCs w:val="28"/>
    </w:rPr>
  </w:style>
  <w:style w:type="paragraph" w:customStyle="1" w:styleId="Titre1">
    <w:name w:val="Titre1"/>
    <w:basedOn w:val="Normal"/>
    <w:next w:val="BodyText"/>
    <w:pPr>
      <w:keepNext/>
      <w:spacing w:before="240" w:after="120"/>
    </w:pPr>
    <w:rPr>
      <w:rFonts w:ascii="Liberation Sans" w:eastAsia="Microsoft YaHei" w:hAnsi="Liberation Sans" w:cs="Lucida Sans"/>
      <w:sz w:val="28"/>
      <w:szCs w:val="28"/>
    </w:rPr>
  </w:style>
  <w:style w:type="paragraph" w:styleId="Header">
    <w:name w:val="header"/>
    <w:basedOn w:val="Normal"/>
    <w:pPr>
      <w:tabs>
        <w:tab w:val="center" w:pos="4536"/>
        <w:tab w:val="right" w:pos="9072"/>
      </w:tabs>
      <w:spacing w:after="0" w:line="240" w:lineRule="auto"/>
    </w:pPr>
    <w:rPr>
      <w:rFonts w:eastAsia="Calibri"/>
    </w:rPr>
  </w:style>
  <w:style w:type="paragraph" w:styleId="Footer">
    <w:name w:val="footer"/>
    <w:basedOn w:val="Normal"/>
    <w:pPr>
      <w:tabs>
        <w:tab w:val="center" w:pos="4536"/>
        <w:tab w:val="right" w:pos="9072"/>
      </w:tabs>
      <w:spacing w:after="0" w:line="240" w:lineRule="auto"/>
    </w:pPr>
    <w:rPr>
      <w:rFonts w:eastAsia="Calibri"/>
    </w:rPr>
  </w:style>
  <w:style w:type="paragraph" w:customStyle="1" w:styleId="Paragraphedeliste">
    <w:name w:val="Paragraphe de liste"/>
    <w:basedOn w:val="Normal"/>
    <w:pPr>
      <w:ind w:left="720"/>
      <w:contextualSpacing/>
    </w:pPr>
    <w:rPr>
      <w:rFonts w:eastAsia="Calibri"/>
    </w:rPr>
  </w:style>
  <w:style w:type="paragraph" w:customStyle="1" w:styleId="Textedebulles">
    <w:name w:val="Texte de bulles"/>
    <w:basedOn w:val="Normal"/>
    <w:pPr>
      <w:spacing w:after="0" w:line="240" w:lineRule="auto"/>
    </w:pPr>
    <w:rPr>
      <w:rFonts w:ascii="Segoe UI" w:eastAsia="Calibri" w:hAnsi="Segoe UI" w:cs="Segoe UI"/>
      <w:sz w:val="18"/>
      <w:szCs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widowControl w:val="0"/>
      <w:suppressAutoHyphens/>
    </w:pPr>
    <w:rPr>
      <w:rFonts w:ascii="Times LT Std" w:eastAsia="NSimSun" w:hAnsi="Times LT Std" w:cs="Lucida Sans"/>
      <w:color w:val="000000"/>
      <w:kern w:val="2"/>
      <w:sz w:val="24"/>
      <w:szCs w:val="24"/>
      <w:lang w:val="cs-CZ" w:eastAsia="zh-CN"/>
    </w:rPr>
  </w:style>
  <w:style w:type="paragraph" w:customStyle="1" w:styleId="DocumentMap">
    <w:name w:val="DocumentMap"/>
    <w:pPr>
      <w:suppressAutoHyphens/>
      <w:spacing w:after="160" w:line="252" w:lineRule="auto"/>
    </w:pPr>
    <w:rPr>
      <w:rFonts w:ascii="Calibri" w:eastAsia="Segoe UI" w:hAnsi="Calibri" w:cs="Calibri"/>
      <w:kern w:val="2"/>
      <w:sz w:val="22"/>
      <w:szCs w:val="22"/>
      <w:lang w:val="cs-CZ" w:eastAsia="zh-CN" w:bidi="ar-SA"/>
    </w:rPr>
  </w:style>
  <w:style w:type="paragraph" w:customStyle="1" w:styleId="TableGrid1">
    <w:name w:val="Table Grid1"/>
    <w:basedOn w:val="DocumentMap"/>
    <w:rPr>
      <w:rFonts w:cs="Times New Roman"/>
    </w:rPr>
  </w:style>
  <w:style w:type="paragraph" w:styleId="ListParagraph">
    <w:name w:val="List Paragraph"/>
    <w:basedOn w:val="Normal"/>
    <w:qFormat/>
    <w:pPr>
      <w:ind w:left="720"/>
      <w:contextualSpacing/>
    </w:pPr>
    <w:rPr>
      <w:rFonts w:cs="Times New Roman"/>
    </w:rPr>
  </w:style>
  <w:style w:type="paragraph" w:styleId="BalloonText">
    <w:name w:val="Balloon Text"/>
    <w:basedOn w:val="Normal"/>
    <w:rPr>
      <w:rFonts w:ascii="Segoe UI" w:hAnsi="Segoe UI" w:cs="Segoe UI"/>
      <w:sz w:val="18"/>
      <w:szCs w:val="18"/>
    </w:rPr>
  </w:style>
  <w:style w:type="paragraph" w:customStyle="1" w:styleId="western">
    <w:name w:val="western"/>
    <w:basedOn w:val="Normal"/>
    <w:pPr>
      <w:spacing w:before="100" w:after="142" w:line="276" w:lineRule="auto"/>
    </w:pPr>
    <w:rPr>
      <w:color w:val="000000"/>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SNSignatureGauche">
    <w:name w:val="SNSignatureGauche"/>
    <w:basedOn w:val="Normal"/>
    <w:pPr>
      <w:spacing w:before="120" w:after="1680"/>
      <w:ind w:left="720" w:right="-6" w:firstLine="1080"/>
      <w:jc w:val="right"/>
    </w:pPr>
    <w:rPr>
      <w:rFonts w:cs="Times New Roman"/>
      <w:sz w:val="24"/>
      <w:szCs w:val="24"/>
    </w:rPr>
  </w:style>
  <w:style w:type="paragraph" w:customStyle="1" w:styleId="Rvision">
    <w:name w:val="Révision"/>
    <w:pPr>
      <w:suppressAutoHyphens/>
    </w:pPr>
    <w:rPr>
      <w:rFonts w:ascii="Calibri" w:hAnsi="Calibri" w:cs="Calibri"/>
      <w:kern w:val="2"/>
      <w:sz w:val="22"/>
      <w:szCs w:val="22"/>
      <w:lang w:val="cs-CZ" w:eastAsia="zh-CN"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NSignatureprnomnomDroite">
    <w:name w:val="SNSignature prénom+nom Droite"/>
    <w:basedOn w:val="Normal"/>
    <w:pPr>
      <w:spacing w:before="120" w:after="120" w:line="240" w:lineRule="auto"/>
      <w:ind w:left="5041"/>
      <w:jc w:val="right"/>
    </w:pPr>
    <w:rPr>
      <w:rFonts w:ascii="Times New Roman" w:hAnsi="Times New Roman" w:cs="Times New Roman"/>
      <w:color w:val="000000"/>
      <w:kern w:val="0"/>
      <w:sz w:val="24"/>
      <w:szCs w:val="24"/>
    </w:rPr>
  </w:style>
  <w:style w:type="paragraph" w:customStyle="1" w:styleId="Tabletitle">
    <w:name w:val="Table title"/>
    <w:basedOn w:val="Normal"/>
    <w:pPr>
      <w:keepNext/>
      <w:spacing w:before="120" w:after="120" w:line="240" w:lineRule="atLeast"/>
      <w:jc w:val="center"/>
    </w:pPr>
    <w:rPr>
      <w:rFonts w:ascii="Arial" w:eastAsia="Calibri" w:hAnsi="Arial" w:cs="Times New Roman"/>
      <w:b/>
      <w:kern w:val="0"/>
      <w:sz w:val="20"/>
      <w:szCs w:val="24"/>
      <w:lang w:val="cs-CZ"/>
    </w:rPr>
  </w:style>
  <w:style w:type="paragraph" w:customStyle="1" w:styleId="Tablebody">
    <w:name w:val="Table body"/>
    <w:basedOn w:val="Normal"/>
    <w:pPr>
      <w:suppressAutoHyphens w:val="0"/>
      <w:spacing w:before="60" w:after="60" w:line="210" w:lineRule="atLeast"/>
    </w:pPr>
    <w:rPr>
      <w:rFonts w:ascii="Arial" w:eastAsia="Calibri" w:hAnsi="Arial" w:cs="Times New Roman"/>
      <w:kern w:val="0"/>
      <w:sz w:val="20"/>
      <w:lang w:val="cs-CZ"/>
    </w:rPr>
  </w:style>
  <w:style w:type="paragraph" w:customStyle="1" w:styleId="Tableheader">
    <w:name w:val="Table header"/>
    <w:basedOn w:val="Tablebody"/>
  </w:style>
  <w:style w:type="table" w:styleId="TableGrid">
    <w:name w:val="Table Grid"/>
    <w:basedOn w:val="TableNormal"/>
    <w:uiPriority w:val="39"/>
    <w:rsid w:val="0059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2074</Words>
  <Characters>11822</Characters>
  <Application>Microsoft Office Word</Application>
  <DocSecurity>0</DocSecurity>
  <Lines>98</Lines>
  <Paragraphs>27</Paragraphs>
  <ScaleCrop>false</ScaleCrop>
  <Company>Microsoft</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35 du 11 février 2020</dc:title>
  <dc:subject>Lois et décrets</dc:subject>
  <dc:creator>BARRAUD Flavien</dc:creator>
  <cp:keywords>ISSN:0373-0425</cp:keywords>
  <cp:lastModifiedBy>Ke, Tingting</cp:lastModifiedBy>
  <cp:revision>2</cp:revision>
  <cp:lastPrinted>1899-12-31T16:00:00Z</cp:lastPrinted>
  <dcterms:created xsi:type="dcterms:W3CDTF">2020-07-22T01:03:00Z</dcterms:created>
  <dcterms:modified xsi:type="dcterms:W3CDTF">2020-07-22T04:03:00Z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Mar 20 10:24:27 CET 2020</vt:lpwstr>
  </property>
  <property fmtid="{D5CDD505-2E9C-101B-9397-08002B2CF9AE}" pid="3" name="jforVersion">
    <vt:lpwstr>jfor V0.7.2rc1 - see http://www.jfor.org</vt:lpwstr>
  </property>
</Properties>
</file>