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123495" w14:textId="77777777" w:rsidR="00591C74" w:rsidRPr="00817DDD" w:rsidRDefault="00591C74" w:rsidP="00591C74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0469 F-- SL- ------ 20200729 --- --- OSNUTEK</w:t>
      </w:r>
    </w:p>
    <w:p w14:paraId="06781B2E" w14:textId="77777777" w:rsidR="00A920F2" w:rsidRDefault="00515C32" w:rsidP="00591C74">
      <w:pPr>
        <w:autoSpaceDE w:val="0"/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</w:rPr>
        <w:t>Dne XXXX 2020</w:t>
      </w:r>
    </w:p>
    <w:p w14:paraId="48B75CD9" w14:textId="77777777" w:rsidR="00A920F2" w:rsidRDefault="00A920F2" w:rsidP="00591C74">
      <w:pPr>
        <w:autoSpaceDE w:val="0"/>
        <w:spacing w:after="0" w:line="240" w:lineRule="auto"/>
        <w:jc w:val="center"/>
      </w:pPr>
    </w:p>
    <w:p w14:paraId="3D71BFF5" w14:textId="77777777" w:rsidR="00A920F2" w:rsidRDefault="00A920F2" w:rsidP="00591C74">
      <w:pPr>
        <w:autoSpaceDE w:val="0"/>
        <w:spacing w:after="0" w:line="240" w:lineRule="auto"/>
        <w:jc w:val="center"/>
      </w:pPr>
    </w:p>
    <w:p w14:paraId="4FDDECA6" w14:textId="77777777" w:rsidR="00A920F2" w:rsidRDefault="00515C32" w:rsidP="00591C74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Odredba z dne XXXX o načinih prikaza, oznakah in splošnih parametrih izračuna indeksa popravljivosti.</w:t>
      </w:r>
    </w:p>
    <w:p w14:paraId="0FCC838F" w14:textId="77777777" w:rsidR="00A920F2" w:rsidRDefault="00A920F2" w:rsidP="00591C74">
      <w:pPr>
        <w:autoSpaceDE w:val="0"/>
        <w:spacing w:after="0" w:line="240" w:lineRule="auto"/>
        <w:jc w:val="center"/>
      </w:pPr>
    </w:p>
    <w:p w14:paraId="33DFC3F7" w14:textId="77777777" w:rsidR="00A920F2" w:rsidRDefault="00515C32" w:rsidP="00591C74">
      <w:pPr>
        <w:autoSpaceDE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4"/>
        </w:rPr>
        <w:t>NOR: XXXXX</w:t>
      </w:r>
    </w:p>
    <w:p w14:paraId="2A6DAB5B" w14:textId="77777777" w:rsidR="00A920F2" w:rsidRDefault="00A920F2" w:rsidP="00591C74">
      <w:pPr>
        <w:autoSpaceDE w:val="0"/>
        <w:spacing w:after="0" w:line="240" w:lineRule="auto"/>
      </w:pPr>
    </w:p>
    <w:p w14:paraId="4C53869E" w14:textId="77777777" w:rsidR="00A920F2" w:rsidRDefault="00A920F2" w:rsidP="00591C74">
      <w:pPr>
        <w:autoSpaceDE w:val="0"/>
        <w:spacing w:after="0" w:line="240" w:lineRule="auto"/>
      </w:pPr>
    </w:p>
    <w:p w14:paraId="3B603CF5" w14:textId="77777777" w:rsidR="00A920F2" w:rsidRDefault="00A920F2" w:rsidP="00591C74">
      <w:pPr>
        <w:autoSpaceDE w:val="0"/>
        <w:spacing w:after="0" w:line="240" w:lineRule="auto"/>
      </w:pPr>
    </w:p>
    <w:p w14:paraId="760F4982" w14:textId="77777777" w:rsidR="00A920F2" w:rsidRDefault="00515C32" w:rsidP="002A489A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Ministrica za ekološko preoblikovanje ter minister za gospodarstvo in finance –</w:t>
      </w:r>
    </w:p>
    <w:p w14:paraId="4383FD82" w14:textId="77777777" w:rsidR="00A920F2" w:rsidRDefault="00A920F2" w:rsidP="002A489A">
      <w:pPr>
        <w:autoSpaceDE w:val="0"/>
        <w:spacing w:after="0" w:line="240" w:lineRule="auto"/>
        <w:jc w:val="both"/>
      </w:pPr>
    </w:p>
    <w:p w14:paraId="39A132AD" w14:textId="77777777" w:rsidR="00A920F2" w:rsidRPr="00BD3BED" w:rsidRDefault="00515C32" w:rsidP="002A489A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 upoštevanju Uredbe Komisije (EU) 2019/2021 z dne 1. oktobra 2019 o določitvi zahtev za okoljsko primerno zasnovo za elektronske prikazovalnike v skladu z Direktivo 2009/125/ES Evropskega parlamenta in Sveta in spremembi Uredbe Komisije (ES) št. 1275/2008 ter razveljavitvi Uredbe Komisije (ES) št. 642/2009;</w:t>
      </w:r>
    </w:p>
    <w:p w14:paraId="7821F781" w14:textId="77777777" w:rsidR="00A920F2" w:rsidRDefault="00A920F2" w:rsidP="002A489A">
      <w:pPr>
        <w:autoSpaceDE w:val="0"/>
        <w:spacing w:after="0" w:line="240" w:lineRule="auto"/>
        <w:jc w:val="both"/>
      </w:pPr>
    </w:p>
    <w:p w14:paraId="4A20F5D7" w14:textId="77777777" w:rsidR="00A920F2" w:rsidRDefault="00515C32" w:rsidP="002A489A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ob upoštevanju Okoljskega zakonika, zlasti člena L. 541-9-2;</w:t>
      </w:r>
    </w:p>
    <w:p w14:paraId="6D841B2F" w14:textId="77777777" w:rsidR="00A920F2" w:rsidRDefault="00A920F2" w:rsidP="002A489A">
      <w:pPr>
        <w:autoSpaceDE w:val="0"/>
        <w:spacing w:after="0" w:line="240" w:lineRule="auto"/>
        <w:jc w:val="both"/>
      </w:pPr>
    </w:p>
    <w:p w14:paraId="0013D15D" w14:textId="77777777" w:rsidR="00A920F2" w:rsidRDefault="00515C32" w:rsidP="002A489A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ob upoštevanju Uredbe št. XXX z dne XXXX o podrobnih pravilih za uporabo indeksa popravljivosti za električne in elektronske izdelke, njegovih merilih in načinu izračuna;</w:t>
      </w:r>
    </w:p>
    <w:p w14:paraId="135396DC" w14:textId="77777777" w:rsidR="00A920F2" w:rsidRDefault="00A920F2" w:rsidP="00591C74">
      <w:pPr>
        <w:autoSpaceDE w:val="0"/>
        <w:spacing w:after="0" w:line="240" w:lineRule="auto"/>
      </w:pPr>
    </w:p>
    <w:p w14:paraId="08CF20A3" w14:textId="77777777" w:rsidR="00A920F2" w:rsidRDefault="00A920F2" w:rsidP="00591C74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23BC84" w14:textId="77777777" w:rsidR="00A920F2" w:rsidRPr="00591C74" w:rsidRDefault="00515C3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Člen 1: Električna in elektronska oprema, ki je predmet prikaza</w:t>
      </w:r>
    </w:p>
    <w:p w14:paraId="2F03D72F" w14:textId="77777777" w:rsidR="00A920F2" w:rsidRDefault="00A920F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2F571" w14:textId="77777777" w:rsidR="00A920F2" w:rsidRPr="008F7598" w:rsidRDefault="00515C32" w:rsidP="00591C74">
      <w:pPr>
        <w:autoSpaceDE w:val="0"/>
        <w:spacing w:after="0" w:line="240" w:lineRule="auto"/>
        <w:jc w:val="both"/>
        <w:rPr>
          <w:spacing w:val="-4"/>
        </w:rPr>
      </w:pPr>
      <w:r w:rsidRPr="008F7598">
        <w:rPr>
          <w:rFonts w:ascii="Times New Roman" w:hAnsi="Times New Roman"/>
          <w:color w:val="000000"/>
          <w:spacing w:val="-4"/>
          <w:sz w:val="24"/>
        </w:rPr>
        <w:t>Ta odredba se uporablja za vso električno in elektronsko opremo, ki je predmet izračuna in prikaza indeksa popravljivosti skladno z določbami uredbe št. XXX z dne XXXX o podrobnih pravilih za uporabo indeksa popravljivosti za elektronske in električne izdelke, njegova merila in način izračuna.</w:t>
      </w:r>
    </w:p>
    <w:p w14:paraId="0C6ECFBD" w14:textId="77777777" w:rsidR="00A920F2" w:rsidRDefault="00A920F2" w:rsidP="00591C74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24376A" w14:textId="77777777" w:rsidR="00A920F2" w:rsidRPr="00591C74" w:rsidRDefault="00515C3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Člen 2: Ocena indeksa popravljivosti</w:t>
      </w:r>
    </w:p>
    <w:p w14:paraId="126EA85D" w14:textId="77777777" w:rsidR="00A920F2" w:rsidRDefault="00A920F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DBCDF" w14:textId="77777777" w:rsidR="00A920F2" w:rsidRDefault="00515C32" w:rsidP="00591C74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Za vse električne in elektronske izdelke, navedene v prvem členu, je indeks popravljivosti ocenjen z oceno do 10, ki lahko za vejico vključuje decimalno število.</w:t>
      </w:r>
    </w:p>
    <w:p w14:paraId="6D837C9E" w14:textId="77777777" w:rsidR="00A920F2" w:rsidRDefault="00515C32" w:rsidP="00591C74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Če je število za prvo decimalko manjše od 5, se ocena zaokroži na manjšo decimalko.</w:t>
      </w:r>
    </w:p>
    <w:p w14:paraId="6850AFC8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</w:rPr>
        <w:t>Če je število za prvo decimalko večje ali enako 5, se ocena zaokroži na večjo decimalko.</w:t>
      </w:r>
    </w:p>
    <w:p w14:paraId="7A748B8E" w14:textId="77777777" w:rsidR="00A920F2" w:rsidRDefault="00A920F2" w:rsidP="00591C74">
      <w:pPr>
        <w:pStyle w:val="Paragraphedeliste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1AC91C" w14:textId="77777777" w:rsidR="00A920F2" w:rsidRPr="00591C74" w:rsidRDefault="00515C3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Člen 3: Barve in oznake prikaza</w:t>
      </w:r>
    </w:p>
    <w:p w14:paraId="72A22131" w14:textId="77777777" w:rsidR="00A920F2" w:rsidRDefault="00A920F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E055D4" w14:textId="77777777" w:rsidR="00A920F2" w:rsidRDefault="00515C32" w:rsidP="00591C74">
      <w:pPr>
        <w:pStyle w:val="Paragraphedeliste"/>
        <w:keepNext/>
        <w:keepLines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</w:rPr>
        <w:t>Skladno z zgoraj pridobljeno oceno se za prikaz indeksa uporabljajo naslednje barvne kode:</w:t>
      </w:r>
    </w:p>
    <w:p w14:paraId="494977C3" w14:textId="77777777" w:rsidR="00A920F2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Ocena, višja ali enaka 0 in manjša ali enaka 1,9: rdeča, referenčna barva Pantone 186 C ; </w:t>
      </w:r>
    </w:p>
    <w:p w14:paraId="22845433" w14:textId="77777777" w:rsidR="00A920F2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Ocena, višja ali enaka 2 in manjša ali enaka 3,9: oranžna, referenčna barva Pantone 1585 C ;</w:t>
      </w:r>
    </w:p>
    <w:p w14:paraId="499EF2A2" w14:textId="77777777" w:rsidR="00A920F2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Ocena, višja ali enaka 4 in manjša ali enaka 5,9: rumena, referenčna barva Pantone 7548 C ;</w:t>
      </w:r>
    </w:p>
    <w:p w14:paraId="71CEFCFA" w14:textId="77777777" w:rsidR="00A920F2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Ocena, višja ali enaka 6 in manjša ali enaka 7,9: svetlo zelena, referenčna barva Pantone 2291 C ;</w:t>
      </w:r>
    </w:p>
    <w:p w14:paraId="2CCBF1A4" w14:textId="77777777" w:rsidR="00A920F2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Ocena, višja ali enaka 8 in manjša ali enaka 10: temno zelena, referenčna barva Pantone 347 C ;</w:t>
      </w:r>
    </w:p>
    <w:p w14:paraId="2701ECEF" w14:textId="77777777" w:rsidR="00A920F2" w:rsidRDefault="00A920F2" w:rsidP="00591C74">
      <w:pPr>
        <w:pStyle w:val="Paragraphedeliste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EB43D3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</w:rPr>
        <w:t xml:space="preserve">Obvezna oznaka za prikaz indeksa popravljivosti je grafični prikaz navedbe „indeks popravljivosti“ in piktogram z navedbo ocene indeksa spodaj [ustreza oznaki „indeks popravljivosti“]. </w:t>
      </w:r>
    </w:p>
    <w:p w14:paraId="4F95B591" w14:textId="77777777" w:rsidR="00A920F2" w:rsidRDefault="008F7598" w:rsidP="00591C74">
      <w:pPr>
        <w:pStyle w:val="Paragraphedeliste"/>
        <w:suppressAutoHyphens w:val="0"/>
        <w:spacing w:after="0" w:line="240" w:lineRule="auto"/>
        <w:ind w:left="0"/>
        <w:jc w:val="center"/>
      </w:pPr>
      <w:r>
        <w:lastRenderedPageBreak/>
        <w:pict w14:anchorId="2EB84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151.5pt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7" o:title="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863"/>
        <w:gridCol w:w="4863"/>
      </w:tblGrid>
      <w:tr w:rsidR="00882C27" w:rsidRPr="008F7598" w14:paraId="65EA52E7" w14:textId="77777777" w:rsidTr="00882C27">
        <w:tc>
          <w:tcPr>
            <w:tcW w:w="2500" w:type="pct"/>
            <w:shd w:val="clear" w:color="auto" w:fill="auto"/>
          </w:tcPr>
          <w:p w14:paraId="3D635331" w14:textId="77777777" w:rsidR="00591C74" w:rsidRPr="008F7598" w:rsidRDefault="00591C74" w:rsidP="00882C27">
            <w:pPr>
              <w:pStyle w:val="Paragraphedeliste"/>
              <w:suppressAutoHyphens w:val="0"/>
              <w:spacing w:after="0" w:line="240" w:lineRule="auto"/>
              <w:ind w:left="0"/>
            </w:pPr>
            <w:r w:rsidRPr="008F7598">
              <w:t>INDICE DE REPETABILITE</w:t>
            </w:r>
          </w:p>
        </w:tc>
        <w:tc>
          <w:tcPr>
            <w:tcW w:w="2500" w:type="pct"/>
            <w:shd w:val="clear" w:color="auto" w:fill="auto"/>
          </w:tcPr>
          <w:p w14:paraId="267B5EA3" w14:textId="77777777" w:rsidR="00591C74" w:rsidRPr="00882C27" w:rsidRDefault="00591C74" w:rsidP="00882C27">
            <w:pPr>
              <w:pStyle w:val="Paragraphedeliste"/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INDEKS PONOVLJIVOSTI</w:t>
            </w:r>
          </w:p>
        </w:tc>
      </w:tr>
    </w:tbl>
    <w:p w14:paraId="697B50E4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</w:rPr>
        <w:t>Velikost pisave številk ocene do 10 mora biti vsaj enakovredna velikosti pisave številk cene na policah.</w:t>
      </w:r>
    </w:p>
    <w:p w14:paraId="3ADB2706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</w:rPr>
        <w:t>Vsako prilagoditev te oznake je treba opraviti homotetično.</w:t>
      </w:r>
    </w:p>
    <w:p w14:paraId="0474F61D" w14:textId="77777777" w:rsidR="00A920F2" w:rsidRDefault="00A920F2" w:rsidP="00591C74">
      <w:pPr>
        <w:pStyle w:val="Paragraphedeliste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25D5A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Če se indeks na vsako enoto modela ali na embalažo namesti tudi neposredno z etiketiranjem ali označevanjem, je izbira velikosti grafične predstavitve prosta, v kolikor je vidna in čitljiva.</w:t>
      </w:r>
    </w:p>
    <w:p w14:paraId="5993FC9E" w14:textId="77777777" w:rsidR="00591C74" w:rsidRDefault="00591C74" w:rsidP="00591C74">
      <w:pPr>
        <w:pStyle w:val="Paragraphedeliste"/>
        <w:suppressAutoHyphens w:val="0"/>
        <w:spacing w:after="0" w:line="240" w:lineRule="auto"/>
        <w:ind w:left="0"/>
        <w:jc w:val="both"/>
      </w:pPr>
    </w:p>
    <w:p w14:paraId="1D4F18B6" w14:textId="77777777" w:rsidR="00A920F2" w:rsidRPr="00591C74" w:rsidRDefault="00515C3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Člen 4: Izračun indeksa in predstavitev parametrov, ki omogočajo njegovo sestavo</w:t>
      </w:r>
    </w:p>
    <w:p w14:paraId="7E73B363" w14:textId="77777777" w:rsidR="00A920F2" w:rsidRDefault="00A920F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B5E2CA" w14:textId="77777777" w:rsidR="00A920F2" w:rsidRDefault="00515C32" w:rsidP="00591C74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Vsako podmerilo indeksa se oceni do 10 in se mu dodeli koeficient, ki omogoča doseganje ocene do 20 po posameznem merilu, kot je navedeno v tabeli spodaj. Z dodajanjem ocen vsakega merila po enakem razmerju dosežemo celoto od sto, pri čemer dobimo oceno indeksa do deset.</w:t>
      </w:r>
    </w:p>
    <w:p w14:paraId="57CA22BE" w14:textId="77777777" w:rsidR="00A920F2" w:rsidRDefault="00A920F2" w:rsidP="00591C7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A3B82E" w14:textId="77777777" w:rsidR="00A920F2" w:rsidRDefault="00515C32" w:rsidP="00591C74">
      <w:pPr>
        <w:pStyle w:val="SNSignatureGauche"/>
        <w:spacing w:before="0" w:after="0" w:line="240" w:lineRule="auto"/>
        <w:ind w:left="0" w:right="0" w:firstLine="0"/>
        <w:jc w:val="both"/>
      </w:pPr>
      <w:r>
        <w:rPr>
          <w:rFonts w:ascii="Times New Roman" w:hAnsi="Times New Roman"/>
          <w:color w:val="000000"/>
        </w:rPr>
        <w:t>Posredovanje in dajanje na razpolago parametrov, ki omogočajo sestavo indeksa popravljivosti vsake opreme, sta navedena v spodnji tabeli, v nespremenljivi digitalni obliki, v dimenzijah 21 x 29,7 cm.</w:t>
      </w:r>
    </w:p>
    <w:p w14:paraId="23DD786E" w14:textId="77777777" w:rsidR="00A920F2" w:rsidRDefault="00A920F2" w:rsidP="00591C7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114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02"/>
        <w:gridCol w:w="3440"/>
        <w:gridCol w:w="1176"/>
        <w:gridCol w:w="1317"/>
        <w:gridCol w:w="1005"/>
        <w:gridCol w:w="12"/>
        <w:gridCol w:w="1084"/>
        <w:gridCol w:w="12"/>
      </w:tblGrid>
      <w:tr w:rsidR="00A920F2" w:rsidRPr="008F7598" w14:paraId="6B305456" w14:textId="77777777" w:rsidTr="008F7598">
        <w:trPr>
          <w:gridAfter w:val="1"/>
          <w:wAfter w:w="6" w:type="pct"/>
        </w:trPr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1E4E4" w14:textId="77777777" w:rsidR="00A920F2" w:rsidRPr="008F7598" w:rsidRDefault="00515C32" w:rsidP="00591C74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Merilo</w:t>
            </w: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969E0A" w14:textId="77777777" w:rsidR="00A920F2" w:rsidRPr="008F7598" w:rsidRDefault="00515C32" w:rsidP="00591C74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Podmerilo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D399EFF" w14:textId="77777777" w:rsidR="00A920F2" w:rsidRPr="008F7598" w:rsidRDefault="00515C32" w:rsidP="00591C74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Ocena podmerila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69555B1" w14:textId="77777777" w:rsidR="00A920F2" w:rsidRPr="008F7598" w:rsidRDefault="00515C32" w:rsidP="00591C74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Koeficient podmerila</w:t>
            </w:r>
          </w:p>
        </w:tc>
        <w:tc>
          <w:tcPr>
            <w:tcW w:w="50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A052710" w14:textId="77777777" w:rsidR="00A920F2" w:rsidRPr="008F7598" w:rsidRDefault="00515C32" w:rsidP="00591C74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Ocena merila</w:t>
            </w:r>
          </w:p>
        </w:tc>
        <w:tc>
          <w:tcPr>
            <w:tcW w:w="5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2B880C2" w14:textId="77777777" w:rsidR="00A920F2" w:rsidRPr="008F7598" w:rsidRDefault="00515C32" w:rsidP="00591C74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Skupne ocene meril</w:t>
            </w:r>
          </w:p>
        </w:tc>
      </w:tr>
      <w:tr w:rsidR="00A920F2" w:rsidRPr="008F7598" w14:paraId="750A6D78" w14:textId="77777777" w:rsidTr="008F7598">
        <w:trPr>
          <w:gridAfter w:val="1"/>
          <w:wAfter w:w="6" w:type="pct"/>
        </w:trPr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205A7C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1. Dokumentacija</w:t>
            </w: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3C089C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1.1. Čas trajanja razpoložljivosti tehnične dokumentacije o nasvetih za uporabo in vzdrževanje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3623200A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7C90F187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2</w:t>
            </w:r>
          </w:p>
        </w:tc>
        <w:tc>
          <w:tcPr>
            <w:tcW w:w="50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F8EB656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▀▀/20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0F5E979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▀▀/100</w:t>
            </w:r>
          </w:p>
        </w:tc>
      </w:tr>
      <w:tr w:rsidR="00A920F2" w:rsidRPr="008F7598" w14:paraId="50FFC0B8" w14:textId="77777777" w:rsidTr="008F7598">
        <w:trPr>
          <w:gridAfter w:val="1"/>
          <w:wAfter w:w="6" w:type="pct"/>
        </w:trPr>
        <w:tc>
          <w:tcPr>
            <w:tcW w:w="95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167C5F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2. Razstavljivost in dostop, orodja, pritrditve</w:t>
            </w: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AE1D8D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2.1. Enostavnost razstavljanja delov s seznama 2*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3B0B0A5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C757EB0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1</w:t>
            </w:r>
          </w:p>
        </w:tc>
        <w:tc>
          <w:tcPr>
            <w:tcW w:w="505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289EA1F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▀▀/20</w:t>
            </w: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FE78C57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6F4E1A0E" w14:textId="77777777" w:rsidTr="008F7598">
        <w:trPr>
          <w:gridAfter w:val="1"/>
          <w:wAfter w:w="6" w:type="pct"/>
        </w:trPr>
        <w:tc>
          <w:tcPr>
            <w:tcW w:w="95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9127E2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B40F86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2.2. Potrebna orodja (seznam 2)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3C45C6D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6F1A85C8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0,5</w:t>
            </w:r>
          </w:p>
        </w:tc>
        <w:tc>
          <w:tcPr>
            <w:tcW w:w="505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78B2EBC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18CBD7C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2A6409B4" w14:textId="77777777" w:rsidTr="008F7598">
        <w:trPr>
          <w:gridAfter w:val="1"/>
          <w:wAfter w:w="6" w:type="pct"/>
        </w:trPr>
        <w:tc>
          <w:tcPr>
            <w:tcW w:w="95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4A8D63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1EE403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2.3. Značilnosti pritrdilnih elementov med deli s seznama 1** in seznama 2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91E00C9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4F10F39D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0,5</w:t>
            </w:r>
          </w:p>
        </w:tc>
        <w:tc>
          <w:tcPr>
            <w:tcW w:w="505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85EAAA5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2C56943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3567DAA4" w14:textId="77777777" w:rsidTr="008F7598">
        <w:trPr>
          <w:gridAfter w:val="1"/>
          <w:wAfter w:w="6" w:type="pct"/>
        </w:trPr>
        <w:tc>
          <w:tcPr>
            <w:tcW w:w="95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D51A7A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3. Razpoložljivost rezervnih delov</w:t>
            </w: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59D3A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3.1. Čas razpoložljivosti delov s seznama 2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4D8AEC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36D732D6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1</w:t>
            </w:r>
          </w:p>
        </w:tc>
        <w:tc>
          <w:tcPr>
            <w:tcW w:w="505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8C610EF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▀▀/20</w:t>
            </w: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1848ED1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6533A852" w14:textId="77777777" w:rsidTr="008F7598">
        <w:trPr>
          <w:gridAfter w:val="1"/>
          <w:wAfter w:w="6" w:type="pct"/>
        </w:trPr>
        <w:tc>
          <w:tcPr>
            <w:tcW w:w="95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BA2F0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6B777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3.2. 3.1. Čas razpoložljivosti delov s seznama 1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C1927D3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C198A18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0,5</w:t>
            </w:r>
          </w:p>
        </w:tc>
        <w:tc>
          <w:tcPr>
            <w:tcW w:w="505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AD37649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D6DB7DF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6529166F" w14:textId="77777777" w:rsidTr="008F7598">
        <w:trPr>
          <w:gridAfter w:val="1"/>
          <w:wAfter w:w="6" w:type="pct"/>
        </w:trPr>
        <w:tc>
          <w:tcPr>
            <w:tcW w:w="95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D487B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623F5F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3.3. Dobavni rok za dele s seznama 2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25EB31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48BC7BCF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0,3</w:t>
            </w:r>
          </w:p>
        </w:tc>
        <w:tc>
          <w:tcPr>
            <w:tcW w:w="505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1E69935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690340A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10DDF813" w14:textId="77777777" w:rsidTr="008F7598">
        <w:trPr>
          <w:gridAfter w:val="1"/>
          <w:wAfter w:w="6" w:type="pct"/>
        </w:trPr>
        <w:tc>
          <w:tcPr>
            <w:tcW w:w="95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4E9700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03C122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3.4. Dobavni rok za dele s seznama 1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914D8A4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FC7FAA0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0,2</w:t>
            </w:r>
          </w:p>
        </w:tc>
        <w:tc>
          <w:tcPr>
            <w:tcW w:w="505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5E686F3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7D3BBF1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19C5199E" w14:textId="77777777" w:rsidTr="008F7598">
        <w:trPr>
          <w:gridAfter w:val="1"/>
          <w:wAfter w:w="6" w:type="pct"/>
        </w:trPr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82BD8E" w14:textId="77777777" w:rsidR="00A920F2" w:rsidRPr="008F7598" w:rsidRDefault="00515C32" w:rsidP="008F7598">
            <w:pPr>
              <w:keepNext/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lastRenderedPageBreak/>
              <w:t>4. Cena rezervnih delov</w:t>
            </w: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AEC374" w14:textId="77777777" w:rsidR="00A920F2" w:rsidRPr="008F7598" w:rsidRDefault="00515C32" w:rsidP="008F7598">
            <w:pPr>
              <w:keepNext/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4.1. Razmerje med ceno delov s seznama 2 in ceno nove opreme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38D354D" w14:textId="77777777" w:rsidR="00A920F2" w:rsidRPr="008F7598" w:rsidRDefault="00515C32" w:rsidP="008F7598">
            <w:pPr>
              <w:keepNext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B427DA0" w14:textId="77777777" w:rsidR="00A920F2" w:rsidRPr="008F7598" w:rsidRDefault="00515C32" w:rsidP="008F7598">
            <w:pPr>
              <w:keepNext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2</w:t>
            </w:r>
          </w:p>
        </w:tc>
        <w:tc>
          <w:tcPr>
            <w:tcW w:w="50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0DA34DF" w14:textId="77777777" w:rsidR="00A920F2" w:rsidRPr="008F7598" w:rsidRDefault="00515C32" w:rsidP="008F7598">
            <w:pPr>
              <w:keepNext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▀▀/20</w:t>
            </w: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E2B2F5F" w14:textId="77777777" w:rsidR="00A920F2" w:rsidRPr="008F7598" w:rsidRDefault="00A920F2" w:rsidP="008F7598">
            <w:pPr>
              <w:keepNext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4B4F84AF" w14:textId="77777777" w:rsidTr="008F7598">
        <w:trPr>
          <w:gridAfter w:val="1"/>
          <w:wAfter w:w="6" w:type="pct"/>
        </w:trPr>
        <w:tc>
          <w:tcPr>
            <w:tcW w:w="95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748E87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5. Posebno merilo</w:t>
            </w:r>
          </w:p>
          <w:p w14:paraId="478C9980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>(primer s 3 podmerili)</w:t>
            </w: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E98FC6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5.1. 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63D9BAF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48A730D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1</w:t>
            </w:r>
          </w:p>
        </w:tc>
        <w:tc>
          <w:tcPr>
            <w:tcW w:w="505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E6C7179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▀▀/20</w:t>
            </w: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149E7D4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34D44975" w14:textId="77777777" w:rsidTr="008F7598">
        <w:trPr>
          <w:gridAfter w:val="1"/>
          <w:wAfter w:w="6" w:type="pct"/>
        </w:trPr>
        <w:tc>
          <w:tcPr>
            <w:tcW w:w="95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A21127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8EE5F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5.2.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25D66E2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440EB09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0,5</w:t>
            </w:r>
          </w:p>
        </w:tc>
        <w:tc>
          <w:tcPr>
            <w:tcW w:w="505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985605B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CCE63B8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7930F0BF" w14:textId="77777777" w:rsidTr="008F7598">
        <w:trPr>
          <w:gridAfter w:val="1"/>
          <w:wAfter w:w="6" w:type="pct"/>
        </w:trPr>
        <w:tc>
          <w:tcPr>
            <w:tcW w:w="95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12EF82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7B3E8C" w14:textId="77777777" w:rsidR="00A920F2" w:rsidRPr="008F7598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5.3.</w:t>
            </w:r>
          </w:p>
        </w:tc>
        <w:tc>
          <w:tcPr>
            <w:tcW w:w="59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71B3F0D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  <w:tc>
          <w:tcPr>
            <w:tcW w:w="6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5B4EA66B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0,5</w:t>
            </w:r>
          </w:p>
        </w:tc>
        <w:tc>
          <w:tcPr>
            <w:tcW w:w="505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35348C2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D1B3E46" w14:textId="77777777" w:rsidR="00A920F2" w:rsidRPr="008F7598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8F7598" w14:paraId="5665AA68" w14:textId="77777777" w:rsidTr="008F7598">
        <w:tc>
          <w:tcPr>
            <w:tcW w:w="4449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590D01D" w14:textId="77777777" w:rsidR="00A920F2" w:rsidRPr="008F7598" w:rsidRDefault="00515C32" w:rsidP="00591C74">
            <w:pPr>
              <w:suppressAutoHyphens w:val="0"/>
              <w:spacing w:after="0" w:line="240" w:lineRule="auto"/>
              <w:jc w:val="right"/>
              <w:rPr>
                <w:spacing w:val="-6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6"/>
                <w:sz w:val="24"/>
              </w:rPr>
              <w:t xml:space="preserve">Ocena indeksa </w:t>
            </w:r>
          </w:p>
        </w:tc>
        <w:tc>
          <w:tcPr>
            <w:tcW w:w="5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F8CC4C5" w14:textId="77777777" w:rsidR="00A920F2" w:rsidRPr="008F7598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8F7598">
              <w:rPr>
                <w:rFonts w:ascii="Times New Roman" w:hAnsi="Times New Roman"/>
                <w:color w:val="000000"/>
                <w:spacing w:val="-6"/>
                <w:sz w:val="24"/>
              </w:rPr>
              <w:t>▀▀/10</w:t>
            </w:r>
          </w:p>
        </w:tc>
      </w:tr>
      <w:tr w:rsidR="00A920F2" w:rsidRPr="008F7598" w14:paraId="111B5EAA" w14:textId="77777777" w:rsidTr="008F7598">
        <w:tc>
          <w:tcPr>
            <w:tcW w:w="5000" w:type="pct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54746E7" w14:textId="77777777" w:rsidR="00A920F2" w:rsidRPr="008F7598" w:rsidRDefault="00515C32" w:rsidP="00591C74">
            <w:pPr>
              <w:pStyle w:val="SNSignatureGauche"/>
              <w:suppressAutoHyphens w:val="0"/>
              <w:spacing w:before="0" w:after="0" w:line="240" w:lineRule="auto"/>
              <w:ind w:left="0" w:right="0" w:firstLine="0"/>
              <w:jc w:val="both"/>
              <w:rPr>
                <w:spacing w:val="-6"/>
              </w:rPr>
            </w:pPr>
            <w:r w:rsidRPr="008F7598">
              <w:rPr>
                <w:rFonts w:ascii="Times New Roman" w:hAnsi="Times New Roman"/>
                <w:i/>
                <w:color w:val="000000"/>
                <w:spacing w:val="-6"/>
              </w:rPr>
              <w:t>*seznam 2: seznam največ 3 do 5 rezervnih delov (v skladu z zadevno kategorijo opreme), ki se najpogosteje zlomi ali okvari;</w:t>
            </w:r>
          </w:p>
          <w:p w14:paraId="6A77CDB4" w14:textId="77777777" w:rsidR="00A920F2" w:rsidRPr="008F7598" w:rsidRDefault="00515C32" w:rsidP="00BD3BED">
            <w:pPr>
              <w:pStyle w:val="SNSignatureGauche"/>
              <w:suppressAutoHyphens w:val="0"/>
              <w:spacing w:before="0" w:after="0" w:line="240" w:lineRule="auto"/>
              <w:ind w:left="0" w:right="0" w:firstLine="0"/>
              <w:jc w:val="both"/>
              <w:rPr>
                <w:spacing w:val="-6"/>
              </w:rPr>
            </w:pPr>
            <w:r w:rsidRPr="008F7598">
              <w:rPr>
                <w:rFonts w:ascii="Times New Roman" w:hAnsi="Times New Roman"/>
                <w:i/>
                <w:color w:val="000000"/>
                <w:spacing w:val="-6"/>
              </w:rPr>
              <w:t>**seznam 1: seznam največ 10 drugih rezervnih delov (v skladu z zadevno kategorijo izdelkov), ki morajo biti za delovanje opreme v dobrem stanju.</w:t>
            </w:r>
          </w:p>
        </w:tc>
      </w:tr>
    </w:tbl>
    <w:p w14:paraId="620B654A" w14:textId="77777777" w:rsidR="00A920F2" w:rsidRDefault="00A920F2" w:rsidP="00591C74">
      <w:pPr>
        <w:pStyle w:val="SNSignatureGauche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000000"/>
        </w:rPr>
      </w:pPr>
    </w:p>
    <w:p w14:paraId="6A39B74D" w14:textId="77777777" w:rsidR="00A920F2" w:rsidRDefault="00515C32" w:rsidP="00591C74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Za določeno merilo je vsota koeficientov podmeril enaka 2.</w:t>
      </w:r>
    </w:p>
    <w:p w14:paraId="4339E2A2" w14:textId="77777777" w:rsidR="009451F9" w:rsidRDefault="00515C32" w:rsidP="00591C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Podrobne ocenjevalne razpredelnice za vsako kategorijo opreme, ki navajajo sezname delov in podrobnosti vsakega podmerila, so opredeljene v odredbi.</w:t>
      </w:r>
    </w:p>
    <w:p w14:paraId="1EB83CA4" w14:textId="77777777" w:rsidR="00A920F2" w:rsidRDefault="00A920F2" w:rsidP="00591C74">
      <w:pPr>
        <w:spacing w:after="0" w:line="240" w:lineRule="auto"/>
      </w:pPr>
    </w:p>
    <w:p w14:paraId="1CFB269D" w14:textId="77777777" w:rsidR="00591C74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Člen 5: Opredelitev podmeril</w:t>
      </w:r>
    </w:p>
    <w:p w14:paraId="6A051000" w14:textId="77777777" w:rsidR="00591C74" w:rsidRDefault="00591C74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</w:p>
    <w:p w14:paraId="5F43CE54" w14:textId="77777777" w:rsidR="00591C74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Merilo št. 1 – Dokumentacija:</w:t>
      </w:r>
    </w:p>
    <w:p w14:paraId="474F4FCC" w14:textId="77777777" w:rsidR="00591C74" w:rsidRDefault="00591C74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</w:p>
    <w:p w14:paraId="48B5126F" w14:textId="77777777" w:rsidR="009451F9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Podmerilo 1.1.: Čas trajanja razpoložljivosti tehnične dokumentacije o nasvetih za uporabo in vzdrževanje</w:t>
      </w:r>
    </w:p>
    <w:p w14:paraId="6591178B" w14:textId="77777777" w:rsidR="00A920F2" w:rsidRPr="009451F9" w:rsidRDefault="00515C32" w:rsidP="009451F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Opredeli se z obveznostjo proizvajalca do zagotavljanja brezplačne razpoložljivosti tehničnih dokumentov pri pooblaščenih in neodvisnih serviserjih, kot tudi dokumentov o nasvetih za uporabo in vzdrževanje pri potrošnikih, v številu let po dajanju zadnje enote na trg.</w:t>
      </w:r>
    </w:p>
    <w:p w14:paraId="0A412CEE" w14:textId="77777777" w:rsidR="00A920F2" w:rsidRDefault="00A920F2" w:rsidP="00591C74">
      <w:pPr>
        <w:pStyle w:val="SNSignatureGauche"/>
        <w:spacing w:before="0" w:after="0" w:line="240" w:lineRule="auto"/>
        <w:ind w:left="0" w:right="0" w:firstLine="0"/>
        <w:jc w:val="left"/>
        <w:rPr>
          <w:rFonts w:ascii="Times New Roman" w:hAnsi="Times New Roman"/>
          <w:b/>
          <w:color w:val="000000"/>
        </w:rPr>
      </w:pPr>
    </w:p>
    <w:p w14:paraId="01655C7D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Merilo št. 1 – Razstavljivost in dostop, orodja, pritrdilni elementi:</w:t>
      </w:r>
    </w:p>
    <w:p w14:paraId="2899D977" w14:textId="77777777" w:rsidR="00A920F2" w:rsidRDefault="00A920F2" w:rsidP="00591C74">
      <w:pPr>
        <w:keepNext/>
        <w:keepLines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31386A99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Podmerilo 2.1. Enostavnost razstavljanja delov s seznama 2:</w:t>
      </w:r>
    </w:p>
    <w:p w14:paraId="5C5E2FAF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Opredeli se s številom korakov razstavljanja, ki za vsak del s seznama 2 omogoči enkratni dostop do tega dela in njegovo ločitev od opreme z namenom njegove zamenjave. Med ocenjevanjem tega podmerila in ocenjevanjem podmerila 3.1 se v primeru, da določen del ni razstavljiv, vzpostavi povezava: ocena nič se torej prenese iz enega podmerila na drugo podmerilo.</w:t>
      </w:r>
    </w:p>
    <w:p w14:paraId="24582255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6429D943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Podmerilo 2.2. Potrebna orodja:</w:t>
      </w:r>
    </w:p>
    <w:p w14:paraId="3480DCFF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Opredelijo se z vrsto orodja, potrebnega za razstavljanje vsakega dela s seznama 2, skladno s tipologijo razlikovanja med „običajnimi“, „posebnimi“ ali „lastniškimi“ orodji.</w:t>
      </w:r>
    </w:p>
    <w:p w14:paraId="4EAAED90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0E689FBB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Podmerilo 2.3. Značilnosti pritrdilnih elementov:</w:t>
      </w:r>
    </w:p>
    <w:p w14:paraId="5EC48A6B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Za vsak del s seznama 1 in 2 se opredeli po posamezni vrsti pritrdilnih elementov, ki zagotavljajo njegovo sestavljanje z drugimi deli opreme, skladno s tipologijo razlikovanja med „odstranljivimi in ponovno uporabljivimi“, „odstranljivimi in namenjenimi za enkratno uporabo“ ali „niti odstranljivimi niti ponovno uporabljivimi“ pritrdilnimi elementi.</w:t>
      </w:r>
    </w:p>
    <w:p w14:paraId="34FF21A2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3ABA19DF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</w:rPr>
        <w:t>Merilo št. 3 – Razpoložljivost rezervnih delov</w:t>
      </w:r>
    </w:p>
    <w:p w14:paraId="107F4792" w14:textId="77777777" w:rsidR="00A920F2" w:rsidRDefault="00A920F2" w:rsidP="00591C74">
      <w:pPr>
        <w:keepNext/>
        <w:keepLines/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7DE9716B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</w:rPr>
        <w:t>Podmerilo 3.1. Čas razpoložljivosti delov s seznama 2</w:t>
      </w:r>
    </w:p>
    <w:p w14:paraId="7FB11DB6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Opredeli se z obveznostjo proizvajalca do zagotavljanja delov s seznama 2 pri distributerjih rezervnih delov, pooblaščenih in neodvisnih serviserjih ter pri potrošnikih, v številu let po dajanju zadnje enote na trg.</w:t>
      </w:r>
    </w:p>
    <w:p w14:paraId="48CDDB75" w14:textId="77777777" w:rsidR="00A920F2" w:rsidRDefault="00A920F2" w:rsidP="00591C74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1C68F996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</w:rPr>
        <w:lastRenderedPageBreak/>
        <w:t>Podmerilo 3.2. Čas razpoložljivosti delov s seznama 1.</w:t>
      </w:r>
    </w:p>
    <w:p w14:paraId="023BC06B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Opredeli se z obveznostjo proizvajalca do zagotavljanja delov s seznama 1 pri distributerjih rezervnih delov, pooblaščenih in neodvisnih serviserjih ter pri potrošnikih, v številu let po dajanju zadnje enote na trg.</w:t>
      </w:r>
    </w:p>
    <w:p w14:paraId="495182F1" w14:textId="77777777" w:rsidR="00A920F2" w:rsidRDefault="00A920F2" w:rsidP="00591C7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571928A0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</w:rPr>
        <w:t>Podmerilo 3.3. Dobavni rok za dele s seznama 2</w:t>
      </w:r>
    </w:p>
    <w:p w14:paraId="7B386121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Opredeli se z obveznostjo proizvajalca do upoštevanja dobavnega roka za dele s seznama 2 pri distributerjih rezervnih delov, pooblaščenih in neodvisnih serviserjih in potrošnikih, v številu delovnih dni po dnevu oddaje naročila.</w:t>
      </w:r>
    </w:p>
    <w:p w14:paraId="3CF33B7B" w14:textId="77777777" w:rsidR="00A920F2" w:rsidRDefault="00A920F2" w:rsidP="00591C7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5A3DA756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</w:rPr>
        <w:t>Podmerilo 3.4. Dobavni rok za dele s seznama 1</w:t>
      </w:r>
    </w:p>
    <w:p w14:paraId="0A497D4A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Opredeli se z obveznostjo proizvajalca do upoštevanja dobavnega roka za dele s seznama 1 pri distributerjih rezervnih delov, pooblaščenih in neodvisnih serviserjih in potrošnikih, v številu delovnih dni po datumu naročila.</w:t>
      </w:r>
    </w:p>
    <w:p w14:paraId="40583AB4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13D0D56C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Merilo št. 4 – Cena rezervnih delov</w:t>
      </w:r>
    </w:p>
    <w:p w14:paraId="4D985565" w14:textId="77777777" w:rsidR="00A920F2" w:rsidRDefault="00A920F2" w:rsidP="00591C74">
      <w:pPr>
        <w:keepNext/>
        <w:keepLines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6810D044" w14:textId="77777777" w:rsidR="00591C74" w:rsidRPr="00591C74" w:rsidRDefault="00515C32" w:rsidP="00591C74">
      <w:pPr>
        <w:keepNext/>
        <w:keepLines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Podmerilo 4.1. Razmerje med prodajno ceno delov proizvajalca ali uvoznika in prodajno ceno opreme proizvajalca ali uvoznika.</w:t>
      </w:r>
    </w:p>
    <w:p w14:paraId="6812B2F7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Merilo se oblikuje z razmerjem:</w:t>
      </w:r>
    </w:p>
    <w:p w14:paraId="3068AE02" w14:textId="77777777" w:rsidR="00591C74" w:rsidRDefault="00515C3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med ceno brez davka najdražjega dela s seznama 2 + (povprečjem cen brez davka drugih delov s seznama 2)/2 in</w:t>
      </w:r>
    </w:p>
    <w:p w14:paraId="3AE85B5E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 xml:space="preserve">ceno brez davka modela zadevne opreme, kjer vsaka cena pomeni ceno brez davka po veljavnem ceniku v času izračuna indeksa in je navedena pod običajnimi prodajnimi pogoji proizvajalca ali uvoznika, ali če cenik ni na voljo, v vsakem ustreznem pogodbenem dokumentu. </w:t>
      </w:r>
    </w:p>
    <w:p w14:paraId="7F05FA6A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64A979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 xml:space="preserve">Kadar ima proizvajalec ali uvoznik za dele ali zadevno opremo na voljo več cenikov, skladno z različnimi kategorijami distributerjev ali prodajalcev, so cene za izračun indeksa tiste, ki so navedene v ceniku, ki predstavlja največji delež prometa proizvajalca ali uvoznika za zadevno vrsto delov ali vrsto opreme v zadnjem zaključenem poslovnem letu. </w:t>
      </w:r>
    </w:p>
    <w:p w14:paraId="67C64F43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BA20B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Kadar so določeni deli neločljivi ali je zadevni del vgrajen v modul, ki je edini razpoložljiv, je treba upoštevati skupno ceno delov ali ceno modula.</w:t>
      </w:r>
    </w:p>
    <w:p w14:paraId="2DE45EA2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2D0F3023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Merilo št. 5 – Posebno merilo za zadevno kategorijo opreme</w:t>
      </w:r>
    </w:p>
    <w:p w14:paraId="3AB68CE6" w14:textId="77777777" w:rsidR="00A920F2" w:rsidRDefault="00A920F2" w:rsidP="00591C74">
      <w:pPr>
        <w:keepNext/>
        <w:keepLines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084839C3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To merilo sestavlja eno ali več podmeril, značilnih za zadevno kategorijo opreme. Kadar je to ustrezno za kategorijo zadevne opreme, merilo 5 za kategorijo vključuje podmerilo za prisotnost števca uporabe, vidnega potrošniku, katerega koeficient je manjši od 1.</w:t>
      </w:r>
    </w:p>
    <w:p w14:paraId="55DC9806" w14:textId="77777777" w:rsidR="00A920F2" w:rsidRDefault="00A920F2" w:rsidP="00591C74">
      <w:pPr>
        <w:pStyle w:val="SNSignatureGauche"/>
        <w:spacing w:before="0" w:after="0" w:line="240" w:lineRule="auto"/>
        <w:ind w:left="0" w:right="0" w:firstLine="0"/>
        <w:jc w:val="left"/>
        <w:rPr>
          <w:rFonts w:ascii="Times New Roman" w:hAnsi="Times New Roman"/>
          <w:b/>
          <w:color w:val="000000"/>
        </w:rPr>
      </w:pPr>
    </w:p>
    <w:p w14:paraId="0AC10223" w14:textId="77777777" w:rsidR="00A920F2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left"/>
      </w:pPr>
      <w:r>
        <w:rPr>
          <w:rFonts w:ascii="Times New Roman" w:hAnsi="Times New Roman"/>
          <w:b/>
          <w:color w:val="000000"/>
        </w:rPr>
        <w:t>Člen 6 – Uporabljene opredelitve pojmov</w:t>
      </w:r>
    </w:p>
    <w:p w14:paraId="297BB808" w14:textId="77777777" w:rsidR="00A920F2" w:rsidRDefault="00A920F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left"/>
        <w:rPr>
          <w:rFonts w:ascii="Times New Roman" w:hAnsi="Times New Roman"/>
          <w:b/>
          <w:color w:val="000000"/>
        </w:rPr>
      </w:pPr>
    </w:p>
    <w:p w14:paraId="0A4FD10B" w14:textId="77777777" w:rsidR="00591C74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lef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Seznam delov</w:t>
      </w:r>
    </w:p>
    <w:p w14:paraId="33134713" w14:textId="77777777" w:rsidR="00591C74" w:rsidRDefault="00515C32" w:rsidP="002A489A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 vsako kategorijo opreme se opredelita dva seznama delov:</w:t>
      </w:r>
    </w:p>
    <w:p w14:paraId="059A6099" w14:textId="77777777" w:rsidR="00591C74" w:rsidRDefault="00515C32" w:rsidP="002A489A">
      <w:pPr>
        <w:pStyle w:val="SNSignatureGauche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 seznam 2: seznam največ treh do petih rezervnih delov (skladno z zadevno kategorijo opreme), ki se najpogosteje zlomijo ali okvarijo;</w:t>
      </w:r>
    </w:p>
    <w:p w14:paraId="0E788602" w14:textId="77777777" w:rsidR="00A920F2" w:rsidRDefault="00BD3BED" w:rsidP="002A489A">
      <w:pPr>
        <w:pStyle w:val="SNSignatureGauche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 seznam 1: seznam največ deset drugih rezervnih delov (v skladu z zadevno kategorijo izdelkov), ki morajo biti za delovanje opreme v dobrem stanju.</w:t>
      </w:r>
    </w:p>
    <w:p w14:paraId="40B9A596" w14:textId="77777777" w:rsidR="00591C74" w:rsidRDefault="00591C74" w:rsidP="00591C74">
      <w:pPr>
        <w:pStyle w:val="SNSignatureGauche"/>
        <w:spacing w:before="0" w:after="0" w:line="240" w:lineRule="auto"/>
        <w:ind w:left="0" w:right="0" w:firstLine="0"/>
        <w:jc w:val="left"/>
      </w:pPr>
    </w:p>
    <w:p w14:paraId="2D124170" w14:textId="77777777" w:rsidR="00A920F2" w:rsidRDefault="00515C32" w:rsidP="00591C74">
      <w:pPr>
        <w:pStyle w:val="SNSignatureGauche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/>
          <w:color w:val="000000"/>
        </w:rPr>
        <w:t xml:space="preserve">Ta dva seznama ne vključujeta nujno vseh sestavnih delov opreme. </w:t>
      </w:r>
    </w:p>
    <w:p w14:paraId="30652647" w14:textId="77777777" w:rsidR="00591C74" w:rsidRDefault="00591C74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337A3B4C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lastRenderedPageBreak/>
        <w:t>Opredelitev koraka</w:t>
      </w:r>
    </w:p>
    <w:p w14:paraId="7341B3B7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Korak je postopek, ki vodi do odstranitve sestavnega dela ali dela oziroma zamenjave orodja. Sestavni del lahko vključuje enega ali več delov.</w:t>
      </w:r>
    </w:p>
    <w:p w14:paraId="3A985CE8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0230F9A4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Ta splošna opredelitev lahko dopušča dve izjemi, utemeljeni s praktičnimi ali varnostnimi presojami. Te izjeme so za vsako kategorijo opreme natančno opredeljene v odredbi ministra, odgovornega za okolje, in ministra, odgovornega za gospodarstvo in finance.</w:t>
      </w:r>
    </w:p>
    <w:p w14:paraId="2BE5B563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66C6246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Pritrdilni ali spojni elementi so opredeljeni kot tehnike spajanja, pritrjevanja ali zapečatenja. Pritrdilni ali spojni elementi se ne obravnavajo kot deli.</w:t>
      </w:r>
    </w:p>
    <w:p w14:paraId="2702D09A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2096E20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Vrsta pritrdilnih elementov</w:t>
      </w:r>
    </w:p>
    <w:p w14:paraId="2ED294B9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Odstranljivi in ponovno uporabljivi: prvotni sistem pritrjevanja, ki se lahko popolnoma odstrani, ne da bi s tem povzročili škodo na opremi ali puščali sledi, in se lahko ponovno uporabi.</w:t>
      </w:r>
    </w:p>
    <w:p w14:paraId="5FA0418A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21FF3E26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Odstranljivi in namenjeni za enkratno uporabo: prvotni sistem pritrjevanja, ki se lahko popolnoma odstrani, ne da bi s tem povzročili škodo na opremi ali puščali sledi, vendar se ne more ponovno uporabiti.</w:t>
      </w:r>
    </w:p>
    <w:p w14:paraId="58000AAD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14A664A5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Niti odstranljivi niti ponovno uporabljivi: prvotni sistem pritrjevanja, ki ga ni mogoče popolnoma odstraniti, ne da bi s tem povzročili škodo na opremi ali puščali sledi, in ga ni mogoče ponovno uporabiti.</w:t>
      </w:r>
    </w:p>
    <w:p w14:paraId="4E6FC098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303C58F8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Vrsta orodja</w:t>
      </w:r>
    </w:p>
    <w:p w14:paraId="162DDC17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Seznam običajnega orodja je naveden spodaj in ustreza referenčnim standardom:</w:t>
      </w:r>
    </w:p>
    <w:p w14:paraId="78612875" w14:textId="77777777" w:rsidR="00A920F2" w:rsidRDefault="00A920F2" w:rsidP="00591C74">
      <w:pPr>
        <w:pStyle w:val="Tabletitle"/>
        <w:keepNext w:val="0"/>
        <w:spacing w:before="0" w:after="0" w:line="240" w:lineRule="auto"/>
        <w:jc w:val="left"/>
        <w:rPr>
          <w:rFonts w:ascii="Times New Roman" w:hAnsi="Times New Roman"/>
          <w:color w:val="000000"/>
          <w:sz w:val="24"/>
          <w:lang w:val="fr-FR" w:eastAsia="fr-FR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8"/>
        <w:gridCol w:w="4898"/>
      </w:tblGrid>
      <w:tr w:rsidR="00A920F2" w:rsidRPr="008F7598" w14:paraId="18969A00" w14:textId="77777777" w:rsidTr="00591C74">
        <w:trPr>
          <w:tblHeader/>
        </w:trPr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A02FF" w14:textId="77777777" w:rsidR="00A920F2" w:rsidRPr="008F7598" w:rsidRDefault="00515C32" w:rsidP="00591C74">
            <w:pPr>
              <w:pStyle w:val="Tableheader"/>
              <w:keepNext/>
              <w:keepLines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4"/>
                <w:sz w:val="24"/>
              </w:rPr>
              <w:t>Običajna orodja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1B918" w14:textId="77777777" w:rsidR="00A920F2" w:rsidRPr="008F7598" w:rsidRDefault="00515C32" w:rsidP="00591C74">
            <w:pPr>
              <w:pStyle w:val="Tableheader"/>
              <w:keepNext/>
              <w:keepLines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b/>
                <w:color w:val="000000"/>
                <w:spacing w:val="-4"/>
                <w:sz w:val="24"/>
              </w:rPr>
              <w:t>Referenca</w:t>
            </w:r>
          </w:p>
        </w:tc>
      </w:tr>
      <w:tr w:rsidR="00A920F2" w:rsidRPr="008F7598" w14:paraId="7DEE84B0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9EA207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Ploščati izvijač, križni izvijač in šesterokraki zvezdasti izvijač.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AD0F1" w14:textId="77777777" w:rsidR="00A920F2" w:rsidRPr="008F7598" w:rsidRDefault="00515C32" w:rsidP="00591C74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ISO 2380, ISO 8764, ISO 10664</w:t>
            </w:r>
          </w:p>
        </w:tc>
      </w:tr>
      <w:tr w:rsidR="00A920F2" w:rsidRPr="008F7598" w14:paraId="765278FE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655DA8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Šesterokotni vijačni ključ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6CA7A" w14:textId="77777777" w:rsidR="00A920F2" w:rsidRPr="008F7598" w:rsidRDefault="00515C32" w:rsidP="00591C74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ISO 2936</w:t>
            </w:r>
          </w:p>
        </w:tc>
      </w:tr>
      <w:tr w:rsidR="00A920F2" w:rsidRPr="008F7598" w14:paraId="0B6D0A10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F89DD6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Mešani ključ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BF46E" w14:textId="77777777" w:rsidR="00A920F2" w:rsidRPr="008F7598" w:rsidRDefault="00515C32" w:rsidP="00591C74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ISO 7738</w:t>
            </w:r>
          </w:p>
        </w:tc>
      </w:tr>
      <w:tr w:rsidR="00A920F2" w:rsidRPr="008F7598" w14:paraId="7E1D40C0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27C314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Univerzalne klešče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3CA1B" w14:textId="77777777" w:rsidR="00A920F2" w:rsidRPr="008F7598" w:rsidRDefault="00515C32" w:rsidP="00591C74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ISO 5746</w:t>
            </w:r>
          </w:p>
        </w:tc>
      </w:tr>
      <w:tr w:rsidR="00A920F2" w:rsidRPr="008F7598" w14:paraId="53243EEE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4A08E0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Polkrožne klešče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34E6C" w14:textId="77777777" w:rsidR="00A920F2" w:rsidRPr="008F7598" w:rsidRDefault="00515C32" w:rsidP="00591C74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ISO 5745</w:t>
            </w:r>
          </w:p>
        </w:tc>
      </w:tr>
      <w:tr w:rsidR="00A920F2" w:rsidRPr="008F7598" w14:paraId="19F087FD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F050E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Diagonalne rezalne klešče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C1C6B2" w14:textId="77777777" w:rsidR="00A920F2" w:rsidRPr="008F7598" w:rsidRDefault="00515C32" w:rsidP="00591C74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ISO 5749</w:t>
            </w:r>
          </w:p>
        </w:tc>
      </w:tr>
      <w:tr w:rsidR="00A920F2" w:rsidRPr="008F7598" w14:paraId="0CFF28BC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9DA8FC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Klešče z različnimi prijemi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68AE9B" w14:textId="77777777" w:rsidR="00A920F2" w:rsidRPr="008F7598" w:rsidRDefault="00515C32" w:rsidP="00591C74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ISO 8976</w:t>
            </w:r>
          </w:p>
        </w:tc>
      </w:tr>
      <w:tr w:rsidR="00A920F2" w:rsidRPr="008F7598" w14:paraId="2F75A3E9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CA5F28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Prijemne klešče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15779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  <w:tr w:rsidR="00A920F2" w:rsidRPr="008F7598" w14:paraId="192434DA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1DEB4C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Univerzalne klešče za lupljenje in stiskalno spajanje kabelskih končnikov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8B1A7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  <w:tr w:rsidR="00A920F2" w:rsidRPr="008F7598" w14:paraId="74CC6302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0C593A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Ročica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C7CB3A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  <w:tr w:rsidR="00A920F2" w:rsidRPr="008F7598" w14:paraId="3C605CBB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FF3624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Kleščice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CEB01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  <w:tr w:rsidR="00A920F2" w:rsidRPr="008F7598" w14:paraId="497560ED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D243D4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Kladivo (s kovinsko glavo)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10A50" w14:textId="77777777" w:rsidR="00A920F2" w:rsidRPr="008F7598" w:rsidRDefault="00515C32" w:rsidP="00591C74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ISO 15601</w:t>
            </w:r>
          </w:p>
        </w:tc>
      </w:tr>
      <w:tr w:rsidR="00A920F2" w:rsidRPr="008F7598" w14:paraId="66EDCF39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1430FA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Univerzalni nož z izvlečnim rezilom (cutter)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7A83C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  <w:tr w:rsidR="00A920F2" w:rsidRPr="008F7598" w14:paraId="549A5561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33BE35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Multimeter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14E4CC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  <w:tr w:rsidR="00A920F2" w:rsidRPr="008F7598" w14:paraId="35F7573B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CA3A0A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Voltmeter (tester napetosti)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215644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  <w:tr w:rsidR="00A920F2" w:rsidRPr="008F7598" w14:paraId="69ACA621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DA34D1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Spajkalnik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93396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  <w:tr w:rsidR="00A920F2" w:rsidRPr="008F7598" w14:paraId="0F507C4D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6E3960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Pištola za lepilo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9BD53D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  <w:tr w:rsidR="00A920F2" w:rsidRPr="008F7598" w14:paraId="438595E2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D421C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Povečevalno steklo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9DDF21" w14:textId="77777777" w:rsidR="00A920F2" w:rsidRPr="008F7598" w:rsidRDefault="00515C32" w:rsidP="00591C74">
            <w:pPr>
              <w:pStyle w:val="Tablebody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F7598">
              <w:rPr>
                <w:rFonts w:ascii="Times New Roman" w:hAnsi="Times New Roman"/>
                <w:color w:val="000000"/>
                <w:spacing w:val="-4"/>
                <w:sz w:val="24"/>
              </w:rPr>
              <w:t>/</w:t>
            </w:r>
          </w:p>
        </w:tc>
      </w:tr>
    </w:tbl>
    <w:p w14:paraId="76D3CEF9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36B823E3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Posebna orodja so orodja, ki niso navedena na seznamu običajnih orodij, niso pa lastniška orodja.</w:t>
      </w:r>
    </w:p>
    <w:p w14:paraId="51459800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75E51E59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lastRenderedPageBreak/>
        <w:t>Lastniška orodja so orodja, katerih intelektualno lastnino si pridržuje proizvajalec ali poseben udeleženec.</w:t>
      </w:r>
    </w:p>
    <w:p w14:paraId="71CA412D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77335D7F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Števec uporabe</w:t>
      </w:r>
    </w:p>
    <w:p w14:paraId="0896BE9C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Naprava, ki kumulativno beleži uporabo opreme v številu enot. Števec uporabe je lahko neposredno viden potrošniku pri vsakem zagonu naprave ali pa zahteva namerno posredovanje uporabnika, da se seznani z vrednostjo, prikazano na števcu uporabe.</w:t>
      </w:r>
    </w:p>
    <w:p w14:paraId="1A1B28B0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1EF49C64" w14:textId="77777777" w:rsidR="00A920F2" w:rsidRDefault="00A920F2" w:rsidP="00591C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29206180" w14:textId="77777777" w:rsidR="00591C74" w:rsidRDefault="00591C74" w:rsidP="00591C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5A4935AD" w14:textId="77777777" w:rsidR="00A920F2" w:rsidRPr="00247F97" w:rsidRDefault="00515C32" w:rsidP="0084523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Ministrica za ekološko preoblikovanje:</w:t>
      </w:r>
    </w:p>
    <w:p w14:paraId="459D274E" w14:textId="77777777" w:rsidR="00A920F2" w:rsidRPr="00247F97" w:rsidRDefault="00A920F2" w:rsidP="0084523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F9C609" w14:textId="77777777" w:rsidR="00A920F2" w:rsidRPr="00247F97" w:rsidRDefault="00515C32" w:rsidP="000C5560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Za ministrico in s pooblastilom, generalni komisar za trajnostni razvoj,</w:t>
      </w:r>
    </w:p>
    <w:p w14:paraId="612F13EB" w14:textId="77777777" w:rsidR="00BD3BED" w:rsidRDefault="00BD3BED" w:rsidP="000C5560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1C179A" w14:textId="77777777" w:rsidR="00A920F2" w:rsidRPr="00247F97" w:rsidRDefault="00515C32" w:rsidP="0084523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T. Lesueur</w:t>
      </w:r>
    </w:p>
    <w:p w14:paraId="5EC26B1A" w14:textId="77777777" w:rsidR="00BD3BED" w:rsidRDefault="00BD3BED" w:rsidP="0084523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39D75" w14:textId="77777777" w:rsidR="00BD3BED" w:rsidRDefault="00BD3BED" w:rsidP="0084523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0C899D" w14:textId="77777777" w:rsidR="00BD3BED" w:rsidRDefault="00BD3BED" w:rsidP="0084523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82C65" w14:textId="77777777" w:rsidR="00A920F2" w:rsidRPr="00247F97" w:rsidRDefault="00515C32" w:rsidP="0084523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Minister za gospodarstvo in finance:</w:t>
      </w:r>
    </w:p>
    <w:p w14:paraId="599BE8CB" w14:textId="77777777" w:rsidR="00A920F2" w:rsidRPr="00247F97" w:rsidRDefault="00A920F2" w:rsidP="0084523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3EA63C" w14:textId="77777777" w:rsidR="00A920F2" w:rsidRPr="00247F97" w:rsidRDefault="00515C32" w:rsidP="000C5560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Za ministra in s pooblastilom, generalna direktorica za konkurenco, potrošnjo in preprečevanje prevar</w:t>
      </w:r>
    </w:p>
    <w:p w14:paraId="777C3A9D" w14:textId="77777777" w:rsidR="00BD3BED" w:rsidRDefault="00BD3BED" w:rsidP="000C5560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18BAC" w14:textId="77777777" w:rsidR="00A920F2" w:rsidRPr="00247F97" w:rsidRDefault="00515C32" w:rsidP="0084523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V. Beaumeunier</w:t>
      </w:r>
    </w:p>
    <w:sectPr w:rsidR="00A920F2" w:rsidRPr="00247F97">
      <w:pgSz w:w="11906" w:h="16838"/>
      <w:pgMar w:top="1416" w:right="1133" w:bottom="1133" w:left="113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BE435" w14:textId="77777777" w:rsidR="00C93306" w:rsidRDefault="00C93306">
      <w:pPr>
        <w:spacing w:after="0" w:line="240" w:lineRule="auto"/>
      </w:pPr>
      <w:r>
        <w:separator/>
      </w:r>
    </w:p>
  </w:endnote>
  <w:endnote w:type="continuationSeparator" w:id="0">
    <w:p w14:paraId="3633EB1F" w14:textId="77777777" w:rsidR="00C93306" w:rsidRDefault="00C9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7C85F" w14:textId="77777777" w:rsidR="00C93306" w:rsidRDefault="00C93306">
      <w:pPr>
        <w:spacing w:after="0" w:line="240" w:lineRule="auto"/>
      </w:pPr>
      <w:r>
        <w:separator/>
      </w:r>
    </w:p>
  </w:footnote>
  <w:footnote w:type="continuationSeparator" w:id="0">
    <w:p w14:paraId="4370B928" w14:textId="77777777" w:rsidR="00C93306" w:rsidRDefault="00C9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5C32"/>
    <w:rsid w:val="000C5560"/>
    <w:rsid w:val="00247F97"/>
    <w:rsid w:val="002A489A"/>
    <w:rsid w:val="00515C32"/>
    <w:rsid w:val="00591C74"/>
    <w:rsid w:val="00596751"/>
    <w:rsid w:val="006039E8"/>
    <w:rsid w:val="00801F0A"/>
    <w:rsid w:val="00845239"/>
    <w:rsid w:val="00882C27"/>
    <w:rsid w:val="008F7598"/>
    <w:rsid w:val="00924F06"/>
    <w:rsid w:val="009451F9"/>
    <w:rsid w:val="009A7F5C"/>
    <w:rsid w:val="00A920F2"/>
    <w:rsid w:val="00BD3BED"/>
    <w:rsid w:val="00C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F262BE5"/>
  <w15:chartTrackingRefBased/>
  <w15:docId w15:val="{6E3F2D20-FD34-434E-B052-5EB6BBDA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  <w:lang w:eastAsia="fr-FR"/>
    </w:rPr>
  </w:style>
  <w:style w:type="character" w:customStyle="1" w:styleId="WW8Num4z0">
    <w:name w:val="WW8Num4z0"/>
    <w:rPr>
      <w:rFonts w:ascii="Times New Roman" w:hAnsi="Times New Roman" w:cs="Times New Roman" w:hint="default"/>
      <w:sz w:val="20"/>
      <w:szCs w:val="2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Policepardfaut">
    <w:name w:val="Police par défaut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3">
    <w:name w:val="Police par défaut3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</w:rPr>
  </w:style>
  <w:style w:type="character" w:customStyle="1" w:styleId="CarCar">
    <w:name w:val="Car Car"/>
    <w:rPr>
      <w:sz w:val="24"/>
      <w:szCs w:val="24"/>
    </w:rPr>
  </w:style>
  <w:style w:type="character" w:customStyle="1" w:styleId="TabletitleChar">
    <w:name w:val="Table title Char"/>
    <w:rPr>
      <w:rFonts w:ascii="Arial" w:eastAsia="Calibri" w:hAnsi="Arial" w:cs="Arial"/>
      <w:b/>
      <w:szCs w:val="24"/>
      <w:lang w:val="sl-SI"/>
    </w:rPr>
  </w:style>
  <w:style w:type="character" w:customStyle="1" w:styleId="TablebodyChar">
    <w:name w:val="Table body Char"/>
    <w:rPr>
      <w:rFonts w:ascii="Arial" w:eastAsia="Calibri" w:hAnsi="Arial" w:cs="Arial"/>
      <w:szCs w:val="22"/>
      <w:lang w:val="sl-SI"/>
    </w:rPr>
  </w:style>
  <w:style w:type="character" w:customStyle="1" w:styleId="TableheaderChar">
    <w:name w:val="Table header Char"/>
    <w:rPr>
      <w:rFonts w:ascii="Arial" w:eastAsia="Calibri" w:hAnsi="Arial" w:cs="Arial"/>
      <w:szCs w:val="22"/>
      <w:lang w:val="sl-SI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3">
    <w:name w:val="Titre3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NSignatureprnomnomDroite">
    <w:name w:val="SNSignature prénom+nom Droite"/>
    <w:basedOn w:val="Normal"/>
    <w:pPr>
      <w:spacing w:before="120" w:after="120" w:line="240" w:lineRule="auto"/>
      <w:ind w:left="5041"/>
      <w:jc w:val="righ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abletitle">
    <w:name w:val="Table title"/>
    <w:basedOn w:val="Normal"/>
    <w:pPr>
      <w:keepNext/>
      <w:spacing w:before="120" w:after="120" w:line="240" w:lineRule="atLeast"/>
      <w:jc w:val="center"/>
    </w:pPr>
    <w:rPr>
      <w:rFonts w:ascii="Arial" w:eastAsia="Calibri" w:hAnsi="Arial" w:cs="Times New Roman"/>
      <w:b/>
      <w:kern w:val="0"/>
      <w:sz w:val="20"/>
      <w:szCs w:val="24"/>
    </w:rPr>
  </w:style>
  <w:style w:type="paragraph" w:customStyle="1" w:styleId="Tablebody">
    <w:name w:val="Table body"/>
    <w:basedOn w:val="Normal"/>
    <w:pPr>
      <w:suppressAutoHyphens w:val="0"/>
      <w:spacing w:before="60" w:after="60" w:line="210" w:lineRule="atLeast"/>
    </w:pPr>
    <w:rPr>
      <w:rFonts w:ascii="Arial" w:eastAsia="Calibri" w:hAnsi="Arial" w:cs="Times New Roman"/>
      <w:kern w:val="0"/>
      <w:sz w:val="20"/>
    </w:rPr>
  </w:style>
  <w:style w:type="paragraph" w:customStyle="1" w:styleId="Tableheader">
    <w:name w:val="Table header"/>
    <w:basedOn w:val="Tablebody"/>
  </w:style>
  <w:style w:type="table" w:styleId="TableGrid">
    <w:name w:val="Table Grid"/>
    <w:basedOn w:val="TableNormal"/>
    <w:uiPriority w:val="39"/>
    <w:rsid w:val="0059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1785</Words>
  <Characters>10181</Characters>
  <Application>Microsoft Office Word</Application>
  <DocSecurity>0</DocSecurity>
  <Lines>84</Lines>
  <Paragraphs>23</Paragraphs>
  <ScaleCrop>false</ScaleCrop>
  <Company>Microsoft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Diana STOICA</cp:lastModifiedBy>
  <cp:revision>3</cp:revision>
  <cp:lastPrinted>1899-12-31T22:00:00Z</cp:lastPrinted>
  <dcterms:created xsi:type="dcterms:W3CDTF">2020-07-22T01:03:00Z</dcterms:created>
  <dcterms:modified xsi:type="dcterms:W3CDTF">2020-07-29T14:28:00Z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