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385" w:rsidRPr="00E71FE2" w:rsidRDefault="00180385" w:rsidP="00180385">
      <w:pPr>
        <w:ind w:left="-634" w:right="-778"/>
        <w:jc w:val="center"/>
        <w:textAlignment w:val="baseline"/>
        <w:rPr>
          <w:rFonts w:ascii="Courier New" w:hAnsi="Courier New" w:cs="Courier New"/>
          <w:sz w:val="20"/>
        </w:rPr>
      </w:pPr>
      <w:r w:rsidRPr="00E71FE2">
        <w:rPr>
          <w:rFonts w:ascii="Courier New" w:hAnsi="Courier New" w:cs="Courier New"/>
          <w:sz w:val="20"/>
        </w:rPr>
        <w:t>1. ------IND- 2018 0117 PL- EN- ------ 20180327 --- --- IMPACT</w:t>
      </w:r>
    </w:p>
    <w:p w:rsidR="00180385" w:rsidRPr="00E71FE2" w:rsidRDefault="00180385" w:rsidP="00180385"/>
    <w:tbl>
      <w:tblPr>
        <w:tblW w:w="1094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569"/>
        <w:gridCol w:w="187"/>
        <w:gridCol w:w="383"/>
        <w:gridCol w:w="172"/>
        <w:gridCol w:w="398"/>
        <w:gridCol w:w="118"/>
        <w:gridCol w:w="54"/>
        <w:gridCol w:w="97"/>
        <w:gridCol w:w="300"/>
        <w:gridCol w:w="353"/>
        <w:gridCol w:w="217"/>
        <w:gridCol w:w="570"/>
        <w:gridCol w:w="80"/>
        <w:gridCol w:w="71"/>
        <w:gridCol w:w="419"/>
        <w:gridCol w:w="442"/>
        <w:gridCol w:w="76"/>
        <w:gridCol w:w="317"/>
        <w:gridCol w:w="304"/>
        <w:gridCol w:w="317"/>
        <w:gridCol w:w="253"/>
        <w:gridCol w:w="570"/>
        <w:gridCol w:w="115"/>
        <w:gridCol w:w="1422"/>
        <w:gridCol w:w="10"/>
      </w:tblGrid>
      <w:tr w:rsidR="00180385" w:rsidRPr="00E71FE2" w:rsidTr="00180385">
        <w:trPr>
          <w:gridAfter w:val="1"/>
          <w:wAfter w:w="10" w:type="dxa"/>
        </w:trPr>
        <w:tc>
          <w:tcPr>
            <w:tcW w:w="6631" w:type="dxa"/>
            <w:gridSpan w:val="17"/>
          </w:tcPr>
          <w:p w:rsidR="00180385" w:rsidRPr="00E71FE2" w:rsidRDefault="00180385" w:rsidP="00733135">
            <w:pPr>
              <w:spacing w:before="120"/>
              <w:rPr>
                <w:color w:val="000000"/>
              </w:rPr>
            </w:pPr>
            <w:r>
              <w:rPr>
                <w:b/>
                <w:color w:val="000000"/>
              </w:rPr>
              <w:t>Draft name</w:t>
            </w:r>
          </w:p>
          <w:p w:rsidR="00180385" w:rsidRPr="00E71FE2" w:rsidRDefault="00180385" w:rsidP="00733135">
            <w:pPr>
              <w:spacing w:before="120"/>
            </w:pPr>
            <w:r>
              <w:t>Regulation of the Minister of Energy laying down detailed rules for the structuring and calculation of tariffs for gaseous fuels and the settlement of trade in gaseous fuels</w:t>
            </w:r>
          </w:p>
          <w:p w:rsidR="00180385" w:rsidRPr="00E71FE2" w:rsidRDefault="00180385" w:rsidP="00733135">
            <w:pPr>
              <w:spacing w:before="120"/>
              <w:rPr>
                <w:b/>
                <w:color w:val="000000"/>
              </w:rPr>
            </w:pPr>
            <w:r>
              <w:rPr>
                <w:b/>
                <w:color w:val="000000"/>
              </w:rPr>
              <w:t>Lead ministry</w:t>
            </w:r>
          </w:p>
          <w:p w:rsidR="00180385" w:rsidRPr="00E71FE2" w:rsidRDefault="00180385" w:rsidP="00733135">
            <w:r>
              <w:t>Ministry of Energy</w:t>
            </w:r>
          </w:p>
          <w:p w:rsidR="00180385" w:rsidRPr="00E71FE2" w:rsidRDefault="00180385" w:rsidP="00733135">
            <w:pPr>
              <w:rPr>
                <w:b/>
                <w:sz w:val="21"/>
              </w:rPr>
            </w:pPr>
            <w:r>
              <w:rPr>
                <w:b/>
                <w:sz w:val="21"/>
              </w:rPr>
              <w:t xml:space="preserve">Person responsible for the draft: Minister, Secretary of State or </w:t>
            </w:r>
            <w:bookmarkStart w:id="0" w:name="_GoBack"/>
            <w:bookmarkEnd w:id="0"/>
            <w:r>
              <w:rPr>
                <w:b/>
                <w:sz w:val="21"/>
              </w:rPr>
              <w:t>Undersecretary of State</w:t>
            </w:r>
          </w:p>
          <w:p w:rsidR="00180385" w:rsidRPr="00E71FE2" w:rsidRDefault="00180385" w:rsidP="00733135">
            <w:r>
              <w:t>Michał Kurtyka, Undersecretary of State at the Ministry of Energy (ME)</w:t>
            </w:r>
          </w:p>
          <w:p w:rsidR="00180385" w:rsidRPr="00E71FE2" w:rsidRDefault="00180385" w:rsidP="00733135">
            <w:pPr>
              <w:spacing w:before="120"/>
              <w:rPr>
                <w:b/>
                <w:color w:val="000000"/>
              </w:rPr>
            </w:pPr>
            <w:r>
              <w:rPr>
                <w:b/>
                <w:color w:val="000000"/>
              </w:rPr>
              <w:t>Contact details for the draft supervisor</w:t>
            </w:r>
          </w:p>
          <w:p w:rsidR="00180385" w:rsidRPr="00E71FE2" w:rsidRDefault="00180385" w:rsidP="00733135">
            <w:r>
              <w:t>Lena Krysińska-Wnuk (22 693 46 31)</w:t>
            </w:r>
          </w:p>
        </w:tc>
        <w:tc>
          <w:tcPr>
            <w:tcW w:w="4306" w:type="dxa"/>
            <w:gridSpan w:val="11"/>
            <w:shd w:val="clear" w:color="auto" w:fill="FFFFFF"/>
          </w:tcPr>
          <w:p w:rsidR="00180385" w:rsidRPr="00E71FE2" w:rsidRDefault="00180385" w:rsidP="00733135">
            <w:pPr>
              <w:rPr>
                <w:b/>
                <w:sz w:val="21"/>
              </w:rPr>
            </w:pPr>
            <w:r>
              <w:rPr>
                <w:b/>
                <w:sz w:val="21"/>
              </w:rPr>
              <w:t>Date of preparation</w:t>
            </w:r>
          </w:p>
          <w:p w:rsidR="00180385" w:rsidRPr="00E71FE2" w:rsidRDefault="00180385" w:rsidP="00733135">
            <w:pPr>
              <w:rPr>
                <w:b/>
                <w:sz w:val="21"/>
              </w:rPr>
            </w:pPr>
            <w:r>
              <w:rPr>
                <w:sz w:val="21"/>
              </w:rPr>
              <w:t>2 February 2018</w:t>
            </w:r>
          </w:p>
          <w:p w:rsidR="00180385" w:rsidRPr="00E71FE2" w:rsidRDefault="00180385" w:rsidP="00733135">
            <w:pPr>
              <w:rPr>
                <w:b/>
              </w:rPr>
            </w:pPr>
          </w:p>
          <w:p w:rsidR="00180385" w:rsidRPr="00E71FE2" w:rsidRDefault="00180385" w:rsidP="00733135">
            <w:r>
              <w:rPr>
                <w:b/>
              </w:rPr>
              <w:t>Source:</w:t>
            </w:r>
            <w:r w:rsidRPr="00E71FE2">
              <w:rPr>
                <w:b/>
              </w:rPr>
              <w:t xml:space="preserve"> </w:t>
            </w:r>
          </w:p>
          <w:p w:rsidR="00180385" w:rsidRPr="00E71FE2" w:rsidRDefault="00180385" w:rsidP="00733135">
            <w:r>
              <w:t>own initiative;</w:t>
            </w:r>
          </w:p>
          <w:p w:rsidR="00180385" w:rsidRPr="00E71FE2" w:rsidRDefault="00180385" w:rsidP="00733135">
            <w:r>
              <w:t>Article 46(1) of the Energy Act of 10 April 1997 (Journal of Laws of 2017, item 220, as amended) in connection with Article 58 (2) of the Energy Efficiency Act of 20 May 2016 (Journal of Laws, item 831)</w:t>
            </w:r>
          </w:p>
          <w:p w:rsidR="00180385" w:rsidRPr="00E71FE2" w:rsidRDefault="00180385" w:rsidP="00733135"/>
          <w:p w:rsidR="00180385" w:rsidRPr="00E71FE2" w:rsidRDefault="00180385" w:rsidP="00733135">
            <w:pPr>
              <w:spacing w:before="120"/>
            </w:pPr>
            <w:r>
              <w:rPr>
                <w:b/>
                <w:color w:val="000000"/>
              </w:rPr>
              <w:t>Number in the list of works</w:t>
            </w:r>
            <w:r w:rsidRPr="00E71FE2">
              <w:rPr>
                <w:b/>
                <w:color w:val="000000"/>
              </w:rPr>
              <w:t xml:space="preserve"> </w:t>
            </w:r>
          </w:p>
          <w:p w:rsidR="00180385" w:rsidRPr="00E71FE2" w:rsidRDefault="00180385" w:rsidP="00733135">
            <w:pPr>
              <w:rPr>
                <w:b/>
                <w:color w:val="000000"/>
                <w:sz w:val="28"/>
                <w:szCs w:val="28"/>
              </w:rPr>
            </w:pPr>
            <w:r w:rsidRPr="00E71FE2">
              <w:rPr>
                <w:b/>
                <w:color w:val="000000"/>
                <w:sz w:val="28"/>
                <w:szCs w:val="28"/>
              </w:rPr>
              <w:t>60.1.17</w:t>
            </w:r>
          </w:p>
        </w:tc>
      </w:tr>
      <w:tr w:rsidR="00180385" w:rsidRPr="00E71FE2" w:rsidTr="00180385">
        <w:trPr>
          <w:gridAfter w:val="1"/>
          <w:wAfter w:w="10" w:type="dxa"/>
        </w:trPr>
        <w:tc>
          <w:tcPr>
            <w:tcW w:w="10937" w:type="dxa"/>
            <w:gridSpan w:val="28"/>
            <w:shd w:val="clear" w:color="auto" w:fill="99CCFF"/>
          </w:tcPr>
          <w:p w:rsidR="00180385" w:rsidRPr="00E71FE2" w:rsidRDefault="00180385" w:rsidP="00180385">
            <w:pPr>
              <w:ind w:left="57"/>
              <w:jc w:val="center"/>
            </w:pPr>
            <w:r>
              <w:rPr>
                <w:b/>
                <w:color w:val="FFFFFF"/>
                <w:sz w:val="32"/>
              </w:rPr>
              <w:t>REGULATORY IMPACT ASSESSMENT</w:t>
            </w:r>
          </w:p>
        </w:tc>
      </w:tr>
      <w:tr w:rsidR="00180385" w:rsidRPr="00E71FE2" w:rsidTr="00180385">
        <w:trPr>
          <w:gridAfter w:val="1"/>
          <w:wAfter w:w="10" w:type="dxa"/>
        </w:trPr>
        <w:tc>
          <w:tcPr>
            <w:tcW w:w="10937" w:type="dxa"/>
            <w:gridSpan w:val="28"/>
            <w:shd w:val="clear" w:color="auto" w:fill="99CCFF"/>
            <w:vAlign w:val="center"/>
          </w:tcPr>
          <w:p w:rsidR="00180385" w:rsidRPr="00E71FE2" w:rsidRDefault="00180385" w:rsidP="00180385">
            <w:pPr>
              <w:numPr>
                <w:ilvl w:val="0"/>
                <w:numId w:val="1"/>
              </w:numPr>
              <w:spacing w:before="60" w:after="60"/>
              <w:jc w:val="both"/>
            </w:pPr>
            <w:r>
              <w:rPr>
                <w:b/>
              </w:rPr>
              <w:t>What is the issue being addressed?</w:t>
            </w:r>
          </w:p>
        </w:tc>
      </w:tr>
      <w:tr w:rsidR="00180385" w:rsidRPr="00E71FE2" w:rsidTr="00180385">
        <w:trPr>
          <w:gridAfter w:val="1"/>
          <w:wAfter w:w="10" w:type="dxa"/>
        </w:trPr>
        <w:tc>
          <w:tcPr>
            <w:tcW w:w="10937" w:type="dxa"/>
            <w:gridSpan w:val="28"/>
            <w:shd w:val="clear" w:color="auto" w:fill="FFFFFF"/>
          </w:tcPr>
          <w:p w:rsidR="00180385" w:rsidRPr="00E71FE2" w:rsidRDefault="00180385" w:rsidP="00180385">
            <w:pPr>
              <w:jc w:val="both"/>
            </w:pPr>
            <w:r>
              <w:t>The purpose of the draft Regulation of the Minister of Energy laying down detailed rules for the structuring and calculation of tariffs for gaseous fuels and the settlement of trade in gaseous fuels is to regulate the structuring of tariffs for gaseous fuels, the calculation of prices and fees, settlements with fuel consumers and settlements between energy companies. It implements the delegation under Article 46(1) and (2) of the Energy Act of 10 April 1997 (Journal of Laws of 2017, item 220, as amended). The draft regulation replaces the Regulation of the Minister of the Economy of 28 June 2013 laying down detailed rules for the structuring and calculation of tariffs for gaseous fuels and the settlement of trade in gaseous fuels (Journal of Laws, item 820), which expires on the day of entry into force of this regulation, pursuant to Article 58(2) of the Energy Efficiency Act of 20 May 2016 (Journal of Laws, item 831).</w:t>
            </w:r>
            <w:r w:rsidRPr="00E71FE2">
              <w:t xml:space="preserve"> </w:t>
            </w:r>
          </w:p>
        </w:tc>
      </w:tr>
      <w:tr w:rsidR="00180385" w:rsidRPr="00E71FE2" w:rsidTr="00180385">
        <w:trPr>
          <w:gridAfter w:val="1"/>
          <w:wAfter w:w="10" w:type="dxa"/>
        </w:trPr>
        <w:tc>
          <w:tcPr>
            <w:tcW w:w="10937" w:type="dxa"/>
            <w:gridSpan w:val="28"/>
            <w:shd w:val="clear" w:color="auto" w:fill="99CCFF"/>
            <w:vAlign w:val="center"/>
          </w:tcPr>
          <w:p w:rsidR="00180385" w:rsidRPr="00E71FE2" w:rsidRDefault="00180385" w:rsidP="00180385">
            <w:pPr>
              <w:numPr>
                <w:ilvl w:val="0"/>
                <w:numId w:val="1"/>
              </w:numPr>
              <w:spacing w:before="60" w:after="60"/>
              <w:jc w:val="both"/>
            </w:pPr>
            <w:r>
              <w:rPr>
                <w:b/>
                <w:color w:val="000000"/>
              </w:rPr>
              <w:t>Recommended solution, including planned intervention tools and expected impact</w:t>
            </w:r>
          </w:p>
        </w:tc>
      </w:tr>
      <w:tr w:rsidR="00180385" w:rsidRPr="00E71FE2" w:rsidTr="00180385">
        <w:trPr>
          <w:gridAfter w:val="1"/>
          <w:wAfter w:w="10" w:type="dxa"/>
        </w:trPr>
        <w:tc>
          <w:tcPr>
            <w:tcW w:w="10937" w:type="dxa"/>
            <w:gridSpan w:val="28"/>
          </w:tcPr>
          <w:p w:rsidR="00180385" w:rsidRPr="00E71FE2" w:rsidRDefault="00180385" w:rsidP="00180385">
            <w:pPr>
              <w:jc w:val="both"/>
            </w:pPr>
            <w:r>
              <w:t>The regulation specifies, in accordance with the Act:</w:t>
            </w:r>
          </w:p>
          <w:p w:rsidR="00180385" w:rsidRPr="00E71FE2" w:rsidRDefault="00180385" w:rsidP="00180385">
            <w:pPr>
              <w:numPr>
                <w:ilvl w:val="2"/>
                <w:numId w:val="1"/>
              </w:numPr>
              <w:ind w:left="366" w:hanging="283"/>
              <w:jc w:val="both"/>
            </w:pPr>
            <w:r>
              <w:t>criteria for the division of consumers into tariff groups;</w:t>
            </w:r>
          </w:p>
          <w:p w:rsidR="00180385" w:rsidRPr="00E71FE2" w:rsidRDefault="00180385" w:rsidP="00180385">
            <w:pPr>
              <w:numPr>
                <w:ilvl w:val="2"/>
                <w:numId w:val="1"/>
              </w:numPr>
              <w:ind w:left="366" w:hanging="283"/>
              <w:jc w:val="both"/>
            </w:pPr>
            <w:r>
              <w:t>detailed rules for determining fees for connection to the network, including the method of calculating connection fees;</w:t>
            </w:r>
          </w:p>
          <w:p w:rsidR="00180385" w:rsidRPr="00E71FE2" w:rsidRDefault="00180385" w:rsidP="00180385">
            <w:pPr>
              <w:numPr>
                <w:ilvl w:val="2"/>
                <w:numId w:val="1"/>
              </w:numPr>
              <w:ind w:left="366" w:hanging="283"/>
              <w:jc w:val="both"/>
            </w:pPr>
            <w:r>
              <w:t>types of prices and fees for each licensed business activity and the calculation method;</w:t>
            </w:r>
          </w:p>
          <w:p w:rsidR="00180385" w:rsidRPr="00E71FE2" w:rsidRDefault="00180385" w:rsidP="00180385">
            <w:pPr>
              <w:numPr>
                <w:ilvl w:val="2"/>
                <w:numId w:val="1"/>
              </w:numPr>
              <w:ind w:left="366" w:hanging="283"/>
              <w:jc w:val="both"/>
            </w:pPr>
            <w:r>
              <w:t>the methods of including efficiency improvements and changes in operating conditions among energy companies in the tariffs;</w:t>
            </w:r>
          </w:p>
          <w:p w:rsidR="00180385" w:rsidRPr="00E71FE2" w:rsidRDefault="00180385" w:rsidP="00180385">
            <w:pPr>
              <w:numPr>
                <w:ilvl w:val="2"/>
                <w:numId w:val="1"/>
              </w:numPr>
              <w:ind w:left="366" w:hanging="283"/>
              <w:jc w:val="both"/>
            </w:pPr>
            <w:r>
              <w:t>the method of settling payments with customers and settlements between energy companies;</w:t>
            </w:r>
          </w:p>
          <w:p w:rsidR="00180385" w:rsidRPr="00E71FE2" w:rsidRDefault="00180385" w:rsidP="00180385">
            <w:pPr>
              <w:numPr>
                <w:ilvl w:val="2"/>
                <w:numId w:val="1"/>
              </w:numPr>
              <w:ind w:left="366" w:hanging="283"/>
              <w:jc w:val="both"/>
            </w:pPr>
            <w:r>
              <w:t>the method of determining discounts for failing to meet the quality parameters for gaseous fuels and the quality standards for customer service;</w:t>
            </w:r>
          </w:p>
          <w:p w:rsidR="00180385" w:rsidRPr="00E71FE2" w:rsidRDefault="00180385" w:rsidP="00180385">
            <w:pPr>
              <w:numPr>
                <w:ilvl w:val="2"/>
                <w:numId w:val="1"/>
              </w:numPr>
              <w:ind w:left="366" w:hanging="283"/>
              <w:jc w:val="both"/>
            </w:pPr>
            <w:r>
              <w:t>the method of determining fees for exceeding power limits;</w:t>
            </w:r>
          </w:p>
          <w:p w:rsidR="00180385" w:rsidRPr="00E71FE2" w:rsidRDefault="00180385" w:rsidP="00180385">
            <w:pPr>
              <w:numPr>
                <w:ilvl w:val="2"/>
                <w:numId w:val="1"/>
              </w:numPr>
              <w:ind w:left="366" w:hanging="283"/>
              <w:jc w:val="both"/>
            </w:pPr>
            <w:r>
              <w:t>the method of determining fees for the illegal collection of gaseous fuels;</w:t>
            </w:r>
          </w:p>
          <w:p w:rsidR="00180385" w:rsidRPr="00E71FE2" w:rsidRDefault="00180385" w:rsidP="00180385">
            <w:pPr>
              <w:numPr>
                <w:ilvl w:val="2"/>
                <w:numId w:val="1"/>
              </w:numPr>
              <w:ind w:left="366" w:hanging="283"/>
              <w:jc w:val="both"/>
            </w:pPr>
            <w:r>
              <w:t>the scope of services performed following additional requests by the consumer and the method of determining fees for such services.</w:t>
            </w:r>
          </w:p>
        </w:tc>
      </w:tr>
      <w:tr w:rsidR="00180385" w:rsidRPr="00E71FE2" w:rsidTr="00180385">
        <w:trPr>
          <w:gridAfter w:val="1"/>
          <w:wAfter w:w="10" w:type="dxa"/>
        </w:trPr>
        <w:tc>
          <w:tcPr>
            <w:tcW w:w="10937" w:type="dxa"/>
            <w:gridSpan w:val="28"/>
            <w:shd w:val="clear" w:color="auto" w:fill="99CCFF"/>
            <w:vAlign w:val="center"/>
          </w:tcPr>
          <w:p w:rsidR="00180385" w:rsidRPr="00E71FE2" w:rsidRDefault="00180385" w:rsidP="00180385">
            <w:pPr>
              <w:numPr>
                <w:ilvl w:val="0"/>
                <w:numId w:val="1"/>
              </w:numPr>
              <w:spacing w:before="60" w:after="60"/>
              <w:jc w:val="both"/>
            </w:pPr>
            <w:r>
              <w:rPr>
                <w:b/>
                <w:color w:val="000000"/>
              </w:rPr>
              <w:t>How was this problem solved in other countries, in particular OECD/EU Member States?</w:t>
            </w:r>
          </w:p>
        </w:tc>
      </w:tr>
      <w:tr w:rsidR="00180385" w:rsidRPr="00E71FE2" w:rsidTr="00180385">
        <w:trPr>
          <w:gridAfter w:val="1"/>
          <w:wAfter w:w="10" w:type="dxa"/>
        </w:trPr>
        <w:tc>
          <w:tcPr>
            <w:tcW w:w="10937" w:type="dxa"/>
            <w:gridSpan w:val="28"/>
          </w:tcPr>
          <w:p w:rsidR="00180385" w:rsidRPr="00E71FE2" w:rsidRDefault="00180385" w:rsidP="00180385">
            <w:pPr>
              <w:jc w:val="both"/>
            </w:pPr>
            <w:r>
              <w:t xml:space="preserve">With regard to regulating the transmission, distribution, storage, regasification and liquefaction of natural gas, EU law requires or permits regulation and approval by the regulatory authority, owing to the nature of the practices of the entities offering these services on quasi-monopoly markets. In the light of the above, a detailed regulation on the method and procedure for approving the rates of fees for such services is required at national </w:t>
            </w:r>
            <w:r>
              <w:lastRenderedPageBreak/>
              <w:t>level. EU provisions only regulate the method of structuring prices for gas transmission services. All EU Member States use specific national provisions to regulate fees on domestic markets.</w:t>
            </w:r>
          </w:p>
          <w:p w:rsidR="00180385" w:rsidRPr="00E71FE2" w:rsidRDefault="00180385" w:rsidP="00180385">
            <w:pPr>
              <w:jc w:val="both"/>
            </w:pPr>
            <w:r>
              <w:t>The purpose of Directive 2009/73/EC of the European Parliament and of the Council of 13 July 2009 concerning common rules for the internal market in natural gas (OJ L 211 of 14 August 2009, p. 94) concerning common rules for the internal market in natural gas is to ensure the free pricing of natural gas supplies by balancing supply and demand. However, EU Member States may regulate natural gas prices if the justification for such interventions is to ensure the security of supply and to preserve territorial cohesion.</w:t>
            </w:r>
            <w:r>
              <w:rPr>
                <w:rStyle w:val="Strong"/>
              </w:rPr>
              <w:t xml:space="preserve"> Gas prices for some consumers are regulated, for example in France. The Energy Act lays down the obligation to regulate natural gas prices for household consumers until 31 December 2024. There is therefore a need for specific regulations in this regard.</w:t>
            </w:r>
          </w:p>
        </w:tc>
      </w:tr>
      <w:tr w:rsidR="00180385" w:rsidRPr="00E71FE2" w:rsidTr="00180385">
        <w:trPr>
          <w:gridAfter w:val="1"/>
          <w:wAfter w:w="10" w:type="dxa"/>
        </w:trPr>
        <w:tc>
          <w:tcPr>
            <w:tcW w:w="10937" w:type="dxa"/>
            <w:gridSpan w:val="28"/>
            <w:shd w:val="clear" w:color="auto" w:fill="99CCFF"/>
            <w:vAlign w:val="center"/>
          </w:tcPr>
          <w:p w:rsidR="00180385" w:rsidRPr="00E71FE2" w:rsidRDefault="00180385" w:rsidP="00180385">
            <w:pPr>
              <w:numPr>
                <w:ilvl w:val="0"/>
                <w:numId w:val="1"/>
              </w:numPr>
              <w:spacing w:before="60" w:after="60"/>
              <w:jc w:val="both"/>
            </w:pPr>
            <w:r>
              <w:rPr>
                <w:b/>
                <w:color w:val="000000"/>
              </w:rPr>
              <w:lastRenderedPageBreak/>
              <w:t>Entities affected by the draft</w:t>
            </w:r>
          </w:p>
        </w:tc>
      </w:tr>
      <w:tr w:rsidR="00180385" w:rsidRPr="00E71FE2" w:rsidTr="00180385">
        <w:trPr>
          <w:gridAfter w:val="1"/>
          <w:wAfter w:w="10" w:type="dxa"/>
        </w:trPr>
        <w:tc>
          <w:tcPr>
            <w:tcW w:w="2668" w:type="dxa"/>
            <w:gridSpan w:val="3"/>
          </w:tcPr>
          <w:p w:rsidR="00180385" w:rsidRPr="00E71FE2" w:rsidRDefault="00180385" w:rsidP="00180385">
            <w:pPr>
              <w:spacing w:before="40"/>
              <w:jc w:val="center"/>
            </w:pPr>
            <w:r>
              <w:rPr>
                <w:color w:val="000000"/>
              </w:rPr>
              <w:t>Group</w:t>
            </w:r>
          </w:p>
        </w:tc>
        <w:tc>
          <w:tcPr>
            <w:tcW w:w="2292" w:type="dxa"/>
            <w:gridSpan w:val="7"/>
          </w:tcPr>
          <w:p w:rsidR="00180385" w:rsidRPr="00E71FE2" w:rsidRDefault="00180385" w:rsidP="00180385">
            <w:pPr>
              <w:spacing w:before="40"/>
              <w:jc w:val="center"/>
            </w:pPr>
            <w:r>
              <w:rPr>
                <w:color w:val="000000"/>
              </w:rPr>
              <w:t>Size</w:t>
            </w:r>
          </w:p>
        </w:tc>
        <w:tc>
          <w:tcPr>
            <w:tcW w:w="2996" w:type="dxa"/>
            <w:gridSpan w:val="12"/>
          </w:tcPr>
          <w:p w:rsidR="00180385" w:rsidRPr="00E71FE2" w:rsidRDefault="00180385" w:rsidP="00180385">
            <w:pPr>
              <w:spacing w:before="40"/>
              <w:jc w:val="center"/>
            </w:pPr>
            <w:r>
              <w:rPr>
                <w:color w:val="000000"/>
              </w:rPr>
              <w:t>Data source</w:t>
            </w:r>
            <w:r w:rsidRPr="00E71FE2">
              <w:rPr>
                <w:color w:val="000000"/>
              </w:rPr>
              <w:t xml:space="preserve"> </w:t>
            </w:r>
          </w:p>
        </w:tc>
        <w:tc>
          <w:tcPr>
            <w:tcW w:w="2981" w:type="dxa"/>
            <w:gridSpan w:val="6"/>
          </w:tcPr>
          <w:p w:rsidR="00180385" w:rsidRPr="00E71FE2" w:rsidRDefault="00180385" w:rsidP="00180385">
            <w:pPr>
              <w:spacing w:before="40"/>
              <w:jc w:val="center"/>
            </w:pPr>
            <w:r>
              <w:rPr>
                <w:color w:val="000000"/>
              </w:rPr>
              <w:t>Impact</w:t>
            </w:r>
          </w:p>
        </w:tc>
      </w:tr>
      <w:tr w:rsidR="00180385" w:rsidRPr="00E71FE2" w:rsidTr="00180385">
        <w:trPr>
          <w:gridAfter w:val="1"/>
          <w:wAfter w:w="10" w:type="dxa"/>
        </w:trPr>
        <w:tc>
          <w:tcPr>
            <w:tcW w:w="2668" w:type="dxa"/>
            <w:gridSpan w:val="3"/>
          </w:tcPr>
          <w:p w:rsidR="00180385" w:rsidRPr="00E71FE2" w:rsidRDefault="00180385" w:rsidP="00180385">
            <w:r>
              <w:rPr>
                <w:color w:val="000000"/>
              </w:rPr>
              <w:t>Operators of gaseous fuel transmission systems</w:t>
            </w:r>
            <w:r w:rsidRPr="00E71FE2">
              <w:rPr>
                <w:color w:val="000000"/>
              </w:rPr>
              <w:t xml:space="preserve"> </w:t>
            </w:r>
          </w:p>
        </w:tc>
        <w:tc>
          <w:tcPr>
            <w:tcW w:w="2292" w:type="dxa"/>
            <w:gridSpan w:val="7"/>
          </w:tcPr>
          <w:p w:rsidR="00180385" w:rsidRPr="00E71FE2" w:rsidRDefault="00180385" w:rsidP="00180385">
            <w:pPr>
              <w:jc w:val="center"/>
              <w:rPr>
                <w:color w:val="000000"/>
              </w:rPr>
            </w:pPr>
            <w:r w:rsidRPr="00E71FE2">
              <w:rPr>
                <w:color w:val="000000"/>
              </w:rPr>
              <w:t>1</w:t>
            </w:r>
          </w:p>
        </w:tc>
        <w:tc>
          <w:tcPr>
            <w:tcW w:w="2996" w:type="dxa"/>
            <w:gridSpan w:val="12"/>
          </w:tcPr>
          <w:p w:rsidR="00180385" w:rsidRPr="00E71FE2" w:rsidRDefault="00180385" w:rsidP="00180385">
            <w:r>
              <w:t>Registers and databases of the Energy Regulatory Office</w:t>
            </w:r>
            <w:r w:rsidRPr="00E71FE2">
              <w:t xml:space="preserve"> </w:t>
            </w:r>
          </w:p>
        </w:tc>
        <w:tc>
          <w:tcPr>
            <w:tcW w:w="2981" w:type="dxa"/>
            <w:gridSpan w:val="6"/>
          </w:tcPr>
          <w:p w:rsidR="00180385" w:rsidRPr="00E71FE2" w:rsidRDefault="00180385" w:rsidP="00180385">
            <w:r>
              <w:t>The regulation lays down detailed rules for the structuring of tariffs and fees.</w:t>
            </w:r>
            <w:r w:rsidRPr="00E71FE2">
              <w:t xml:space="preserve"> </w:t>
            </w:r>
          </w:p>
        </w:tc>
      </w:tr>
      <w:tr w:rsidR="00180385" w:rsidRPr="00E71FE2" w:rsidTr="00180385">
        <w:trPr>
          <w:gridAfter w:val="1"/>
          <w:wAfter w:w="10" w:type="dxa"/>
        </w:trPr>
        <w:tc>
          <w:tcPr>
            <w:tcW w:w="2668" w:type="dxa"/>
            <w:gridSpan w:val="3"/>
          </w:tcPr>
          <w:p w:rsidR="00180385" w:rsidRPr="00E71FE2" w:rsidRDefault="00180385" w:rsidP="00180385">
            <w:r>
              <w:t>Operators of gaseous fuel distribution systems</w:t>
            </w:r>
          </w:p>
        </w:tc>
        <w:tc>
          <w:tcPr>
            <w:tcW w:w="2292" w:type="dxa"/>
            <w:gridSpan w:val="7"/>
          </w:tcPr>
          <w:p w:rsidR="00180385" w:rsidRPr="00E71FE2" w:rsidRDefault="00180385" w:rsidP="00180385">
            <w:pPr>
              <w:spacing w:before="40"/>
              <w:jc w:val="center"/>
              <w:rPr>
                <w:color w:val="000000"/>
              </w:rPr>
            </w:pPr>
            <w:r w:rsidRPr="00E71FE2">
              <w:rPr>
                <w:color w:val="000000"/>
              </w:rPr>
              <w:t>55</w:t>
            </w:r>
          </w:p>
        </w:tc>
        <w:tc>
          <w:tcPr>
            <w:tcW w:w="2996" w:type="dxa"/>
            <w:gridSpan w:val="12"/>
          </w:tcPr>
          <w:p w:rsidR="00180385" w:rsidRPr="00E71FE2" w:rsidRDefault="00180385" w:rsidP="00180385">
            <w:pPr>
              <w:spacing w:before="40"/>
            </w:pPr>
            <w:r>
              <w:t>Registers and databases of the Energy Regulatory Office</w:t>
            </w:r>
          </w:p>
        </w:tc>
        <w:tc>
          <w:tcPr>
            <w:tcW w:w="2981" w:type="dxa"/>
            <w:gridSpan w:val="6"/>
          </w:tcPr>
          <w:p w:rsidR="00180385" w:rsidRPr="00E71FE2" w:rsidRDefault="00180385" w:rsidP="00180385">
            <w:r>
              <w:t>The regulation lays down detailed rules for the structuring of tariffs and fees.</w:t>
            </w:r>
          </w:p>
          <w:p w:rsidR="00180385" w:rsidRPr="00E71FE2" w:rsidRDefault="00180385" w:rsidP="00180385">
            <w:r>
              <w:t>It also introduces an obligation to provide information to final consumers of gaseous fuels, including information on the quantity of gaseous fuels used by a given consumer in the previous year.</w:t>
            </w:r>
          </w:p>
          <w:p w:rsidR="00180385" w:rsidRPr="00E71FE2" w:rsidRDefault="00180385" w:rsidP="00180385">
            <w:r>
              <w:t>This only applies to companies which settle payments with final consumers under a separate gaseous fuel distribution agreement.</w:t>
            </w:r>
          </w:p>
        </w:tc>
      </w:tr>
      <w:tr w:rsidR="00180385" w:rsidRPr="00E71FE2" w:rsidTr="00180385">
        <w:trPr>
          <w:gridAfter w:val="1"/>
          <w:wAfter w:w="10" w:type="dxa"/>
        </w:trPr>
        <w:tc>
          <w:tcPr>
            <w:tcW w:w="2668" w:type="dxa"/>
            <w:gridSpan w:val="3"/>
          </w:tcPr>
          <w:p w:rsidR="00180385" w:rsidRPr="00E71FE2" w:rsidRDefault="00180385" w:rsidP="00180385">
            <w:r>
              <w:t>Operators of natural gas liquefaction systems</w:t>
            </w:r>
          </w:p>
        </w:tc>
        <w:tc>
          <w:tcPr>
            <w:tcW w:w="2292" w:type="dxa"/>
            <w:gridSpan w:val="7"/>
          </w:tcPr>
          <w:p w:rsidR="00180385" w:rsidRPr="00E71FE2" w:rsidRDefault="00180385" w:rsidP="00180385">
            <w:pPr>
              <w:spacing w:before="40"/>
              <w:jc w:val="center"/>
              <w:rPr>
                <w:color w:val="000000"/>
              </w:rPr>
            </w:pPr>
            <w:r w:rsidRPr="00E71FE2">
              <w:rPr>
                <w:color w:val="000000"/>
              </w:rPr>
              <w:t>7</w:t>
            </w:r>
          </w:p>
        </w:tc>
        <w:tc>
          <w:tcPr>
            <w:tcW w:w="2996" w:type="dxa"/>
            <w:gridSpan w:val="12"/>
          </w:tcPr>
          <w:p w:rsidR="00180385" w:rsidRPr="00E71FE2" w:rsidRDefault="00180385" w:rsidP="00180385">
            <w:pPr>
              <w:spacing w:before="40"/>
            </w:pPr>
            <w:r>
              <w:t>Registers and databases of the Energy Regulatory Office</w:t>
            </w:r>
          </w:p>
        </w:tc>
        <w:tc>
          <w:tcPr>
            <w:tcW w:w="2981" w:type="dxa"/>
            <w:gridSpan w:val="6"/>
          </w:tcPr>
          <w:p w:rsidR="00180385" w:rsidRPr="00E71FE2" w:rsidRDefault="00180385" w:rsidP="00180385">
            <w:r>
              <w:t>The regulation lays down detailed rules for the structuring of tariffs and fees for liquefaction and regasification services.</w:t>
            </w:r>
          </w:p>
        </w:tc>
      </w:tr>
      <w:tr w:rsidR="00180385" w:rsidRPr="00E71FE2" w:rsidTr="00180385">
        <w:trPr>
          <w:gridAfter w:val="1"/>
          <w:wAfter w:w="10" w:type="dxa"/>
        </w:trPr>
        <w:tc>
          <w:tcPr>
            <w:tcW w:w="2668" w:type="dxa"/>
            <w:gridSpan w:val="3"/>
          </w:tcPr>
          <w:p w:rsidR="00180385" w:rsidRPr="00E71FE2" w:rsidRDefault="00180385" w:rsidP="00180385">
            <w:r>
              <w:t>Gaseous fuel storage system operators</w:t>
            </w:r>
          </w:p>
        </w:tc>
        <w:tc>
          <w:tcPr>
            <w:tcW w:w="2292" w:type="dxa"/>
            <w:gridSpan w:val="7"/>
          </w:tcPr>
          <w:p w:rsidR="00180385" w:rsidRPr="00E71FE2" w:rsidRDefault="00180385" w:rsidP="00180385">
            <w:pPr>
              <w:spacing w:before="40"/>
              <w:jc w:val="center"/>
              <w:rPr>
                <w:color w:val="000000"/>
              </w:rPr>
            </w:pPr>
            <w:r w:rsidRPr="00E71FE2">
              <w:rPr>
                <w:color w:val="000000"/>
              </w:rPr>
              <w:t>1</w:t>
            </w:r>
          </w:p>
        </w:tc>
        <w:tc>
          <w:tcPr>
            <w:tcW w:w="2996" w:type="dxa"/>
            <w:gridSpan w:val="12"/>
          </w:tcPr>
          <w:p w:rsidR="00180385" w:rsidRPr="00E71FE2" w:rsidRDefault="00180385" w:rsidP="00180385">
            <w:r>
              <w:t>The regulation lays down detailed rules for the structuring of tariffs and fees.</w:t>
            </w:r>
          </w:p>
        </w:tc>
        <w:tc>
          <w:tcPr>
            <w:tcW w:w="2981" w:type="dxa"/>
            <w:gridSpan w:val="6"/>
          </w:tcPr>
          <w:p w:rsidR="00180385" w:rsidRPr="00E71FE2" w:rsidRDefault="00180385" w:rsidP="00180385">
            <w:r>
              <w:t>The regulation lays down detailed rules for the structuring of storage service tariffs and fees.</w:t>
            </w:r>
          </w:p>
        </w:tc>
      </w:tr>
      <w:tr w:rsidR="00180385" w:rsidRPr="00E71FE2" w:rsidTr="00180385">
        <w:trPr>
          <w:gridAfter w:val="1"/>
          <w:wAfter w:w="10" w:type="dxa"/>
        </w:trPr>
        <w:tc>
          <w:tcPr>
            <w:tcW w:w="2668" w:type="dxa"/>
            <w:gridSpan w:val="3"/>
          </w:tcPr>
          <w:p w:rsidR="00180385" w:rsidRPr="00E71FE2" w:rsidRDefault="00180385" w:rsidP="00180385">
            <w:r>
              <w:t>Businesses with licences to trade natural gas</w:t>
            </w:r>
          </w:p>
        </w:tc>
        <w:tc>
          <w:tcPr>
            <w:tcW w:w="2292" w:type="dxa"/>
            <w:gridSpan w:val="7"/>
          </w:tcPr>
          <w:p w:rsidR="00180385" w:rsidRPr="00E71FE2" w:rsidRDefault="00180385" w:rsidP="00180385">
            <w:pPr>
              <w:jc w:val="center"/>
              <w:rPr>
                <w:color w:val="000000"/>
              </w:rPr>
            </w:pPr>
            <w:r w:rsidRPr="00E71FE2">
              <w:t>204</w:t>
            </w:r>
          </w:p>
        </w:tc>
        <w:tc>
          <w:tcPr>
            <w:tcW w:w="2996" w:type="dxa"/>
            <w:gridSpan w:val="12"/>
          </w:tcPr>
          <w:p w:rsidR="00180385" w:rsidRPr="00E71FE2" w:rsidRDefault="00180385" w:rsidP="00180385">
            <w:r>
              <w:t>Registers and databases of the Energy Regulatory Office</w:t>
            </w:r>
          </w:p>
        </w:tc>
        <w:tc>
          <w:tcPr>
            <w:tcW w:w="2981" w:type="dxa"/>
            <w:gridSpan w:val="6"/>
          </w:tcPr>
          <w:p w:rsidR="00180385" w:rsidRPr="00E71FE2" w:rsidRDefault="00180385" w:rsidP="00180385">
            <w:r>
              <w:t xml:space="preserve">The regulation lays down detailed rules for the structuring of tariffs and fees. It also introduces an obligation to provide </w:t>
            </w:r>
            <w:r>
              <w:lastRenderedPageBreak/>
              <w:t>information to final consumers of gaseous fuels</w:t>
            </w:r>
            <w:r w:rsidRPr="00E71FE2">
              <w:t xml:space="preserve"> </w:t>
            </w:r>
          </w:p>
        </w:tc>
      </w:tr>
      <w:tr w:rsidR="00180385" w:rsidRPr="00E71FE2" w:rsidTr="00180385">
        <w:trPr>
          <w:gridAfter w:val="1"/>
          <w:wAfter w:w="10" w:type="dxa"/>
        </w:trPr>
        <w:tc>
          <w:tcPr>
            <w:tcW w:w="2668" w:type="dxa"/>
            <w:gridSpan w:val="3"/>
          </w:tcPr>
          <w:p w:rsidR="00180385" w:rsidRPr="00E71FE2" w:rsidRDefault="00180385" w:rsidP="00180385">
            <w:r>
              <w:lastRenderedPageBreak/>
              <w:t>Consumers of natural gas</w:t>
            </w:r>
          </w:p>
        </w:tc>
        <w:tc>
          <w:tcPr>
            <w:tcW w:w="2292" w:type="dxa"/>
            <w:gridSpan w:val="7"/>
          </w:tcPr>
          <w:p w:rsidR="00180385" w:rsidRPr="00E71FE2" w:rsidRDefault="00180385" w:rsidP="00180385">
            <w:pPr>
              <w:jc w:val="center"/>
            </w:pPr>
            <w:r>
              <w:t>6.9 million</w:t>
            </w:r>
          </w:p>
        </w:tc>
        <w:tc>
          <w:tcPr>
            <w:tcW w:w="2996" w:type="dxa"/>
            <w:gridSpan w:val="12"/>
          </w:tcPr>
          <w:p w:rsidR="00180385" w:rsidRPr="00E71FE2" w:rsidRDefault="00180385" w:rsidP="00180385">
            <w:r>
              <w:t>2016 President of the Energy Regulatory Office (ERO) Report</w:t>
            </w:r>
          </w:p>
        </w:tc>
        <w:tc>
          <w:tcPr>
            <w:tcW w:w="2981" w:type="dxa"/>
            <w:gridSpan w:val="6"/>
          </w:tcPr>
          <w:p w:rsidR="00180385" w:rsidRPr="00E71FE2" w:rsidRDefault="00180385" w:rsidP="00180385">
            <w:r>
              <w:t>It regulates the method of determining fees for the use of natural gas and the method of communication between energy companies and consumers</w:t>
            </w:r>
          </w:p>
        </w:tc>
      </w:tr>
      <w:tr w:rsidR="00180385" w:rsidRPr="00E71FE2" w:rsidTr="00180385">
        <w:trPr>
          <w:gridAfter w:val="1"/>
          <w:wAfter w:w="10" w:type="dxa"/>
        </w:trPr>
        <w:tc>
          <w:tcPr>
            <w:tcW w:w="10937" w:type="dxa"/>
            <w:gridSpan w:val="28"/>
            <w:shd w:val="clear" w:color="auto" w:fill="99CCFF"/>
            <w:vAlign w:val="center"/>
          </w:tcPr>
          <w:p w:rsidR="00180385" w:rsidRPr="00E71FE2" w:rsidRDefault="00180385" w:rsidP="00180385">
            <w:pPr>
              <w:numPr>
                <w:ilvl w:val="0"/>
                <w:numId w:val="1"/>
              </w:numPr>
              <w:spacing w:before="60" w:after="60"/>
              <w:jc w:val="both"/>
            </w:pPr>
            <w:r>
              <w:rPr>
                <w:b/>
                <w:color w:val="000000"/>
              </w:rPr>
              <w:t>Information on the scope, duration and summary of results of the consultation</w:t>
            </w:r>
          </w:p>
        </w:tc>
      </w:tr>
      <w:tr w:rsidR="00180385" w:rsidRPr="00E71FE2" w:rsidTr="00180385">
        <w:trPr>
          <w:gridAfter w:val="1"/>
          <w:wAfter w:w="10" w:type="dxa"/>
        </w:trPr>
        <w:tc>
          <w:tcPr>
            <w:tcW w:w="10937" w:type="dxa"/>
            <w:gridSpan w:val="28"/>
            <w:shd w:val="clear" w:color="auto" w:fill="FFFFFF"/>
          </w:tcPr>
          <w:p w:rsidR="00180385" w:rsidRPr="00E71FE2" w:rsidRDefault="00180385" w:rsidP="00180385">
            <w:pPr>
              <w:jc w:val="both"/>
            </w:pPr>
            <w:r>
              <w:t>As part of public consultations, the draft was placed on the Government Legislation Centre website and submitted for consultations and opinions on 30 May 2017. The draft was distributed to entities and entrepreneurs’ associations or consumers of gaseous fuels as part of public consultations, including: The Chamber of the Natural Gas Industry (Izba Gospodarcza Gazownictwa), the Electricity and Gas Customer Forum (Forum Odbiorców Energii Elektrycznej i Gazu), the Association of Energy Trading (Towarzystwo Obrotu Energią), the Polish Chamber of Trade and Industry (Polska Izba Przemysłowo-Handlowej) and the Chamber of Commerce for the Power Industry and Environmental Protection (Izba Gospodarcza Energetyki i Ochrony Środowiska). The following expressed an interest in work carried out on the draft: the Chamber of the Natural Gas Industry, the Association of Energy Trading (Towarzystwo Obrotu Energią), Polskie Górnictwo Naftowe i Gazownictwo S.A., Polska Spółka Gazownictwa Sp. z o.o., Polskie LNG S.A., Innogy Polska S.A., the Oil and Gas Institute (Instytut Nafty i Gazu), DUON Dystrybucja S.A., EuRoPol Gaz S.A., the Union of Power Industry Private Employers (Związek Pracodawców Prywatnych Energetyki), the Polish Electronics and Telecommunications Chamber of Commerce (Krajowa Izba Gospodarcza Elektroniki i Telekomunikacji - KIGEiT), the Federation of Health Protection Employer Unions (Federacja Związków Pracodawców Ochrony Zdrowia „Porozumienie Zielonogórskie”) and Towarowa Giełda Energii S.A. The draft was also submitted to the President of the Energy Regulatory Office for an opinion. The consultation findings were presented in the consultation report.</w:t>
            </w:r>
          </w:p>
        </w:tc>
      </w:tr>
      <w:tr w:rsidR="00180385" w:rsidRPr="00E71FE2" w:rsidTr="00180385">
        <w:trPr>
          <w:gridAfter w:val="1"/>
          <w:wAfter w:w="10" w:type="dxa"/>
        </w:trPr>
        <w:tc>
          <w:tcPr>
            <w:tcW w:w="10937" w:type="dxa"/>
            <w:gridSpan w:val="28"/>
            <w:shd w:val="clear" w:color="auto" w:fill="99CCFF"/>
            <w:vAlign w:val="center"/>
          </w:tcPr>
          <w:p w:rsidR="00180385" w:rsidRPr="00E71FE2" w:rsidRDefault="00180385" w:rsidP="00180385">
            <w:pPr>
              <w:numPr>
                <w:ilvl w:val="0"/>
                <w:numId w:val="1"/>
              </w:numPr>
              <w:spacing w:before="60" w:after="60"/>
              <w:jc w:val="both"/>
            </w:pPr>
            <w:r>
              <w:rPr>
                <w:b/>
                <w:color w:val="000000"/>
              </w:rPr>
              <w:t>Impact on the public finances sector – no impact</w:t>
            </w:r>
          </w:p>
        </w:tc>
      </w:tr>
      <w:tr w:rsidR="00180385" w:rsidRPr="00E71FE2" w:rsidTr="00180385">
        <w:trPr>
          <w:gridAfter w:val="1"/>
          <w:wAfter w:w="10" w:type="dxa"/>
        </w:trPr>
        <w:tc>
          <w:tcPr>
            <w:tcW w:w="3133" w:type="dxa"/>
            <w:gridSpan w:val="4"/>
            <w:vMerge w:val="restart"/>
            <w:shd w:val="clear" w:color="auto" w:fill="FFFFFF"/>
          </w:tcPr>
          <w:p w:rsidR="00180385" w:rsidRPr="00E71FE2" w:rsidRDefault="00180385" w:rsidP="00180385">
            <w:pPr>
              <w:spacing w:before="40" w:after="40"/>
            </w:pPr>
            <w:r>
              <w:rPr>
                <w:color w:val="000000"/>
                <w:sz w:val="21"/>
              </w:rPr>
              <w:t>(fixed prices for …… [year])</w:t>
            </w:r>
          </w:p>
        </w:tc>
        <w:tc>
          <w:tcPr>
            <w:tcW w:w="7804" w:type="dxa"/>
            <w:gridSpan w:val="24"/>
            <w:shd w:val="clear" w:color="auto" w:fill="FFFFFF"/>
          </w:tcPr>
          <w:p w:rsidR="00180385" w:rsidRPr="00E71FE2" w:rsidRDefault="00180385" w:rsidP="00180385">
            <w:pPr>
              <w:spacing w:before="40" w:after="40"/>
              <w:jc w:val="center"/>
            </w:pPr>
            <w:r>
              <w:rPr>
                <w:color w:val="000000"/>
                <w:sz w:val="21"/>
              </w:rPr>
              <w:t>Impact over 10 years from the entry into force of the amendments (million PLN)</w:t>
            </w:r>
          </w:p>
        </w:tc>
      </w:tr>
      <w:tr w:rsidR="00180385" w:rsidRPr="00E71FE2" w:rsidTr="00733135">
        <w:trPr>
          <w:gridAfter w:val="1"/>
          <w:wAfter w:w="10" w:type="dxa"/>
        </w:trPr>
        <w:tc>
          <w:tcPr>
            <w:tcW w:w="3133" w:type="dxa"/>
            <w:gridSpan w:val="4"/>
            <w:vMerge/>
            <w:shd w:val="clear" w:color="auto" w:fill="FFFFFF"/>
          </w:tcPr>
          <w:p w:rsidR="00180385" w:rsidRPr="00E71FE2" w:rsidRDefault="00180385" w:rsidP="00180385">
            <w:pPr>
              <w:spacing w:before="40" w:after="40"/>
              <w:rPr>
                <w:i/>
                <w:color w:val="000000"/>
                <w:sz w:val="21"/>
                <w:szCs w:val="21"/>
              </w:rPr>
            </w:pPr>
          </w:p>
        </w:tc>
        <w:tc>
          <w:tcPr>
            <w:tcW w:w="569" w:type="dxa"/>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570" w:type="dxa"/>
            <w:gridSpan w:val="2"/>
            <w:shd w:val="clear" w:color="auto" w:fill="FFFFFF"/>
          </w:tcPr>
          <w:p w:rsidR="00180385" w:rsidRPr="00E71FE2" w:rsidRDefault="00180385" w:rsidP="00180385">
            <w:pPr>
              <w:jc w:val="center"/>
              <w:rPr>
                <w:color w:val="000000"/>
                <w:sz w:val="21"/>
                <w:szCs w:val="21"/>
              </w:rPr>
            </w:pPr>
            <w:r w:rsidRPr="00E71FE2">
              <w:rPr>
                <w:color w:val="000000"/>
                <w:sz w:val="21"/>
                <w:szCs w:val="21"/>
              </w:rPr>
              <w:t>1</w:t>
            </w:r>
          </w:p>
        </w:tc>
        <w:tc>
          <w:tcPr>
            <w:tcW w:w="570" w:type="dxa"/>
            <w:gridSpan w:val="2"/>
            <w:shd w:val="clear" w:color="auto" w:fill="FFFFFF"/>
          </w:tcPr>
          <w:p w:rsidR="00180385" w:rsidRPr="00E71FE2" w:rsidRDefault="00180385" w:rsidP="00180385">
            <w:pPr>
              <w:jc w:val="center"/>
              <w:rPr>
                <w:color w:val="000000"/>
                <w:sz w:val="21"/>
                <w:szCs w:val="21"/>
              </w:rPr>
            </w:pPr>
            <w:r w:rsidRPr="00E71FE2">
              <w:rPr>
                <w:color w:val="000000"/>
                <w:sz w:val="21"/>
                <w:szCs w:val="21"/>
              </w:rPr>
              <w:t>2</w:t>
            </w:r>
          </w:p>
        </w:tc>
        <w:tc>
          <w:tcPr>
            <w:tcW w:w="569" w:type="dxa"/>
            <w:gridSpan w:val="4"/>
            <w:shd w:val="clear" w:color="auto" w:fill="FFFFFF"/>
          </w:tcPr>
          <w:p w:rsidR="00180385" w:rsidRPr="00E71FE2" w:rsidRDefault="00180385" w:rsidP="00180385">
            <w:pPr>
              <w:jc w:val="center"/>
              <w:rPr>
                <w:color w:val="000000"/>
                <w:sz w:val="21"/>
                <w:szCs w:val="21"/>
              </w:rPr>
            </w:pPr>
            <w:r w:rsidRPr="00E71FE2">
              <w:rPr>
                <w:color w:val="000000"/>
                <w:sz w:val="21"/>
                <w:szCs w:val="21"/>
              </w:rPr>
              <w:t>3</w:t>
            </w:r>
          </w:p>
        </w:tc>
        <w:tc>
          <w:tcPr>
            <w:tcW w:w="570" w:type="dxa"/>
            <w:gridSpan w:val="2"/>
            <w:shd w:val="clear" w:color="auto" w:fill="FFFFFF"/>
          </w:tcPr>
          <w:p w:rsidR="00180385" w:rsidRPr="00E71FE2" w:rsidRDefault="00180385" w:rsidP="00180385">
            <w:pPr>
              <w:jc w:val="center"/>
              <w:rPr>
                <w:color w:val="000000"/>
                <w:sz w:val="21"/>
                <w:szCs w:val="21"/>
              </w:rPr>
            </w:pPr>
            <w:r w:rsidRPr="00E71FE2">
              <w:rPr>
                <w:color w:val="000000"/>
                <w:sz w:val="21"/>
                <w:szCs w:val="21"/>
              </w:rPr>
              <w:t>4</w:t>
            </w:r>
          </w:p>
        </w:tc>
        <w:tc>
          <w:tcPr>
            <w:tcW w:w="570" w:type="dxa"/>
            <w:shd w:val="clear" w:color="auto" w:fill="FFFFFF"/>
          </w:tcPr>
          <w:p w:rsidR="00180385" w:rsidRPr="00E71FE2" w:rsidRDefault="00180385" w:rsidP="00180385">
            <w:pPr>
              <w:jc w:val="center"/>
              <w:rPr>
                <w:color w:val="000000"/>
                <w:sz w:val="21"/>
                <w:szCs w:val="21"/>
              </w:rPr>
            </w:pPr>
            <w:r w:rsidRPr="00E71FE2">
              <w:rPr>
                <w:color w:val="000000"/>
                <w:sz w:val="21"/>
                <w:szCs w:val="21"/>
              </w:rPr>
              <w:t>5</w:t>
            </w:r>
          </w:p>
        </w:tc>
        <w:tc>
          <w:tcPr>
            <w:tcW w:w="570"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6</w:t>
            </w:r>
          </w:p>
        </w:tc>
        <w:tc>
          <w:tcPr>
            <w:tcW w:w="442" w:type="dxa"/>
            <w:shd w:val="clear" w:color="auto" w:fill="FFFFFF"/>
          </w:tcPr>
          <w:p w:rsidR="00180385" w:rsidRPr="00E71FE2" w:rsidRDefault="00180385" w:rsidP="00180385">
            <w:pPr>
              <w:jc w:val="center"/>
              <w:rPr>
                <w:color w:val="000000"/>
                <w:sz w:val="21"/>
                <w:szCs w:val="21"/>
              </w:rPr>
            </w:pPr>
            <w:r w:rsidRPr="00E71FE2">
              <w:rPr>
                <w:color w:val="000000"/>
                <w:sz w:val="21"/>
                <w:szCs w:val="21"/>
              </w:rPr>
              <w:t>7</w:t>
            </w:r>
          </w:p>
        </w:tc>
        <w:tc>
          <w:tcPr>
            <w:tcW w:w="697"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8</w:t>
            </w:r>
          </w:p>
        </w:tc>
        <w:tc>
          <w:tcPr>
            <w:tcW w:w="570" w:type="dxa"/>
            <w:gridSpan w:val="2"/>
            <w:shd w:val="clear" w:color="auto" w:fill="FFFFFF"/>
          </w:tcPr>
          <w:p w:rsidR="00180385" w:rsidRPr="00E71FE2" w:rsidRDefault="00180385" w:rsidP="00180385">
            <w:pPr>
              <w:jc w:val="center"/>
              <w:rPr>
                <w:color w:val="000000"/>
                <w:sz w:val="21"/>
                <w:szCs w:val="21"/>
              </w:rPr>
            </w:pPr>
            <w:r w:rsidRPr="00E71FE2">
              <w:rPr>
                <w:color w:val="000000"/>
                <w:sz w:val="21"/>
                <w:szCs w:val="21"/>
              </w:rPr>
              <w:t>9</w:t>
            </w:r>
          </w:p>
        </w:tc>
        <w:tc>
          <w:tcPr>
            <w:tcW w:w="570" w:type="dxa"/>
            <w:shd w:val="clear" w:color="auto" w:fill="FFFFFF"/>
          </w:tcPr>
          <w:p w:rsidR="00180385" w:rsidRPr="00E71FE2" w:rsidRDefault="00180385" w:rsidP="00180385">
            <w:pPr>
              <w:jc w:val="center"/>
              <w:rPr>
                <w:color w:val="000000"/>
                <w:sz w:val="21"/>
                <w:szCs w:val="21"/>
              </w:rPr>
            </w:pPr>
            <w:r w:rsidRPr="00E71FE2">
              <w:rPr>
                <w:color w:val="000000"/>
                <w:sz w:val="21"/>
                <w:szCs w:val="21"/>
              </w:rPr>
              <w:t>10</w:t>
            </w:r>
          </w:p>
        </w:tc>
        <w:tc>
          <w:tcPr>
            <w:tcW w:w="1537" w:type="dxa"/>
            <w:gridSpan w:val="2"/>
            <w:shd w:val="clear" w:color="auto" w:fill="FFFFFF"/>
          </w:tcPr>
          <w:p w:rsidR="00180385" w:rsidRPr="00E71FE2" w:rsidRDefault="00180385" w:rsidP="00180385">
            <w:pPr>
              <w:spacing w:before="40" w:after="40"/>
              <w:jc w:val="center"/>
            </w:pPr>
            <w:r>
              <w:rPr>
                <w:i/>
                <w:color w:val="000000"/>
                <w:sz w:val="21"/>
              </w:rPr>
              <w:t>Total (0-10)</w:t>
            </w:r>
          </w:p>
        </w:tc>
      </w:tr>
      <w:tr w:rsidR="00180385" w:rsidRPr="00E71FE2" w:rsidTr="00733135">
        <w:tc>
          <w:tcPr>
            <w:tcW w:w="3133" w:type="dxa"/>
            <w:gridSpan w:val="4"/>
            <w:shd w:val="clear" w:color="auto" w:fill="FFFFFF"/>
            <w:vAlign w:val="center"/>
          </w:tcPr>
          <w:p w:rsidR="00180385" w:rsidRPr="00E71FE2" w:rsidRDefault="00180385" w:rsidP="00180385">
            <w:r>
              <w:rPr>
                <w:b/>
                <w:color w:val="000000"/>
                <w:sz w:val="21"/>
              </w:rPr>
              <w:t>Total revenue</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State budget</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Local government unit</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Other units (treated separately)</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b/>
                <w:color w:val="000000"/>
                <w:sz w:val="21"/>
              </w:rPr>
              <w:t>Total expenditure</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State budget</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Local government unit</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Other units (treated separately)</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b/>
                <w:color w:val="000000"/>
                <w:sz w:val="21"/>
              </w:rPr>
              <w:t>Total balance</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State budget</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Local government unit</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733135">
        <w:tc>
          <w:tcPr>
            <w:tcW w:w="3133" w:type="dxa"/>
            <w:gridSpan w:val="4"/>
            <w:shd w:val="clear" w:color="auto" w:fill="FFFFFF"/>
            <w:vAlign w:val="center"/>
          </w:tcPr>
          <w:p w:rsidR="00180385" w:rsidRPr="00E71FE2" w:rsidRDefault="00180385" w:rsidP="00180385">
            <w:r>
              <w:rPr>
                <w:color w:val="000000"/>
                <w:sz w:val="21"/>
              </w:rPr>
              <w:t>Other units (treated separately)</w:t>
            </w:r>
          </w:p>
        </w:tc>
        <w:tc>
          <w:tcPr>
            <w:tcW w:w="569"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69" w:type="dxa"/>
            <w:gridSpan w:val="4"/>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442"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69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gridSpan w:val="2"/>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570" w:type="dxa"/>
            <w:shd w:val="clear" w:color="auto" w:fill="FFFFFF"/>
          </w:tcPr>
          <w:p w:rsidR="00180385" w:rsidRPr="00E71FE2" w:rsidRDefault="00180385" w:rsidP="00180385">
            <w:pPr>
              <w:rPr>
                <w:color w:val="000000"/>
                <w:sz w:val="21"/>
                <w:szCs w:val="21"/>
              </w:rPr>
            </w:pPr>
            <w:r w:rsidRPr="00E71FE2">
              <w:rPr>
                <w:color w:val="000000"/>
                <w:sz w:val="21"/>
                <w:szCs w:val="21"/>
              </w:rPr>
              <w:t>-</w:t>
            </w:r>
          </w:p>
        </w:tc>
        <w:tc>
          <w:tcPr>
            <w:tcW w:w="1547" w:type="dxa"/>
            <w:gridSpan w:val="3"/>
            <w:shd w:val="clear" w:color="auto" w:fill="FFFFFF"/>
          </w:tcPr>
          <w:p w:rsidR="00180385" w:rsidRPr="00E71FE2" w:rsidRDefault="00180385" w:rsidP="00180385">
            <w:pPr>
              <w:rPr>
                <w:color w:val="000000"/>
                <w:sz w:val="21"/>
                <w:szCs w:val="21"/>
              </w:rPr>
            </w:pPr>
            <w:r w:rsidRPr="00E71FE2">
              <w:rPr>
                <w:color w:val="000000"/>
                <w:sz w:val="21"/>
                <w:szCs w:val="21"/>
              </w:rPr>
              <w:t>-</w:t>
            </w:r>
          </w:p>
        </w:tc>
      </w:tr>
      <w:tr w:rsidR="00180385" w:rsidRPr="00E71FE2" w:rsidTr="00180385">
        <w:trPr>
          <w:gridAfter w:val="1"/>
          <w:wAfter w:w="10" w:type="dxa"/>
        </w:trPr>
        <w:tc>
          <w:tcPr>
            <w:tcW w:w="2243" w:type="dxa"/>
            <w:gridSpan w:val="2"/>
            <w:shd w:val="clear" w:color="auto" w:fill="FFFFFF"/>
            <w:vAlign w:val="center"/>
          </w:tcPr>
          <w:p w:rsidR="00180385" w:rsidRPr="00E71FE2" w:rsidRDefault="00180385" w:rsidP="00180385">
            <w:r>
              <w:rPr>
                <w:color w:val="000000"/>
                <w:sz w:val="21"/>
              </w:rPr>
              <w:t>Source of financing</w:t>
            </w:r>
            <w:r w:rsidRPr="00E71FE2">
              <w:rPr>
                <w:color w:val="000000"/>
                <w:sz w:val="21"/>
              </w:rPr>
              <w:t xml:space="preserve"> </w:t>
            </w:r>
          </w:p>
        </w:tc>
        <w:tc>
          <w:tcPr>
            <w:tcW w:w="8694" w:type="dxa"/>
            <w:gridSpan w:val="26"/>
            <w:shd w:val="clear" w:color="auto" w:fill="FFFFFF"/>
            <w:vAlign w:val="center"/>
          </w:tcPr>
          <w:p w:rsidR="00180385" w:rsidRPr="00E71FE2" w:rsidRDefault="00180385" w:rsidP="00180385">
            <w:pPr>
              <w:jc w:val="both"/>
            </w:pPr>
            <w:r>
              <w:rPr>
                <w:color w:val="000000"/>
              </w:rPr>
              <w:t>Not applicable.</w:t>
            </w:r>
          </w:p>
        </w:tc>
      </w:tr>
      <w:tr w:rsidR="00180385" w:rsidRPr="00E71FE2" w:rsidTr="00180385">
        <w:trPr>
          <w:gridAfter w:val="1"/>
          <w:wAfter w:w="10" w:type="dxa"/>
        </w:trPr>
        <w:tc>
          <w:tcPr>
            <w:tcW w:w="2243" w:type="dxa"/>
            <w:gridSpan w:val="2"/>
            <w:shd w:val="clear" w:color="auto" w:fill="FFFFFF"/>
          </w:tcPr>
          <w:p w:rsidR="00180385" w:rsidRPr="00E71FE2" w:rsidRDefault="00180385" w:rsidP="00180385">
            <w:r>
              <w:rPr>
                <w:color w:val="000000"/>
                <w:sz w:val="21"/>
              </w:rPr>
              <w:t>Additional information, including identification of data sources and assumptions made​in the calculation</w:t>
            </w:r>
          </w:p>
        </w:tc>
        <w:tc>
          <w:tcPr>
            <w:tcW w:w="8694" w:type="dxa"/>
            <w:gridSpan w:val="26"/>
            <w:shd w:val="clear" w:color="auto" w:fill="FFFFFF"/>
          </w:tcPr>
          <w:p w:rsidR="00180385" w:rsidRPr="00E71FE2" w:rsidRDefault="00180385" w:rsidP="00180385">
            <w:pPr>
              <w:jc w:val="both"/>
            </w:pPr>
            <w:r>
              <w:rPr>
                <w:color w:val="000000"/>
              </w:rPr>
              <w:t>Not applicable.</w:t>
            </w:r>
          </w:p>
        </w:tc>
      </w:tr>
      <w:tr w:rsidR="00180385" w:rsidRPr="00E71FE2" w:rsidTr="00180385">
        <w:trPr>
          <w:gridAfter w:val="1"/>
          <w:wAfter w:w="10" w:type="dxa"/>
        </w:trPr>
        <w:tc>
          <w:tcPr>
            <w:tcW w:w="10937" w:type="dxa"/>
            <w:gridSpan w:val="28"/>
            <w:shd w:val="clear" w:color="auto" w:fill="99CCFF"/>
          </w:tcPr>
          <w:p w:rsidR="00180385" w:rsidRPr="00E71FE2" w:rsidRDefault="00180385" w:rsidP="00F92709">
            <w:pPr>
              <w:keepNext/>
              <w:keepLines/>
              <w:numPr>
                <w:ilvl w:val="0"/>
                <w:numId w:val="1"/>
              </w:numPr>
              <w:spacing w:before="60" w:after="60"/>
              <w:jc w:val="both"/>
            </w:pPr>
            <w:r>
              <w:rPr>
                <w:b/>
                <w:color w:val="000000"/>
              </w:rPr>
              <w:lastRenderedPageBreak/>
              <w:t>Impact on the competitiveness of the economy and enterprise, including the functioning of enterprises and impact on families, citizens and households</w:t>
            </w:r>
            <w:r w:rsidRPr="00E71FE2">
              <w:rPr>
                <w:b/>
                <w:color w:val="000000"/>
              </w:rPr>
              <w:t xml:space="preserve"> </w:t>
            </w:r>
          </w:p>
        </w:tc>
      </w:tr>
      <w:tr w:rsidR="00180385" w:rsidRPr="00E71FE2" w:rsidTr="00180385">
        <w:trPr>
          <w:gridAfter w:val="1"/>
          <w:wAfter w:w="10" w:type="dxa"/>
        </w:trPr>
        <w:tc>
          <w:tcPr>
            <w:tcW w:w="10937" w:type="dxa"/>
            <w:gridSpan w:val="28"/>
            <w:shd w:val="clear" w:color="auto" w:fill="FFFFFF"/>
          </w:tcPr>
          <w:p w:rsidR="00180385" w:rsidRPr="00E71FE2" w:rsidRDefault="00180385" w:rsidP="00F92709">
            <w:pPr>
              <w:keepNext/>
              <w:keepLines/>
              <w:jc w:val="center"/>
            </w:pPr>
            <w:r>
              <w:rPr>
                <w:color w:val="000000"/>
                <w:sz w:val="21"/>
              </w:rPr>
              <w:t>Impact</w:t>
            </w:r>
          </w:p>
        </w:tc>
      </w:tr>
      <w:tr w:rsidR="00180385" w:rsidRPr="00E71FE2" w:rsidTr="00180385">
        <w:trPr>
          <w:gridAfter w:val="1"/>
          <w:wAfter w:w="10" w:type="dxa"/>
        </w:trPr>
        <w:tc>
          <w:tcPr>
            <w:tcW w:w="3889" w:type="dxa"/>
            <w:gridSpan w:val="6"/>
            <w:shd w:val="clear" w:color="auto" w:fill="FFFFFF"/>
          </w:tcPr>
          <w:p w:rsidR="00180385" w:rsidRPr="00E71FE2" w:rsidRDefault="00180385" w:rsidP="00180385">
            <w:r>
              <w:rPr>
                <w:color w:val="000000"/>
                <w:sz w:val="21"/>
              </w:rPr>
              <w:t>Time (in years) since entry into force of the amendments</w:t>
            </w:r>
          </w:p>
        </w:tc>
        <w:tc>
          <w:tcPr>
            <w:tcW w:w="1125" w:type="dxa"/>
            <w:gridSpan w:val="5"/>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750"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1</w:t>
            </w:r>
          </w:p>
        </w:tc>
        <w:tc>
          <w:tcPr>
            <w:tcW w:w="938" w:type="dxa"/>
            <w:gridSpan w:val="4"/>
            <w:shd w:val="clear" w:color="auto" w:fill="FFFFFF"/>
          </w:tcPr>
          <w:p w:rsidR="00180385" w:rsidRPr="00E71FE2" w:rsidRDefault="00180385" w:rsidP="00180385">
            <w:pPr>
              <w:jc w:val="center"/>
              <w:rPr>
                <w:color w:val="000000"/>
                <w:sz w:val="21"/>
                <w:szCs w:val="21"/>
              </w:rPr>
            </w:pPr>
            <w:r w:rsidRPr="00E71FE2">
              <w:rPr>
                <w:color w:val="000000"/>
                <w:sz w:val="21"/>
                <w:szCs w:val="21"/>
              </w:rPr>
              <w:t>2</w:t>
            </w:r>
          </w:p>
        </w:tc>
        <w:tc>
          <w:tcPr>
            <w:tcW w:w="937"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3</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5</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10</w:t>
            </w:r>
          </w:p>
        </w:tc>
        <w:tc>
          <w:tcPr>
            <w:tcW w:w="1422" w:type="dxa"/>
            <w:shd w:val="clear" w:color="auto" w:fill="FFFFFF"/>
          </w:tcPr>
          <w:p w:rsidR="00180385" w:rsidRPr="00E71FE2" w:rsidRDefault="00180385" w:rsidP="00180385">
            <w:pPr>
              <w:jc w:val="center"/>
            </w:pPr>
            <w:r>
              <w:rPr>
                <w:i/>
                <w:color w:val="000000"/>
                <w:sz w:val="21"/>
              </w:rPr>
              <w:t>Total (0-10)</w:t>
            </w:r>
          </w:p>
        </w:tc>
      </w:tr>
      <w:tr w:rsidR="00180385" w:rsidRPr="00E71FE2" w:rsidTr="00180385">
        <w:trPr>
          <w:gridAfter w:val="1"/>
          <w:wAfter w:w="10" w:type="dxa"/>
        </w:trPr>
        <w:tc>
          <w:tcPr>
            <w:tcW w:w="1596" w:type="dxa"/>
            <w:vMerge w:val="restart"/>
            <w:shd w:val="clear" w:color="auto" w:fill="FFFFFF"/>
          </w:tcPr>
          <w:p w:rsidR="00180385" w:rsidRPr="00E71FE2" w:rsidRDefault="00180385" w:rsidP="00180385">
            <w:r>
              <w:rPr>
                <w:color w:val="000000"/>
                <w:sz w:val="21"/>
              </w:rPr>
              <w:t>In monetary terms</w:t>
            </w:r>
          </w:p>
        </w:tc>
        <w:tc>
          <w:tcPr>
            <w:tcW w:w="2293" w:type="dxa"/>
            <w:gridSpan w:val="5"/>
            <w:shd w:val="clear" w:color="auto" w:fill="FFFFFF"/>
          </w:tcPr>
          <w:p w:rsidR="00180385" w:rsidRPr="00E71FE2" w:rsidRDefault="00180385" w:rsidP="00180385">
            <w:r>
              <w:rPr>
                <w:color w:val="000000"/>
                <w:sz w:val="21"/>
              </w:rPr>
              <w:t>Large enterprises</w:t>
            </w:r>
          </w:p>
        </w:tc>
        <w:tc>
          <w:tcPr>
            <w:tcW w:w="1125" w:type="dxa"/>
            <w:gridSpan w:val="5"/>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750"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4"/>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7"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1422" w:type="dxa"/>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r>
      <w:tr w:rsidR="00180385" w:rsidRPr="00E71FE2" w:rsidTr="00180385">
        <w:trPr>
          <w:gridAfter w:val="1"/>
          <w:wAfter w:w="10" w:type="dxa"/>
        </w:trPr>
        <w:tc>
          <w:tcPr>
            <w:tcW w:w="1596" w:type="dxa"/>
            <w:vMerge/>
            <w:shd w:val="clear" w:color="auto" w:fill="FFFFFF"/>
          </w:tcPr>
          <w:p w:rsidR="00180385" w:rsidRPr="00E71FE2" w:rsidRDefault="00180385" w:rsidP="00180385">
            <w:pPr>
              <w:rPr>
                <w:color w:val="000000"/>
                <w:sz w:val="21"/>
                <w:szCs w:val="21"/>
              </w:rPr>
            </w:pPr>
          </w:p>
        </w:tc>
        <w:tc>
          <w:tcPr>
            <w:tcW w:w="2293" w:type="dxa"/>
            <w:gridSpan w:val="5"/>
            <w:shd w:val="clear" w:color="auto" w:fill="FFFFFF"/>
          </w:tcPr>
          <w:p w:rsidR="00180385" w:rsidRPr="00E71FE2" w:rsidRDefault="00180385" w:rsidP="00180385">
            <w:r>
              <w:rPr>
                <w:color w:val="000000"/>
                <w:sz w:val="21"/>
              </w:rPr>
              <w:t>Micro, small and medium-sized enterprises</w:t>
            </w:r>
          </w:p>
        </w:tc>
        <w:tc>
          <w:tcPr>
            <w:tcW w:w="1125" w:type="dxa"/>
            <w:gridSpan w:val="5"/>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750"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4"/>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7"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1422" w:type="dxa"/>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r>
      <w:tr w:rsidR="00180385" w:rsidRPr="00E71FE2" w:rsidTr="00180385">
        <w:trPr>
          <w:gridAfter w:val="1"/>
          <w:wAfter w:w="10" w:type="dxa"/>
        </w:trPr>
        <w:tc>
          <w:tcPr>
            <w:tcW w:w="1596" w:type="dxa"/>
            <w:vMerge/>
            <w:shd w:val="clear" w:color="auto" w:fill="FFFFFF"/>
          </w:tcPr>
          <w:p w:rsidR="00180385" w:rsidRPr="00E71FE2" w:rsidRDefault="00180385" w:rsidP="00180385">
            <w:pPr>
              <w:rPr>
                <w:color w:val="000000"/>
                <w:sz w:val="21"/>
                <w:szCs w:val="21"/>
              </w:rPr>
            </w:pPr>
          </w:p>
        </w:tc>
        <w:tc>
          <w:tcPr>
            <w:tcW w:w="2293" w:type="dxa"/>
            <w:gridSpan w:val="5"/>
            <w:shd w:val="clear" w:color="auto" w:fill="FFFFFF"/>
          </w:tcPr>
          <w:p w:rsidR="00180385" w:rsidRPr="00E71FE2" w:rsidRDefault="00180385" w:rsidP="00180385">
            <w:r>
              <w:rPr>
                <w:sz w:val="21"/>
              </w:rPr>
              <w:t>Families, citizens and households</w:t>
            </w:r>
          </w:p>
        </w:tc>
        <w:tc>
          <w:tcPr>
            <w:tcW w:w="1125" w:type="dxa"/>
            <w:gridSpan w:val="5"/>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750"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4"/>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7"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938" w:type="dxa"/>
            <w:gridSpan w:val="3"/>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c>
          <w:tcPr>
            <w:tcW w:w="1422" w:type="dxa"/>
            <w:shd w:val="clear" w:color="auto" w:fill="FFFFFF"/>
          </w:tcPr>
          <w:p w:rsidR="00180385" w:rsidRPr="00E71FE2" w:rsidRDefault="00180385" w:rsidP="00180385">
            <w:pPr>
              <w:jc w:val="center"/>
              <w:rPr>
                <w:color w:val="000000"/>
                <w:sz w:val="21"/>
                <w:szCs w:val="21"/>
              </w:rPr>
            </w:pPr>
            <w:r w:rsidRPr="00E71FE2">
              <w:rPr>
                <w:color w:val="000000"/>
                <w:sz w:val="21"/>
                <w:szCs w:val="21"/>
              </w:rPr>
              <w:t>0</w:t>
            </w:r>
          </w:p>
        </w:tc>
      </w:tr>
      <w:tr w:rsidR="00180385" w:rsidRPr="00E71FE2" w:rsidTr="00180385">
        <w:trPr>
          <w:gridAfter w:val="1"/>
          <w:wAfter w:w="10" w:type="dxa"/>
        </w:trPr>
        <w:tc>
          <w:tcPr>
            <w:tcW w:w="1596" w:type="dxa"/>
            <w:vMerge w:val="restart"/>
            <w:shd w:val="clear" w:color="auto" w:fill="FFFFFF"/>
          </w:tcPr>
          <w:p w:rsidR="00180385" w:rsidRPr="00E71FE2" w:rsidRDefault="00180385" w:rsidP="00180385">
            <w:r>
              <w:rPr>
                <w:color w:val="000000"/>
                <w:sz w:val="21"/>
              </w:rPr>
              <w:t>In non-monetary terms</w:t>
            </w:r>
          </w:p>
        </w:tc>
        <w:tc>
          <w:tcPr>
            <w:tcW w:w="2293" w:type="dxa"/>
            <w:gridSpan w:val="5"/>
            <w:shd w:val="clear" w:color="auto" w:fill="FFFFFF"/>
          </w:tcPr>
          <w:p w:rsidR="00180385" w:rsidRPr="00E71FE2" w:rsidRDefault="00180385" w:rsidP="00180385">
            <w:r>
              <w:rPr>
                <w:color w:val="000000"/>
                <w:sz w:val="21"/>
              </w:rPr>
              <w:t>Large enterprises</w:t>
            </w:r>
          </w:p>
        </w:tc>
        <w:tc>
          <w:tcPr>
            <w:tcW w:w="7048" w:type="dxa"/>
            <w:gridSpan w:val="22"/>
            <w:shd w:val="clear" w:color="auto" w:fill="FFFFFF"/>
          </w:tcPr>
          <w:p w:rsidR="00180385" w:rsidRPr="00E71FE2" w:rsidRDefault="00180385" w:rsidP="00180385">
            <w:pPr>
              <w:jc w:val="both"/>
            </w:pPr>
            <w:r>
              <w:rPr>
                <w:color w:val="000000"/>
              </w:rPr>
              <w:t>No impact.</w:t>
            </w:r>
          </w:p>
        </w:tc>
      </w:tr>
      <w:tr w:rsidR="00180385" w:rsidRPr="00E71FE2" w:rsidTr="00180385">
        <w:trPr>
          <w:gridAfter w:val="1"/>
          <w:wAfter w:w="10" w:type="dxa"/>
        </w:trPr>
        <w:tc>
          <w:tcPr>
            <w:tcW w:w="1596" w:type="dxa"/>
            <w:vMerge/>
            <w:shd w:val="clear" w:color="auto" w:fill="FFFFFF"/>
          </w:tcPr>
          <w:p w:rsidR="00180385" w:rsidRPr="00E71FE2" w:rsidRDefault="00180385" w:rsidP="00180385">
            <w:pPr>
              <w:rPr>
                <w:color w:val="000000"/>
                <w:sz w:val="21"/>
                <w:szCs w:val="21"/>
              </w:rPr>
            </w:pPr>
          </w:p>
        </w:tc>
        <w:tc>
          <w:tcPr>
            <w:tcW w:w="2293" w:type="dxa"/>
            <w:gridSpan w:val="5"/>
            <w:shd w:val="clear" w:color="auto" w:fill="FFFFFF"/>
          </w:tcPr>
          <w:p w:rsidR="00180385" w:rsidRPr="00E71FE2" w:rsidRDefault="00180385" w:rsidP="00180385">
            <w:r>
              <w:rPr>
                <w:color w:val="000000"/>
                <w:sz w:val="21"/>
              </w:rPr>
              <w:t>Micro, small and medium-sized enterprises</w:t>
            </w:r>
          </w:p>
        </w:tc>
        <w:tc>
          <w:tcPr>
            <w:tcW w:w="7048" w:type="dxa"/>
            <w:gridSpan w:val="22"/>
            <w:shd w:val="clear" w:color="auto" w:fill="FFFFFF"/>
          </w:tcPr>
          <w:p w:rsidR="00180385" w:rsidRPr="00E71FE2" w:rsidRDefault="00180385" w:rsidP="00180385">
            <w:pPr>
              <w:jc w:val="both"/>
            </w:pPr>
            <w:r>
              <w:rPr>
                <w:color w:val="000000"/>
                <w:sz w:val="21"/>
              </w:rPr>
              <w:t>No impact</w:t>
            </w:r>
          </w:p>
        </w:tc>
      </w:tr>
      <w:tr w:rsidR="00180385" w:rsidRPr="00E71FE2" w:rsidTr="00180385">
        <w:trPr>
          <w:gridAfter w:val="1"/>
          <w:wAfter w:w="10" w:type="dxa"/>
        </w:trPr>
        <w:tc>
          <w:tcPr>
            <w:tcW w:w="1596" w:type="dxa"/>
            <w:vMerge/>
            <w:shd w:val="clear" w:color="auto" w:fill="FFFFFF"/>
          </w:tcPr>
          <w:p w:rsidR="00180385" w:rsidRPr="00E71FE2" w:rsidRDefault="00180385" w:rsidP="00180385">
            <w:pPr>
              <w:rPr>
                <w:color w:val="000000"/>
                <w:sz w:val="21"/>
                <w:szCs w:val="21"/>
              </w:rPr>
            </w:pPr>
          </w:p>
        </w:tc>
        <w:tc>
          <w:tcPr>
            <w:tcW w:w="2293" w:type="dxa"/>
            <w:gridSpan w:val="5"/>
            <w:shd w:val="clear" w:color="auto" w:fill="FFFFFF"/>
          </w:tcPr>
          <w:p w:rsidR="00180385" w:rsidRPr="00E71FE2" w:rsidRDefault="00180385" w:rsidP="00180385">
            <w:pPr>
              <w:tabs>
                <w:tab w:val="right" w:pos="1936"/>
              </w:tabs>
            </w:pPr>
            <w:r>
              <w:rPr>
                <w:sz w:val="21"/>
              </w:rPr>
              <w:t>Families, citizens and households</w:t>
            </w:r>
          </w:p>
        </w:tc>
        <w:tc>
          <w:tcPr>
            <w:tcW w:w="7048" w:type="dxa"/>
            <w:gridSpan w:val="22"/>
            <w:shd w:val="clear" w:color="auto" w:fill="FFFFFF"/>
          </w:tcPr>
          <w:p w:rsidR="00180385" w:rsidRPr="00E71FE2" w:rsidRDefault="00180385" w:rsidP="00180385">
            <w:pPr>
              <w:jc w:val="both"/>
            </w:pPr>
            <w:r>
              <w:rPr>
                <w:color w:val="000000"/>
                <w:sz w:val="22"/>
              </w:rPr>
              <w:t>Information obligations will facilitate the monitoring of gaseous fuel consumption and should contribute to measures being taken to save gaseous fuels. The draft regulations allow for a reduction in fees for the use of natural gas for heating purposes; this may increase the use of this fuel for these purposes and improve air quality.</w:t>
            </w:r>
            <w:r w:rsidRPr="00E71FE2">
              <w:rPr>
                <w:color w:val="000000"/>
                <w:sz w:val="22"/>
              </w:rPr>
              <w:t xml:space="preserve"> </w:t>
            </w:r>
          </w:p>
        </w:tc>
      </w:tr>
      <w:tr w:rsidR="00180385" w:rsidRPr="00E71FE2" w:rsidTr="00180385">
        <w:trPr>
          <w:gridAfter w:val="1"/>
          <w:wAfter w:w="10" w:type="dxa"/>
        </w:trPr>
        <w:tc>
          <w:tcPr>
            <w:tcW w:w="1596" w:type="dxa"/>
            <w:shd w:val="clear" w:color="auto" w:fill="FFFFFF"/>
          </w:tcPr>
          <w:p w:rsidR="00180385" w:rsidRPr="00E71FE2" w:rsidRDefault="00180385" w:rsidP="00180385">
            <w:r>
              <w:rPr>
                <w:color w:val="000000"/>
                <w:sz w:val="21"/>
              </w:rPr>
              <w:t>Immeasurable</w:t>
            </w:r>
          </w:p>
        </w:tc>
        <w:tc>
          <w:tcPr>
            <w:tcW w:w="2293" w:type="dxa"/>
            <w:gridSpan w:val="5"/>
            <w:shd w:val="clear" w:color="auto" w:fill="FFFFFF"/>
          </w:tcPr>
          <w:p w:rsidR="00180385" w:rsidRPr="00E71FE2" w:rsidRDefault="00180385" w:rsidP="00180385">
            <w:pPr>
              <w:tabs>
                <w:tab w:val="right" w:pos="1936"/>
              </w:tabs>
              <w:rPr>
                <w:sz w:val="21"/>
                <w:szCs w:val="21"/>
              </w:rPr>
            </w:pPr>
          </w:p>
        </w:tc>
        <w:tc>
          <w:tcPr>
            <w:tcW w:w="7048" w:type="dxa"/>
            <w:gridSpan w:val="22"/>
            <w:shd w:val="clear" w:color="auto" w:fill="FFFFFF"/>
          </w:tcPr>
          <w:p w:rsidR="00180385" w:rsidRPr="00E71FE2" w:rsidRDefault="00180385" w:rsidP="00180385">
            <w:pPr>
              <w:tabs>
                <w:tab w:val="left" w:pos="3000"/>
              </w:tabs>
            </w:pPr>
            <w:r>
              <w:rPr>
                <w:color w:val="000000"/>
                <w:sz w:val="22"/>
              </w:rPr>
              <w:t>Increased public awareness of the need to protect the environment by saving energy. Reducing the incidence of diseases resulting from pollution.</w:t>
            </w:r>
          </w:p>
        </w:tc>
      </w:tr>
      <w:tr w:rsidR="00180385" w:rsidRPr="00E71FE2" w:rsidTr="00180385">
        <w:trPr>
          <w:gridAfter w:val="1"/>
          <w:wAfter w:w="10" w:type="dxa"/>
        </w:trPr>
        <w:tc>
          <w:tcPr>
            <w:tcW w:w="2243" w:type="dxa"/>
            <w:gridSpan w:val="2"/>
            <w:shd w:val="clear" w:color="auto" w:fill="FFFFFF"/>
          </w:tcPr>
          <w:p w:rsidR="00180385" w:rsidRPr="00E71FE2" w:rsidRDefault="00180385" w:rsidP="00180385">
            <w:r>
              <w:rPr>
                <w:color w:val="000000"/>
                <w:sz w:val="21"/>
              </w:rPr>
              <w:t>Additional information, including identification of data sources and assumptions made​in the calculation</w:t>
            </w:r>
            <w:r w:rsidRPr="00E71FE2">
              <w:rPr>
                <w:color w:val="000000"/>
                <w:sz w:val="21"/>
              </w:rPr>
              <w:t xml:space="preserve"> </w:t>
            </w:r>
          </w:p>
        </w:tc>
        <w:tc>
          <w:tcPr>
            <w:tcW w:w="8694" w:type="dxa"/>
            <w:gridSpan w:val="26"/>
            <w:shd w:val="clear" w:color="auto" w:fill="FFFFFF"/>
            <w:vAlign w:val="center"/>
          </w:tcPr>
          <w:p w:rsidR="00180385" w:rsidRPr="00E71FE2" w:rsidRDefault="00180385" w:rsidP="00180385">
            <w:pPr>
              <w:jc w:val="both"/>
            </w:pPr>
            <w:r>
              <w:rPr>
                <w:color w:val="000000"/>
                <w:sz w:val="22"/>
              </w:rPr>
              <w:t>Additional information obligations indicated in § 38(8)(7) and (9) will not have a significant impact on the cost of customer service because information in this respect will be sent by energy companies together with current standard settlements for gaseous fuels.</w:t>
            </w:r>
          </w:p>
        </w:tc>
      </w:tr>
      <w:tr w:rsidR="00180385" w:rsidRPr="00E71FE2" w:rsidTr="00180385">
        <w:trPr>
          <w:gridAfter w:val="1"/>
          <w:wAfter w:w="10" w:type="dxa"/>
        </w:trPr>
        <w:tc>
          <w:tcPr>
            <w:tcW w:w="10937" w:type="dxa"/>
            <w:gridSpan w:val="28"/>
            <w:shd w:val="clear" w:color="auto" w:fill="99CCFF"/>
            <w:vAlign w:val="center"/>
          </w:tcPr>
          <w:p w:rsidR="00180385" w:rsidRPr="00E71FE2" w:rsidRDefault="00180385" w:rsidP="00180385">
            <w:pPr>
              <w:numPr>
                <w:ilvl w:val="0"/>
                <w:numId w:val="1"/>
              </w:numPr>
              <w:spacing w:before="60" w:after="60"/>
              <w:jc w:val="both"/>
            </w:pPr>
            <w:r>
              <w:rPr>
                <w:b/>
                <w:color w:val="000000"/>
              </w:rPr>
              <w:t>Change of regulatory burden (including disclosure obligations) resulting from the draft</w:t>
            </w:r>
          </w:p>
        </w:tc>
      </w:tr>
      <w:tr w:rsidR="00180385" w:rsidRPr="00E71FE2" w:rsidTr="00180385">
        <w:trPr>
          <w:gridAfter w:val="1"/>
          <w:wAfter w:w="10" w:type="dxa"/>
        </w:trPr>
        <w:tc>
          <w:tcPr>
            <w:tcW w:w="10937" w:type="dxa"/>
            <w:gridSpan w:val="28"/>
            <w:shd w:val="clear" w:color="auto" w:fill="FFFFFF"/>
          </w:tcPr>
          <w:p w:rsidR="00180385" w:rsidRPr="00E71FE2" w:rsidRDefault="00180385" w:rsidP="00180385">
            <w:r w:rsidRPr="00E71FE2">
              <w:rPr>
                <w:color w:val="000000"/>
              </w:rPr>
              <w:fldChar w:fldCharType="begin">
                <w:ffData>
                  <w:name w:val=""/>
                  <w:enabled w:val="0"/>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not applicable</w:t>
            </w:r>
          </w:p>
        </w:tc>
      </w:tr>
      <w:tr w:rsidR="00180385" w:rsidRPr="00E71FE2" w:rsidTr="00180385">
        <w:trPr>
          <w:gridAfter w:val="1"/>
          <w:wAfter w:w="10" w:type="dxa"/>
        </w:trPr>
        <w:tc>
          <w:tcPr>
            <w:tcW w:w="5111" w:type="dxa"/>
            <w:gridSpan w:val="12"/>
            <w:shd w:val="clear" w:color="auto" w:fill="FFFFFF"/>
          </w:tcPr>
          <w:p w:rsidR="00180385" w:rsidRPr="00E71FE2" w:rsidRDefault="00180385" w:rsidP="00180385">
            <w:r>
              <w:rPr>
                <w:color w:val="000000"/>
              </w:rPr>
              <w:t>Burdens are placed outside those strictly required by the EU (see reverse side of the compatibility table for details).</w:t>
            </w:r>
          </w:p>
        </w:tc>
        <w:tc>
          <w:tcPr>
            <w:tcW w:w="5826" w:type="dxa"/>
            <w:gridSpan w:val="16"/>
            <w:shd w:val="clear" w:color="auto" w:fill="FFFFFF"/>
          </w:tcPr>
          <w:p w:rsidR="00180385" w:rsidRPr="00E71FE2" w:rsidRDefault="00180385" w:rsidP="00180385">
            <w:pPr>
              <w:rPr>
                <w:color w:val="000000"/>
              </w:rPr>
            </w:pPr>
            <w:r w:rsidRPr="00E71FE2">
              <w:rPr>
                <w:color w:val="000000"/>
              </w:rPr>
              <w:fldChar w:fldCharType="begin">
                <w:ffData>
                  <w:name w:val=""/>
                  <w:enabled w:val="0"/>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yes</w:t>
            </w:r>
          </w:p>
          <w:p w:rsidR="00180385" w:rsidRPr="00E71FE2" w:rsidRDefault="00180385" w:rsidP="00180385">
            <w:pPr>
              <w:rPr>
                <w:color w:val="000000"/>
              </w:rPr>
            </w:pPr>
            <w:r w:rsidRPr="00E71FE2">
              <w:rPr>
                <w:color w:val="000000"/>
              </w:rPr>
              <w:fldChar w:fldCharType="begin">
                <w:ffData>
                  <w:name w:val=""/>
                  <w:enabled/>
                  <w:calcOnExit w:val="0"/>
                  <w:checkBox>
                    <w:sizeAuto/>
                    <w:default w:val="1"/>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no</w:t>
            </w:r>
          </w:p>
          <w:p w:rsidR="00180385" w:rsidRPr="00E71FE2" w:rsidRDefault="00180385" w:rsidP="00180385">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not applicable</w:t>
            </w:r>
          </w:p>
        </w:tc>
      </w:tr>
      <w:tr w:rsidR="00180385" w:rsidRPr="00E71FE2" w:rsidTr="00180385">
        <w:trPr>
          <w:gridAfter w:val="1"/>
          <w:wAfter w:w="10" w:type="dxa"/>
        </w:trPr>
        <w:tc>
          <w:tcPr>
            <w:tcW w:w="5111" w:type="dxa"/>
            <w:gridSpan w:val="12"/>
            <w:shd w:val="clear" w:color="auto" w:fill="FFFFFF"/>
          </w:tcPr>
          <w:p w:rsidR="00180385" w:rsidRPr="00E71FE2" w:rsidRDefault="00180385" w:rsidP="00180385">
            <w:pPr>
              <w:rPr>
                <w:color w:val="000000"/>
              </w:rPr>
            </w:pPr>
            <w:r w:rsidRPr="00E71FE2">
              <w:rPr>
                <w:color w:val="000000"/>
              </w:rPr>
              <w:fldChar w:fldCharType="begin">
                <w:ffData>
                  <w:name w:val=""/>
                  <w:enabled w:val="0"/>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reduction in the number of documents</w:t>
            </w:r>
          </w:p>
          <w:p w:rsidR="00180385" w:rsidRPr="00E71FE2" w:rsidRDefault="00180385" w:rsidP="00180385">
            <w:pPr>
              <w:rPr>
                <w:color w:val="000000"/>
              </w:rPr>
            </w:pPr>
            <w:r w:rsidRPr="00E71FE2">
              <w:rPr>
                <w:color w:val="000000"/>
              </w:rPr>
              <w:fldChar w:fldCharType="begin">
                <w:ffData>
                  <w:name w:val=""/>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reduction in the number of procedures</w:t>
            </w:r>
          </w:p>
          <w:p w:rsidR="00180385" w:rsidRPr="00E71FE2" w:rsidRDefault="00180385" w:rsidP="00180385">
            <w:pPr>
              <w:rPr>
                <w:color w:val="000000"/>
              </w:rPr>
            </w:pPr>
            <w:r w:rsidRPr="00E71FE2">
              <w:rPr>
                <w:color w:val="000000"/>
              </w:rPr>
              <w:fldChar w:fldCharType="begin">
                <w:ffData>
                  <w:name w:val=""/>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shortening of the time to settle the matter</w:t>
            </w:r>
          </w:p>
          <w:p w:rsidR="00180385" w:rsidRPr="00E71FE2" w:rsidRDefault="00180385" w:rsidP="00180385">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other:</w:t>
            </w:r>
            <w:r w:rsidRPr="00E71FE2">
              <w:rPr>
                <w:color w:val="000000"/>
              </w:rPr>
              <w:t xml:space="preserve"> </w:t>
            </w:r>
            <w:r w:rsidRPr="00E71FE2">
              <w:rPr>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71FE2">
              <w:rPr>
                <w:color w:val="000000"/>
              </w:rPr>
              <w:instrText xml:space="preserve"> FORMTEXT </w:instrText>
            </w:r>
            <w:r w:rsidRPr="00E71FE2">
              <w:rPr>
                <w:color w:val="000000"/>
              </w:rPr>
            </w:r>
            <w:r w:rsidRPr="00E71FE2">
              <w:rPr>
                <w:color w:val="000000"/>
              </w:rPr>
              <w:fldChar w:fldCharType="separate"/>
            </w:r>
            <w:r w:rsidRPr="00E71FE2">
              <w:t> </w:t>
            </w:r>
            <w:r w:rsidRPr="00E71FE2">
              <w:t> </w:t>
            </w:r>
            <w:r w:rsidRPr="00E71FE2">
              <w:t> </w:t>
            </w:r>
            <w:r w:rsidRPr="00E71FE2">
              <w:t> </w:t>
            </w:r>
            <w:r w:rsidRPr="00E71FE2">
              <w:t> </w:t>
            </w:r>
            <w:r w:rsidRPr="00E71FE2">
              <w:rPr>
                <w:color w:val="000000"/>
              </w:rPr>
              <w:fldChar w:fldCharType="end"/>
            </w:r>
          </w:p>
        </w:tc>
        <w:tc>
          <w:tcPr>
            <w:tcW w:w="5826" w:type="dxa"/>
            <w:gridSpan w:val="16"/>
            <w:shd w:val="clear" w:color="auto" w:fill="FFFFFF"/>
          </w:tcPr>
          <w:p w:rsidR="00180385" w:rsidRPr="00E71FE2" w:rsidRDefault="00180385" w:rsidP="00180385">
            <w:pPr>
              <w:rPr>
                <w:color w:val="000000"/>
              </w:rPr>
            </w:pPr>
            <w:r w:rsidRPr="00E71FE2">
              <w:rPr>
                <w:color w:val="000000"/>
              </w:rPr>
              <w:fldChar w:fldCharType="begin">
                <w:ffData>
                  <w:name w:val=""/>
                  <w:enabled/>
                  <w:calcOnExit w:val="0"/>
                  <w:checkBox>
                    <w:sizeAuto/>
                    <w:default w:val="1"/>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increase in the number of documents</w:t>
            </w:r>
          </w:p>
          <w:p w:rsidR="00180385" w:rsidRPr="00E71FE2" w:rsidRDefault="00180385" w:rsidP="00180385">
            <w:pPr>
              <w:rPr>
                <w:color w:val="000000"/>
              </w:rPr>
            </w:pPr>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increase in the number of procedures</w:t>
            </w:r>
          </w:p>
          <w:p w:rsidR="00180385" w:rsidRPr="00E71FE2" w:rsidRDefault="00180385" w:rsidP="00180385">
            <w:pPr>
              <w:rPr>
                <w:color w:val="000000"/>
              </w:rPr>
            </w:pPr>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extension of the time to settle the matter</w:t>
            </w:r>
          </w:p>
          <w:p w:rsidR="00180385" w:rsidRPr="00E71FE2" w:rsidRDefault="00180385" w:rsidP="00180385">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other:</w:t>
            </w:r>
            <w:r w:rsidRPr="00E71FE2">
              <w:rPr>
                <w:color w:val="000000"/>
              </w:rPr>
              <w:t xml:space="preserve"> </w:t>
            </w:r>
            <w:r w:rsidRPr="00E71FE2">
              <w:rPr>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E71FE2">
              <w:rPr>
                <w:color w:val="000000"/>
              </w:rPr>
              <w:instrText xml:space="preserve"> FORMTEXT </w:instrText>
            </w:r>
            <w:r w:rsidRPr="00E71FE2">
              <w:rPr>
                <w:color w:val="000000"/>
              </w:rPr>
            </w:r>
            <w:r w:rsidRPr="00E71FE2">
              <w:rPr>
                <w:color w:val="000000"/>
              </w:rPr>
              <w:fldChar w:fldCharType="separate"/>
            </w:r>
            <w:r w:rsidRPr="00E71FE2">
              <w:t> </w:t>
            </w:r>
            <w:r w:rsidRPr="00E71FE2">
              <w:t> </w:t>
            </w:r>
            <w:r w:rsidRPr="00E71FE2">
              <w:t> </w:t>
            </w:r>
            <w:r w:rsidRPr="00E71FE2">
              <w:t> </w:t>
            </w:r>
            <w:r w:rsidRPr="00E71FE2">
              <w:t> </w:t>
            </w:r>
            <w:r w:rsidRPr="00E71FE2">
              <w:rPr>
                <w:color w:val="000000"/>
              </w:rPr>
              <w:fldChar w:fldCharType="end"/>
            </w:r>
          </w:p>
        </w:tc>
      </w:tr>
      <w:tr w:rsidR="00180385" w:rsidRPr="00E71FE2" w:rsidTr="00180385">
        <w:trPr>
          <w:gridAfter w:val="1"/>
          <w:wAfter w:w="10" w:type="dxa"/>
        </w:trPr>
        <w:tc>
          <w:tcPr>
            <w:tcW w:w="5111" w:type="dxa"/>
            <w:gridSpan w:val="12"/>
            <w:shd w:val="clear" w:color="auto" w:fill="FFFFFF"/>
          </w:tcPr>
          <w:p w:rsidR="00180385" w:rsidRPr="00E71FE2" w:rsidRDefault="00180385" w:rsidP="00180385">
            <w:r>
              <w:rPr>
                <w:color w:val="000000"/>
              </w:rPr>
              <w:t>The implemented burdens are adapted to their digitisation.</w:t>
            </w:r>
            <w:r w:rsidRPr="00E71FE2">
              <w:rPr>
                <w:color w:val="000000"/>
              </w:rPr>
              <w:t xml:space="preserve"> </w:t>
            </w:r>
          </w:p>
        </w:tc>
        <w:tc>
          <w:tcPr>
            <w:tcW w:w="5826" w:type="dxa"/>
            <w:gridSpan w:val="16"/>
            <w:shd w:val="clear" w:color="auto" w:fill="FFFFFF"/>
          </w:tcPr>
          <w:p w:rsidR="00180385" w:rsidRPr="00E71FE2" w:rsidRDefault="00180385" w:rsidP="00180385">
            <w:pPr>
              <w:rPr>
                <w:color w:val="000000"/>
              </w:rPr>
            </w:pPr>
            <w:r w:rsidRPr="00E71FE2">
              <w:rPr>
                <w:color w:val="000000"/>
              </w:rPr>
              <w:fldChar w:fldCharType="begin">
                <w:ffData>
                  <w:name w:val=""/>
                  <w:enabled/>
                  <w:calcOnExit w:val="0"/>
                  <w:checkBox>
                    <w:sizeAuto/>
                    <w:default w:val="1"/>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yes</w:t>
            </w:r>
          </w:p>
          <w:p w:rsidR="00180385" w:rsidRPr="00E71FE2" w:rsidRDefault="00180385" w:rsidP="00180385">
            <w:pPr>
              <w:rPr>
                <w:color w:val="000000"/>
              </w:rPr>
            </w:pPr>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no</w:t>
            </w:r>
          </w:p>
          <w:p w:rsidR="00180385" w:rsidRPr="00E71FE2" w:rsidRDefault="00180385" w:rsidP="00180385">
            <w:r w:rsidRPr="00E71FE2">
              <w:rPr>
                <w:color w:val="000000"/>
              </w:rPr>
              <w:fldChar w:fldCharType="begin">
                <w:ffData>
                  <w:name w:val=""/>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not applicable</w:t>
            </w:r>
          </w:p>
        </w:tc>
      </w:tr>
      <w:tr w:rsidR="00180385" w:rsidRPr="00E71FE2" w:rsidTr="00180385">
        <w:trPr>
          <w:gridAfter w:val="1"/>
          <w:wAfter w:w="10" w:type="dxa"/>
        </w:trPr>
        <w:tc>
          <w:tcPr>
            <w:tcW w:w="10937" w:type="dxa"/>
            <w:gridSpan w:val="28"/>
            <w:shd w:val="clear" w:color="auto" w:fill="99CCFF"/>
          </w:tcPr>
          <w:p w:rsidR="00180385" w:rsidRPr="00E71FE2" w:rsidRDefault="00180385" w:rsidP="00180385">
            <w:pPr>
              <w:numPr>
                <w:ilvl w:val="0"/>
                <w:numId w:val="1"/>
              </w:numPr>
              <w:spacing w:before="60" w:after="60"/>
              <w:jc w:val="both"/>
            </w:pPr>
            <w:r>
              <w:rPr>
                <w:b/>
                <w:color w:val="000000"/>
              </w:rPr>
              <w:t>Impact on the labour market</w:t>
            </w:r>
            <w:r w:rsidRPr="00E71FE2">
              <w:rPr>
                <w:b/>
                <w:color w:val="000000"/>
              </w:rPr>
              <w:t xml:space="preserve"> </w:t>
            </w:r>
          </w:p>
        </w:tc>
      </w:tr>
      <w:tr w:rsidR="00180385" w:rsidRPr="00E71FE2" w:rsidTr="00180385">
        <w:trPr>
          <w:gridAfter w:val="1"/>
          <w:wAfter w:w="10" w:type="dxa"/>
        </w:trPr>
        <w:tc>
          <w:tcPr>
            <w:tcW w:w="10937" w:type="dxa"/>
            <w:gridSpan w:val="28"/>
          </w:tcPr>
          <w:p w:rsidR="00180385" w:rsidRPr="00E71FE2" w:rsidRDefault="00180385" w:rsidP="00180385">
            <w:pPr>
              <w:jc w:val="both"/>
              <w:rPr>
                <w:color w:val="000000"/>
              </w:rPr>
            </w:pPr>
            <w:r>
              <w:rPr>
                <w:color w:val="000000"/>
              </w:rPr>
              <w:t>The draft regulation has no direct impact on the labour market.</w:t>
            </w:r>
          </w:p>
          <w:p w:rsidR="00180385" w:rsidRPr="00E71FE2" w:rsidRDefault="00180385" w:rsidP="00180385">
            <w:pPr>
              <w:jc w:val="both"/>
              <w:rPr>
                <w:color w:val="000000"/>
              </w:rPr>
            </w:pPr>
          </w:p>
        </w:tc>
      </w:tr>
      <w:tr w:rsidR="00180385" w:rsidRPr="00E71FE2" w:rsidTr="00180385">
        <w:trPr>
          <w:gridAfter w:val="1"/>
          <w:wAfter w:w="10" w:type="dxa"/>
        </w:trPr>
        <w:tc>
          <w:tcPr>
            <w:tcW w:w="10937" w:type="dxa"/>
            <w:gridSpan w:val="28"/>
            <w:shd w:val="clear" w:color="auto" w:fill="99CCFF"/>
          </w:tcPr>
          <w:p w:rsidR="00180385" w:rsidRPr="00E71FE2" w:rsidRDefault="00180385" w:rsidP="00180385">
            <w:pPr>
              <w:numPr>
                <w:ilvl w:val="0"/>
                <w:numId w:val="1"/>
              </w:numPr>
              <w:spacing w:before="60" w:after="60"/>
              <w:jc w:val="both"/>
            </w:pPr>
            <w:r>
              <w:rPr>
                <w:b/>
                <w:color w:val="000000"/>
              </w:rPr>
              <w:t>Impact on other aspects</w:t>
            </w:r>
          </w:p>
        </w:tc>
      </w:tr>
      <w:tr w:rsidR="00180385" w:rsidRPr="00E71FE2" w:rsidTr="00733135">
        <w:trPr>
          <w:gridAfter w:val="1"/>
          <w:wAfter w:w="10" w:type="dxa"/>
        </w:trPr>
        <w:tc>
          <w:tcPr>
            <w:tcW w:w="4444" w:type="dxa"/>
            <w:gridSpan w:val="8"/>
            <w:shd w:val="clear" w:color="auto" w:fill="FFFFFF"/>
          </w:tcPr>
          <w:p w:rsidR="00180385" w:rsidRPr="00E71FE2" w:rsidRDefault="00180385" w:rsidP="00180385">
            <w:pPr>
              <w:rPr>
                <w:color w:val="000000"/>
              </w:rPr>
            </w:pPr>
          </w:p>
          <w:p w:rsidR="00180385" w:rsidRPr="00E71FE2" w:rsidRDefault="00180385" w:rsidP="00180385">
            <w:pPr>
              <w:rPr>
                <w:color w:val="000000"/>
              </w:rPr>
            </w:pPr>
            <w:r w:rsidRPr="00E71FE2">
              <w:rPr>
                <w:color w:val="000000"/>
              </w:rPr>
              <w:fldChar w:fldCharType="begin">
                <w:ffData>
                  <w:name w:val=""/>
                  <w:enabled/>
                  <w:calcOnExit w:val="0"/>
                  <w:checkBox>
                    <w:sizeAuto/>
                    <w:default w:val="1"/>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environment</w:t>
            </w:r>
          </w:p>
          <w:p w:rsidR="00180385" w:rsidRPr="00E71FE2" w:rsidRDefault="00180385" w:rsidP="00180385">
            <w:pPr>
              <w:rPr>
                <w:color w:val="000000"/>
              </w:rPr>
            </w:pPr>
            <w:r w:rsidRPr="00E71FE2">
              <w:rPr>
                <w:color w:val="000000"/>
              </w:rPr>
              <w:fldChar w:fldCharType="begin">
                <w:ffData>
                  <w:name w:val=""/>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regional standing and development</w:t>
            </w:r>
          </w:p>
          <w:p w:rsidR="00180385" w:rsidRPr="00E71FE2" w:rsidRDefault="00180385" w:rsidP="00180385">
            <w:r w:rsidRPr="00E71FE2">
              <w:rPr>
                <w:color w:val="000000"/>
              </w:rPr>
              <w:fldChar w:fldCharType="begin">
                <w:ffData>
                  <w:name w:val=""/>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other: competitiveness of the economy</w:t>
            </w:r>
          </w:p>
        </w:tc>
        <w:tc>
          <w:tcPr>
            <w:tcW w:w="3119" w:type="dxa"/>
            <w:gridSpan w:val="12"/>
            <w:shd w:val="clear" w:color="auto" w:fill="FFFFFF"/>
          </w:tcPr>
          <w:p w:rsidR="00180385" w:rsidRPr="00E71FE2" w:rsidRDefault="00180385" w:rsidP="00180385">
            <w:pPr>
              <w:rPr>
                <w:color w:val="000000"/>
              </w:rPr>
            </w:pPr>
          </w:p>
          <w:p w:rsidR="00180385" w:rsidRPr="00E71FE2" w:rsidRDefault="00180385" w:rsidP="00180385">
            <w:pPr>
              <w:rPr>
                <w:color w:val="000000"/>
              </w:rPr>
            </w:pPr>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demography</w:t>
            </w:r>
          </w:p>
          <w:p w:rsidR="00180385" w:rsidRPr="00E71FE2" w:rsidRDefault="00180385" w:rsidP="00180385">
            <w:r w:rsidRPr="00E71FE2">
              <w:rPr>
                <w:color w:val="000000"/>
              </w:rPr>
              <w:fldChar w:fldCharType="begin">
                <w:ffData>
                  <w:name w:val=""/>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state property</w:t>
            </w:r>
          </w:p>
        </w:tc>
        <w:tc>
          <w:tcPr>
            <w:tcW w:w="3374" w:type="dxa"/>
            <w:gridSpan w:val="8"/>
            <w:shd w:val="clear" w:color="auto" w:fill="FFFFFF"/>
          </w:tcPr>
          <w:p w:rsidR="00180385" w:rsidRPr="00E71FE2" w:rsidRDefault="00180385" w:rsidP="00180385">
            <w:pPr>
              <w:rPr>
                <w:color w:val="000000"/>
              </w:rPr>
            </w:pPr>
          </w:p>
          <w:p w:rsidR="00180385" w:rsidRPr="00E71FE2" w:rsidRDefault="00180385" w:rsidP="00180385">
            <w:pPr>
              <w:rPr>
                <w:color w:val="000000"/>
              </w:rPr>
            </w:pPr>
            <w:r w:rsidRPr="00E71FE2">
              <w:rPr>
                <w:color w:val="000000"/>
              </w:rPr>
              <w:fldChar w:fldCharType="begin">
                <w:ffData>
                  <w:name w:val="Wybór1"/>
                  <w:enabled/>
                  <w:calcOnExit w:val="0"/>
                  <w:checkBox>
                    <w:sizeAuto/>
                    <w:default w:val="0"/>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computerisation</w:t>
            </w:r>
          </w:p>
          <w:p w:rsidR="00180385" w:rsidRPr="00E71FE2" w:rsidRDefault="00180385" w:rsidP="00180385">
            <w:r w:rsidRPr="00E71FE2">
              <w:rPr>
                <w:color w:val="000000"/>
              </w:rPr>
              <w:fldChar w:fldCharType="begin">
                <w:ffData>
                  <w:name w:val=""/>
                  <w:enabled/>
                  <w:calcOnExit w:val="0"/>
                  <w:checkBox>
                    <w:sizeAuto/>
                    <w:default w:val="1"/>
                  </w:checkBox>
                </w:ffData>
              </w:fldChar>
            </w:r>
            <w:r w:rsidRPr="00E71FE2">
              <w:rPr>
                <w:color w:val="000000"/>
              </w:rPr>
              <w:instrText xml:space="preserve"> FORMCHECKBOX </w:instrText>
            </w:r>
            <w:r w:rsidR="00B86557">
              <w:rPr>
                <w:color w:val="000000"/>
              </w:rPr>
            </w:r>
            <w:r w:rsidR="00B86557">
              <w:rPr>
                <w:color w:val="000000"/>
              </w:rPr>
              <w:fldChar w:fldCharType="separate"/>
            </w:r>
            <w:r w:rsidRPr="00E71FE2">
              <w:rPr>
                <w:color w:val="000000"/>
              </w:rPr>
              <w:fldChar w:fldCharType="end"/>
            </w:r>
            <w:r w:rsidRPr="00E71FE2">
              <w:rPr>
                <w:color w:val="000000"/>
              </w:rPr>
              <w:t xml:space="preserve"> </w:t>
            </w:r>
            <w:r>
              <w:rPr>
                <w:color w:val="000000"/>
              </w:rPr>
              <w:t>health</w:t>
            </w:r>
          </w:p>
        </w:tc>
      </w:tr>
      <w:tr w:rsidR="00180385" w:rsidRPr="00E71FE2" w:rsidTr="00F92709">
        <w:trPr>
          <w:gridAfter w:val="1"/>
          <w:wAfter w:w="10" w:type="dxa"/>
          <w:cantSplit/>
        </w:trPr>
        <w:tc>
          <w:tcPr>
            <w:tcW w:w="2243" w:type="dxa"/>
            <w:gridSpan w:val="2"/>
            <w:shd w:val="clear" w:color="auto" w:fill="FFFFFF"/>
            <w:vAlign w:val="center"/>
          </w:tcPr>
          <w:p w:rsidR="00180385" w:rsidRPr="00E71FE2" w:rsidRDefault="00180385" w:rsidP="00180385">
            <w:r>
              <w:rPr>
                <w:color w:val="000000"/>
              </w:rPr>
              <w:lastRenderedPageBreak/>
              <w:t>Discussion of the impact</w:t>
            </w:r>
          </w:p>
        </w:tc>
        <w:tc>
          <w:tcPr>
            <w:tcW w:w="8694" w:type="dxa"/>
            <w:gridSpan w:val="26"/>
            <w:shd w:val="clear" w:color="auto" w:fill="FFFFFF"/>
            <w:vAlign w:val="center"/>
          </w:tcPr>
          <w:p w:rsidR="00180385" w:rsidRPr="00E71FE2" w:rsidRDefault="00180385" w:rsidP="00180385">
            <w:pPr>
              <w:jc w:val="both"/>
            </w:pPr>
            <w:r>
              <w:t>Comparing energy consumption by final consumers should lead to energy savings and thus contribute to protecting the environment. The proposed solutions to reduce the fee for connecting to the gas network should contribute to improving air quality in the long term.</w:t>
            </w:r>
          </w:p>
        </w:tc>
      </w:tr>
      <w:tr w:rsidR="00180385" w:rsidRPr="00E71FE2" w:rsidTr="00180385">
        <w:trPr>
          <w:gridAfter w:val="1"/>
          <w:wAfter w:w="10" w:type="dxa"/>
        </w:trPr>
        <w:tc>
          <w:tcPr>
            <w:tcW w:w="10937" w:type="dxa"/>
            <w:gridSpan w:val="28"/>
            <w:shd w:val="clear" w:color="auto" w:fill="99CCFF"/>
          </w:tcPr>
          <w:p w:rsidR="00180385" w:rsidRPr="00E71FE2" w:rsidRDefault="00180385" w:rsidP="00F92709">
            <w:pPr>
              <w:keepNext/>
              <w:keepLines/>
              <w:numPr>
                <w:ilvl w:val="0"/>
                <w:numId w:val="1"/>
              </w:numPr>
              <w:spacing w:before="60" w:after="60"/>
              <w:jc w:val="both"/>
            </w:pPr>
            <w:r>
              <w:rPr>
                <w:b/>
                <w:color w:val="000000"/>
              </w:rPr>
              <w:t>Scheduled implementation of the regulation's provisions</w:t>
            </w:r>
          </w:p>
        </w:tc>
      </w:tr>
      <w:tr w:rsidR="00180385" w:rsidRPr="00E71FE2" w:rsidTr="00180385">
        <w:trPr>
          <w:gridAfter w:val="1"/>
          <w:wAfter w:w="10" w:type="dxa"/>
        </w:trPr>
        <w:tc>
          <w:tcPr>
            <w:tcW w:w="10937" w:type="dxa"/>
            <w:gridSpan w:val="28"/>
            <w:shd w:val="clear" w:color="auto" w:fill="FFFFFF"/>
          </w:tcPr>
          <w:p w:rsidR="00180385" w:rsidRPr="00E71FE2" w:rsidRDefault="00180385" w:rsidP="00180385">
            <w:pPr>
              <w:jc w:val="both"/>
            </w:pPr>
            <w:r>
              <w:t>The proposed provisions will apply when determining tariffs and calculating prices and fees for gaseous fuels. Tariffs proposed by energy companies are subject to approval by the President of the Energy Regulatory Office, who examines the proper implementation of the regulation’s provisions on the calculation of tariffs, rates and fees for gaseous fuels.</w:t>
            </w:r>
            <w:r w:rsidRPr="00E71FE2">
              <w:t xml:space="preserve"> </w:t>
            </w:r>
          </w:p>
        </w:tc>
      </w:tr>
      <w:tr w:rsidR="00180385" w:rsidRPr="00E71FE2" w:rsidTr="00180385">
        <w:trPr>
          <w:gridAfter w:val="1"/>
          <w:wAfter w:w="10" w:type="dxa"/>
        </w:trPr>
        <w:tc>
          <w:tcPr>
            <w:tcW w:w="10937" w:type="dxa"/>
            <w:gridSpan w:val="28"/>
            <w:shd w:val="clear" w:color="auto" w:fill="99CCFF"/>
          </w:tcPr>
          <w:p w:rsidR="00180385" w:rsidRPr="00E71FE2" w:rsidRDefault="00180385" w:rsidP="00180385">
            <w:pPr>
              <w:numPr>
                <w:ilvl w:val="0"/>
                <w:numId w:val="1"/>
              </w:numPr>
              <w:spacing w:before="60" w:after="60"/>
              <w:jc w:val="both"/>
            </w:pPr>
            <w:r>
              <w:rPr>
                <w:b/>
                <w:sz w:val="21"/>
              </w:rPr>
              <w:t>How and when will the impact of the draft be evaluated and what measures will be applied?</w:t>
            </w:r>
          </w:p>
        </w:tc>
      </w:tr>
      <w:tr w:rsidR="00180385" w:rsidRPr="00E71FE2" w:rsidTr="00180385">
        <w:trPr>
          <w:gridAfter w:val="1"/>
          <w:wAfter w:w="10" w:type="dxa"/>
        </w:trPr>
        <w:tc>
          <w:tcPr>
            <w:tcW w:w="10937" w:type="dxa"/>
            <w:gridSpan w:val="28"/>
            <w:shd w:val="clear" w:color="auto" w:fill="FFFFFF"/>
          </w:tcPr>
          <w:p w:rsidR="00180385" w:rsidRPr="00E71FE2" w:rsidRDefault="00180385" w:rsidP="00180385">
            <w:pPr>
              <w:jc w:val="both"/>
            </w:pPr>
            <w:r>
              <w:t xml:space="preserve">Owing to the nature of the proposed regulation, the evaluation will be ongoing and will entail monitoring the market and analysing applications and questions from businesses regarding the implementation of the regulation's provisions. </w:t>
            </w:r>
          </w:p>
        </w:tc>
      </w:tr>
      <w:tr w:rsidR="00180385" w:rsidRPr="002839FB" w:rsidTr="00180385">
        <w:trPr>
          <w:gridAfter w:val="1"/>
          <w:wAfter w:w="10" w:type="dxa"/>
        </w:trPr>
        <w:tc>
          <w:tcPr>
            <w:tcW w:w="10937" w:type="dxa"/>
            <w:gridSpan w:val="28"/>
            <w:shd w:val="clear" w:color="auto" w:fill="99CCFF"/>
          </w:tcPr>
          <w:p w:rsidR="00180385" w:rsidRPr="00E11E28" w:rsidRDefault="00180385" w:rsidP="00180385">
            <w:pPr>
              <w:numPr>
                <w:ilvl w:val="0"/>
                <w:numId w:val="1"/>
              </w:numPr>
              <w:spacing w:before="60" w:after="60"/>
              <w:jc w:val="both"/>
              <w:rPr>
                <w:lang w:val="fr-FR"/>
              </w:rPr>
            </w:pPr>
            <w:r w:rsidRPr="00E11E28">
              <w:rPr>
                <w:b/>
                <w:color w:val="000000"/>
                <w:lang w:val="fr-FR"/>
              </w:rPr>
              <w:t xml:space="preserve">Annexes (important source documents, research, analyses, etc.) </w:t>
            </w:r>
          </w:p>
        </w:tc>
      </w:tr>
      <w:tr w:rsidR="00180385" w:rsidRPr="00E71FE2" w:rsidTr="00180385">
        <w:trPr>
          <w:gridAfter w:val="1"/>
          <w:wAfter w:w="10" w:type="dxa"/>
        </w:trPr>
        <w:tc>
          <w:tcPr>
            <w:tcW w:w="10937" w:type="dxa"/>
            <w:gridSpan w:val="28"/>
            <w:shd w:val="clear" w:color="auto" w:fill="FFFFFF"/>
          </w:tcPr>
          <w:p w:rsidR="00180385" w:rsidRDefault="00180385" w:rsidP="00180385">
            <w:pPr>
              <w:jc w:val="both"/>
              <w:rPr>
                <w:color w:val="000000"/>
              </w:rPr>
            </w:pPr>
            <w:r>
              <w:rPr>
                <w:color w:val="000000"/>
              </w:rPr>
              <w:t>None</w:t>
            </w:r>
          </w:p>
          <w:p w:rsidR="00180385" w:rsidRPr="00E71FE2" w:rsidRDefault="00180385" w:rsidP="00180385">
            <w:pPr>
              <w:jc w:val="both"/>
              <w:rPr>
                <w:color w:val="000000"/>
              </w:rPr>
            </w:pPr>
          </w:p>
        </w:tc>
      </w:tr>
    </w:tbl>
    <w:p w:rsidR="00180385" w:rsidRPr="00E71FE2" w:rsidRDefault="00180385" w:rsidP="00180385"/>
    <w:p w:rsidR="00180385" w:rsidRPr="00E71FE2" w:rsidRDefault="00180385" w:rsidP="00180385"/>
    <w:p w:rsidR="00180385" w:rsidRDefault="00180385"/>
    <w:sectPr w:rsidR="00180385" w:rsidSect="001803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557" w:rsidRDefault="00B86557">
      <w:r>
        <w:separator/>
      </w:r>
    </w:p>
  </w:endnote>
  <w:endnote w:type="continuationSeparator" w:id="0">
    <w:p w:rsidR="00B86557" w:rsidRDefault="00B8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557" w:rsidRDefault="00B86557">
      <w:r>
        <w:separator/>
      </w:r>
    </w:p>
  </w:footnote>
  <w:footnote w:type="continuationSeparator" w:id="0">
    <w:p w:rsidR="00B86557" w:rsidRDefault="00B86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A41E7"/>
    <w:multiLevelType w:val="hybridMultilevel"/>
    <w:tmpl w:val="FBDE3B08"/>
    <w:lvl w:ilvl="0" w:tplc="680E46FE">
      <w:start w:val="1"/>
      <w:numFmt w:val="decimal"/>
      <w:lvlText w:val="%1."/>
      <w:lvlJc w:val="left"/>
      <w:pPr>
        <w:tabs>
          <w:tab w:val="num" w:pos="360"/>
        </w:tabs>
        <w:ind w:left="360" w:hanging="360"/>
      </w:pPr>
      <w:rPr>
        <w:rFonts w:cs="Times New Roman" w:hint="default"/>
        <w:b/>
      </w:rPr>
    </w:lvl>
    <w:lvl w:ilvl="1" w:tplc="04150001">
      <w:start w:val="1"/>
      <w:numFmt w:val="bullet"/>
      <w:lvlText w:val=""/>
      <w:lvlJc w:val="left"/>
      <w:pPr>
        <w:ind w:left="1440" w:hanging="360"/>
      </w:pPr>
      <w:rPr>
        <w:rFonts w:ascii="Symbol" w:hAnsi="Symbol" w:hint="default"/>
        <w:b/>
      </w:rPr>
    </w:lvl>
    <w:lvl w:ilvl="2" w:tplc="ECB8D498">
      <w:start w:val="1"/>
      <w:numFmt w:val="decimal"/>
      <w:lvlText w:val="%3)"/>
      <w:lvlJc w:val="left"/>
      <w:pPr>
        <w:ind w:left="2360" w:hanging="38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85"/>
    <w:rsid w:val="00000B81"/>
    <w:rsid w:val="00180385"/>
    <w:rsid w:val="002839FB"/>
    <w:rsid w:val="00733135"/>
    <w:rsid w:val="008803C5"/>
    <w:rsid w:val="00A22B7B"/>
    <w:rsid w:val="00B60B51"/>
    <w:rsid w:val="00B86557"/>
    <w:rsid w:val="00BA1AB1"/>
    <w:rsid w:val="00C12297"/>
    <w:rsid w:val="00CD3157"/>
    <w:rsid w:val="00E11E28"/>
    <w:rsid w:val="00E81195"/>
    <w:rsid w:val="00E86770"/>
    <w:rsid w:val="00F9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653277-295E-420F-8AF0-092FF21B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80385"/>
    <w:rPr>
      <w:b/>
    </w:rPr>
  </w:style>
  <w:style w:type="character" w:customStyle="1" w:styleId="tw4winMark">
    <w:name w:val="tw4winMark"/>
    <w:rsid w:val="00180385"/>
    <w:rPr>
      <w:rFonts w:ascii="Courier New" w:hAnsi="Courier New"/>
      <w:vanish/>
      <w:color w:val="800080"/>
      <w:vertAlign w:val="subscript"/>
    </w:rPr>
  </w:style>
  <w:style w:type="paragraph" w:styleId="Header">
    <w:name w:val="header"/>
    <w:basedOn w:val="Normal"/>
    <w:link w:val="HeaderChar"/>
    <w:rsid w:val="00E11E28"/>
    <w:pPr>
      <w:tabs>
        <w:tab w:val="center" w:pos="4320"/>
        <w:tab w:val="right" w:pos="8640"/>
      </w:tabs>
    </w:pPr>
  </w:style>
  <w:style w:type="character" w:customStyle="1" w:styleId="HeaderChar">
    <w:name w:val="Header Char"/>
    <w:link w:val="Header"/>
    <w:rsid w:val="00E11E28"/>
    <w:rPr>
      <w:sz w:val="24"/>
      <w:szCs w:val="24"/>
      <w:lang w:val="en-GB" w:eastAsia="pl-PL"/>
    </w:rPr>
  </w:style>
  <w:style w:type="paragraph" w:styleId="Footer">
    <w:name w:val="footer"/>
    <w:basedOn w:val="Normal"/>
    <w:link w:val="FooterChar"/>
    <w:rsid w:val="00E11E28"/>
    <w:pPr>
      <w:tabs>
        <w:tab w:val="center" w:pos="4320"/>
        <w:tab w:val="right" w:pos="8640"/>
      </w:tabs>
    </w:pPr>
  </w:style>
  <w:style w:type="character" w:customStyle="1" w:styleId="FooterChar">
    <w:name w:val="Footer Char"/>
    <w:link w:val="Footer"/>
    <w:rsid w:val="00E11E28"/>
    <w:rPr>
      <w:sz w:val="24"/>
      <w:szCs w:val="24"/>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1876</Words>
  <Characters>10699</Characters>
  <Application>Microsoft Office Word</Application>
  <DocSecurity>0</DocSecurity>
  <Lines>89</Lines>
  <Paragraphs>25</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1</vt:lpstr>
      <vt:lpstr>1</vt:lpstr>
      <vt:lpstr>1</vt:lpstr>
    </vt:vector>
  </TitlesOfParts>
  <Company>euroscript Deutschland GmbH</Company>
  <LinksUpToDate>false</LinksUpToDate>
  <CharactersWithSpaces>12550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listtwist</dc:creator>
  <cp:keywords/>
  <cp:lastModifiedBy>Ke, Tingting</cp:lastModifiedBy>
  <cp:revision>4</cp:revision>
  <dcterms:created xsi:type="dcterms:W3CDTF">2018-03-23T07:16:00Z</dcterms:created>
  <dcterms:modified xsi:type="dcterms:W3CDTF">2018-03-23T10:03:00Z</dcterms:modified>
</cp:coreProperties>
</file>