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F48D2F" w14:textId="3514BA3B" w:rsidR="00933EA2" w:rsidRPr="00933EA2" w:rsidRDefault="00933EA2" w:rsidP="00933EA2">
      <w:pPr>
        <w:rPr>
          <w:rFonts w:ascii="Courier New" w:hAnsi="Courier New" w:cs="Courier New"/>
          <w:sz w:val="20"/>
        </w:rPr>
      </w:pPr>
      <w:r>
        <w:rPr>
          <w:rFonts w:ascii="Courier New" w:hAnsi="Courier New"/>
          <w:sz w:val="20"/>
        </w:rPr>
        <w:t>1. ------IND- 2019 0632 F-</w:t>
      </w:r>
      <w:r w:rsidR="000B24A0">
        <w:rPr>
          <w:rFonts w:ascii="Courier New" w:hAnsi="Courier New"/>
          <w:sz w:val="20"/>
        </w:rPr>
        <w:t>-</w:t>
      </w:r>
      <w:bookmarkStart w:id="0" w:name="_GoBack"/>
      <w:bookmarkEnd w:id="0"/>
      <w:r>
        <w:rPr>
          <w:rFonts w:ascii="Courier New" w:hAnsi="Courier New"/>
          <w:sz w:val="20"/>
        </w:rPr>
        <w:t xml:space="preserve"> PL- ------ 20191224 --- --- PROJET</w:t>
      </w:r>
    </w:p>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045126" w:rsidRPr="00933EA2" w14:paraId="7C8CC528" w14:textId="77777777" w:rsidTr="00B86A8C">
        <w:trPr>
          <w:cantSplit/>
        </w:trPr>
        <w:tc>
          <w:tcPr>
            <w:tcW w:w="3982" w:type="dxa"/>
            <w:gridSpan w:val="3"/>
          </w:tcPr>
          <w:p w14:paraId="1717866D" w14:textId="77777777" w:rsidR="00045126" w:rsidRPr="00933EA2" w:rsidRDefault="00045126" w:rsidP="00933EA2">
            <w:pPr>
              <w:pStyle w:val="SNREPUBLIQUE"/>
            </w:pPr>
            <w:r>
              <w:t>REPUBLIKA FRANCUSKA</w:t>
            </w:r>
          </w:p>
        </w:tc>
      </w:tr>
      <w:tr w:rsidR="0091270F" w14:paraId="50F03A9B" w14:textId="77777777" w:rsidTr="00B86A8C">
        <w:trPr>
          <w:cantSplit/>
          <w:trHeight w:hRule="exact" w:val="113"/>
        </w:trPr>
        <w:tc>
          <w:tcPr>
            <w:tcW w:w="1527" w:type="dxa"/>
          </w:tcPr>
          <w:p w14:paraId="3F748D43" w14:textId="77777777" w:rsidR="00045126" w:rsidRPr="00933EA2" w:rsidRDefault="00045126" w:rsidP="00933EA2"/>
        </w:tc>
        <w:tc>
          <w:tcPr>
            <w:tcW w:w="968" w:type="dxa"/>
          </w:tcPr>
          <w:p w14:paraId="755C1562" w14:textId="77777777" w:rsidR="00045126" w:rsidRPr="00933EA2" w:rsidRDefault="00045126" w:rsidP="00933EA2"/>
        </w:tc>
        <w:tc>
          <w:tcPr>
            <w:tcW w:w="1487" w:type="dxa"/>
          </w:tcPr>
          <w:p w14:paraId="68AD4CD5" w14:textId="77777777" w:rsidR="00045126" w:rsidRPr="00933EA2" w:rsidRDefault="00045126" w:rsidP="00933EA2"/>
        </w:tc>
      </w:tr>
      <w:tr w:rsidR="00045126" w:rsidRPr="00933EA2" w14:paraId="383AF8A9" w14:textId="77777777" w:rsidTr="00B86A8C">
        <w:trPr>
          <w:cantSplit/>
        </w:trPr>
        <w:tc>
          <w:tcPr>
            <w:tcW w:w="3982" w:type="dxa"/>
            <w:gridSpan w:val="3"/>
          </w:tcPr>
          <w:p w14:paraId="75B4E826" w14:textId="77777777" w:rsidR="00045126" w:rsidRPr="00933EA2" w:rsidRDefault="00045126" w:rsidP="00933EA2">
            <w:pPr>
              <w:pStyle w:val="SNTimbre"/>
              <w:widowControl/>
            </w:pPr>
            <w:r>
              <w:t>Ministerstwo Działań i Finansów Publicznych</w:t>
            </w:r>
          </w:p>
        </w:tc>
      </w:tr>
      <w:tr w:rsidR="0091270F" w14:paraId="024172B3" w14:textId="77777777" w:rsidTr="00B86A8C">
        <w:trPr>
          <w:cantSplit/>
          <w:trHeight w:hRule="exact" w:val="227"/>
        </w:trPr>
        <w:tc>
          <w:tcPr>
            <w:tcW w:w="1527" w:type="dxa"/>
          </w:tcPr>
          <w:p w14:paraId="496232CD" w14:textId="77777777" w:rsidR="00045126" w:rsidRPr="00933EA2" w:rsidRDefault="00045126" w:rsidP="00933EA2"/>
        </w:tc>
        <w:tc>
          <w:tcPr>
            <w:tcW w:w="968" w:type="dxa"/>
          </w:tcPr>
          <w:p w14:paraId="5743C048" w14:textId="77777777" w:rsidR="00045126" w:rsidRPr="00933EA2" w:rsidRDefault="00045126" w:rsidP="00933EA2"/>
        </w:tc>
        <w:tc>
          <w:tcPr>
            <w:tcW w:w="1487" w:type="dxa"/>
          </w:tcPr>
          <w:p w14:paraId="5D3473E1" w14:textId="77777777" w:rsidR="00045126" w:rsidRPr="00933EA2" w:rsidRDefault="00045126" w:rsidP="00933EA2"/>
        </w:tc>
      </w:tr>
      <w:tr w:rsidR="00045126" w:rsidRPr="00933EA2" w14:paraId="4B4D343E" w14:textId="77777777" w:rsidTr="00B86A8C">
        <w:trPr>
          <w:cantSplit/>
          <w:trHeight w:hRule="exact" w:val="227"/>
        </w:trPr>
        <w:tc>
          <w:tcPr>
            <w:tcW w:w="1527" w:type="dxa"/>
          </w:tcPr>
          <w:p w14:paraId="1A5B03E9" w14:textId="77777777" w:rsidR="00045126" w:rsidRPr="00933EA2" w:rsidRDefault="00045126" w:rsidP="00933EA2"/>
        </w:tc>
        <w:tc>
          <w:tcPr>
            <w:tcW w:w="968" w:type="dxa"/>
          </w:tcPr>
          <w:p w14:paraId="30B1D291" w14:textId="77777777" w:rsidR="00045126" w:rsidRPr="00933EA2" w:rsidRDefault="00045126" w:rsidP="00933EA2"/>
        </w:tc>
        <w:tc>
          <w:tcPr>
            <w:tcW w:w="1487" w:type="dxa"/>
          </w:tcPr>
          <w:p w14:paraId="30E7E51C" w14:textId="77777777" w:rsidR="00045126" w:rsidRPr="00933EA2" w:rsidRDefault="00045126" w:rsidP="00933EA2"/>
        </w:tc>
      </w:tr>
    </w:tbl>
    <w:p w14:paraId="6BDA1CE4" w14:textId="77777777" w:rsidR="00045126" w:rsidRPr="00933EA2" w:rsidRDefault="00045126" w:rsidP="00933EA2">
      <w:pPr>
        <w:pStyle w:val="SNNature"/>
        <w:keepNext/>
        <w:keepLines/>
        <w:widowControl/>
      </w:pPr>
      <w:r>
        <w:t xml:space="preserve">Projekt dekretu w sprawie zasad regulacji Krajowego Urzędu Gier </w:t>
      </w:r>
    </w:p>
    <w:p w14:paraId="29934606" w14:textId="77777777" w:rsidR="00045126" w:rsidRPr="00933EA2" w:rsidRDefault="00045126" w:rsidP="00933EA2">
      <w:pPr>
        <w:pStyle w:val="SNNORCentr"/>
        <w:keepNext/>
        <w:keepLines/>
      </w:pPr>
      <w:r>
        <w:t>NR REF: CPAB1930945D</w:t>
      </w:r>
    </w:p>
    <w:p w14:paraId="11F21CF0" w14:textId="4B47273D" w:rsidR="00045126" w:rsidRPr="00933EA2" w:rsidRDefault="00045126" w:rsidP="00933EA2">
      <w:pPr>
        <w:pStyle w:val="SNAutorit"/>
        <w:keepNext/>
        <w:keepLines/>
        <w:jc w:val="both"/>
        <w:rPr>
          <w:b w:val="0"/>
          <w:i/>
        </w:rPr>
      </w:pPr>
      <w:r>
        <w:rPr>
          <w:i/>
        </w:rPr>
        <w:t xml:space="preserve">Grupy docelowe: </w:t>
      </w:r>
      <w:r>
        <w:rPr>
          <w:b w:val="0"/>
          <w:i/>
        </w:rPr>
        <w:t xml:space="preserve">Krajowy Urząd Gier, podmioty urządzające gry i zakłady online, spółka La Française des jeux. </w:t>
      </w:r>
    </w:p>
    <w:p w14:paraId="104CE4FA" w14:textId="714CD7D5" w:rsidR="00045126" w:rsidRPr="00933EA2" w:rsidRDefault="00045126" w:rsidP="00933EA2">
      <w:pPr>
        <w:pStyle w:val="SNAutorit"/>
        <w:spacing w:before="120"/>
        <w:jc w:val="both"/>
        <w:rPr>
          <w:b w:val="0"/>
          <w:i/>
        </w:rPr>
      </w:pPr>
      <w:r>
        <w:rPr>
          <w:i/>
        </w:rPr>
        <w:t>Przedmiot: zasady regulacji Krajowego Urzędu Gier</w:t>
      </w:r>
    </w:p>
    <w:p w14:paraId="70F910BA" w14:textId="3E2436C7" w:rsidR="00045126" w:rsidRPr="00933EA2" w:rsidRDefault="00045126" w:rsidP="00933EA2">
      <w:pPr>
        <w:pStyle w:val="SNAutorit"/>
        <w:spacing w:before="120"/>
        <w:jc w:val="both"/>
        <w:rPr>
          <w:b w:val="0"/>
          <w:i/>
        </w:rPr>
      </w:pPr>
      <w:r>
        <w:rPr>
          <w:i/>
        </w:rPr>
        <w:t>Wejście w życie: w dniu 15 marca 2020 r., z wyjątkiem art. 45 i 46, które wchodzą w życie wraz z pierwszym zebraniem kolegium Krajowego Urzędu Gier, oraz art. D. 320-10 i D. 320-12 kodeksu bezpieczeństwa wewnętrznego w brzmieniu nadanym niniejszym dekretem, które wchodzą w życie w dniu 1 kwietnia 2020 r.</w:t>
      </w:r>
    </w:p>
    <w:p w14:paraId="1E039B78" w14:textId="1C4A8FD9" w:rsidR="00045126" w:rsidRPr="00933EA2" w:rsidRDefault="00045126" w:rsidP="00933EA2">
      <w:pPr>
        <w:pStyle w:val="SNAutorit"/>
        <w:spacing w:before="120"/>
        <w:jc w:val="both"/>
        <w:rPr>
          <w:b w:val="0"/>
          <w:i/>
        </w:rPr>
      </w:pPr>
      <w:r>
        <w:rPr>
          <w:i/>
        </w:rPr>
        <w:t xml:space="preserve">Uwaga: </w:t>
      </w:r>
      <w:r>
        <w:rPr>
          <w:b w:val="0"/>
          <w:i/>
        </w:rPr>
        <w:t>art. 137 ustawy nr 2019-486 z dnia 22 maja 2019 r. o wzroście i przekształcaniu przedsiębiorstw przewiduje upoważnienie rządu do podejmowania środków w drodze rozporządzenia w celu zreformowania przepisów regulujących sektor gier pieniężnych i hazardowych. Zakres upoważnienia obejmuje również zasady regulacji sektora gier pieniężnych i hazardowych, w szczególności przepisy mające zastosowanie do organu wspomnianego w art. 34 ustawy nr 2010-476 z dnia 12 maja 2010 r. o otwarciu na konkurencję i regulacji sektora gier pieniężnych i hazardowych online, z myślą o wdrożeniu niezależnego organu administracji do celów nadzoru i regulacji, wyposażonego w gwarancje niezależności odpowiednie do jego zadań. Celem niniejszego dekretu jest określenie zasad regulacji prowadzonych przez Krajowy Urząd Gier.</w:t>
      </w:r>
    </w:p>
    <w:p w14:paraId="0B7013A7" w14:textId="77777777" w:rsidR="0084714D" w:rsidRPr="00933EA2" w:rsidRDefault="00045126" w:rsidP="00933EA2">
      <w:pPr>
        <w:pStyle w:val="SNAutorit"/>
        <w:spacing w:before="120"/>
        <w:jc w:val="both"/>
        <w:rPr>
          <w:b w:val="0"/>
          <w:i/>
        </w:rPr>
      </w:pPr>
      <w:r>
        <w:rPr>
          <w:i/>
        </w:rPr>
        <w:t xml:space="preserve">Teksty podstawowe: </w:t>
      </w:r>
      <w:r>
        <w:t xml:space="preserve">z tekstem niniejszego dekretu i kodeksem bezpieczeństwa wewnętrznego, w którym wprowadza on zmiany, w brzmieniu będącym wynikiem zmiany, można zapoznać się w witrynie Légifrance </w:t>
      </w:r>
      <w:r>
        <w:rPr>
          <w:b w:val="0"/>
          <w:i/>
        </w:rPr>
        <w:t>(</w:t>
      </w:r>
      <w:hyperlink r:id="rId5" w:history="1">
        <w:r>
          <w:rPr>
            <w:rStyle w:val="Hyperlink"/>
            <w:b w:val="0"/>
            <w:i/>
          </w:rPr>
          <w:t>http://www.legifrance.gouv.fr</w:t>
        </w:r>
      </w:hyperlink>
      <w:r>
        <w:rPr>
          <w:b w:val="0"/>
          <w:i/>
        </w:rPr>
        <w:t>).</w:t>
      </w:r>
    </w:p>
    <w:p w14:paraId="65AEA4F7" w14:textId="77777777" w:rsidR="00045126" w:rsidRPr="00933EA2" w:rsidRDefault="0084714D" w:rsidP="00933EA2">
      <w:pPr>
        <w:pStyle w:val="SNAutorit"/>
        <w:spacing w:before="120"/>
        <w:jc w:val="both"/>
        <w:rPr>
          <w:b w:val="0"/>
          <w:i/>
        </w:rPr>
      </w:pPr>
      <w:r>
        <w:t>Premier,</w:t>
      </w:r>
    </w:p>
    <w:p w14:paraId="77FB7384" w14:textId="77777777" w:rsidR="00045126" w:rsidRPr="00933EA2" w:rsidRDefault="00045126" w:rsidP="00933EA2">
      <w:pPr>
        <w:pStyle w:val="SNRapport"/>
      </w:pPr>
      <w:r>
        <w:t>na podstawie sprawozdania Ministra Finansów i Gospodarki, Ministra Działań i Finansów Publicznych oraz Minister Sportu,</w:t>
      </w:r>
    </w:p>
    <w:p w14:paraId="048B7C5A" w14:textId="283A761A" w:rsidR="0084714D" w:rsidRPr="00933EA2" w:rsidRDefault="0084714D" w:rsidP="00933EA2">
      <w:pPr>
        <w:pStyle w:val="SNRapport"/>
      </w:pPr>
      <w:r>
        <w:t>uwzględniając dyrektywę (UE) 2015/1535 Parlamentu Europejskiego i Rady z dnia 9 września 2015 r. ustanawiającą procedurę udzielania informacji w dziedzinie przepisów technicznych oraz zasad dotyczących usług społeczeństwa informacyjnego,</w:t>
      </w:r>
    </w:p>
    <w:p w14:paraId="762E43A9" w14:textId="30280945" w:rsidR="0084714D" w:rsidRPr="00933EA2" w:rsidRDefault="0084714D" w:rsidP="00933EA2">
      <w:pPr>
        <w:pStyle w:val="SNRapport"/>
      </w:pPr>
      <w:r>
        <w:t>uwzględniając kodeks cywilny, w szczególności jego art. 1,</w:t>
      </w:r>
    </w:p>
    <w:p w14:paraId="67E6A8B9" w14:textId="763AF4B2" w:rsidR="00045126" w:rsidRPr="00933EA2" w:rsidRDefault="00045126" w:rsidP="00933EA2">
      <w:pPr>
        <w:pStyle w:val="SNRapport"/>
      </w:pPr>
      <w:r>
        <w:t>uwzględniając kodeks monetarny i finansowy,</w:t>
      </w:r>
    </w:p>
    <w:p w14:paraId="16E3A4A4" w14:textId="40CCBA92" w:rsidR="00045126" w:rsidRPr="00933EA2" w:rsidRDefault="00045126" w:rsidP="00933EA2">
      <w:pPr>
        <w:pStyle w:val="SNRapport"/>
      </w:pPr>
      <w:r>
        <w:lastRenderedPageBreak/>
        <w:t>uwzględniając kodeks bezpieczeństwa wewnętrznego, w szczególności tytuł II i tytuł IV księgi III,</w:t>
      </w:r>
    </w:p>
    <w:p w14:paraId="362FDC7A" w14:textId="6A0DCA31" w:rsidR="00D13FBA" w:rsidRPr="00933EA2" w:rsidRDefault="00D13FBA" w:rsidP="00933EA2">
      <w:pPr>
        <w:pStyle w:val="SNRapport"/>
      </w:pPr>
      <w:r>
        <w:t>uwzględniając kodeks sportu,</w:t>
      </w:r>
    </w:p>
    <w:p w14:paraId="652A174C" w14:textId="77777777" w:rsidR="00045126" w:rsidRPr="00933EA2" w:rsidRDefault="00045126" w:rsidP="00933EA2">
      <w:pPr>
        <w:pStyle w:val="SNRapport"/>
      </w:pPr>
      <w:r>
        <w:t>uwzględniając ustawę nr 2010-476 z dnia 12 maja 2010 r. o otwarciu na konkurencję i regulacji sektora gier pieniężnych i hazardowych online, ze zmianami,</w:t>
      </w:r>
    </w:p>
    <w:p w14:paraId="1ACCBCCB" w14:textId="77777777" w:rsidR="00142531" w:rsidRPr="00933EA2" w:rsidRDefault="00045126" w:rsidP="00933EA2">
      <w:pPr>
        <w:pStyle w:val="SNRapport"/>
      </w:pPr>
      <w:r>
        <w:t>uwzględniając ustawę nr 2019-486 z dnia 22 maja 2019 r. o wzroście i przekształcaniu przedsiębiorstw, w szczególności jej art. 137,</w:t>
      </w:r>
    </w:p>
    <w:p w14:paraId="3B7366BA" w14:textId="1F3FEC7F" w:rsidR="00045126" w:rsidRPr="00933EA2" w:rsidRDefault="00045126" w:rsidP="00933EA2">
      <w:pPr>
        <w:pStyle w:val="SNRapport"/>
      </w:pPr>
      <w:r>
        <w:t>uwzględniając zarządzenie nr 2019-1015 z dnia 2 października 2019 r. reformujące przepisy dotyczące gier pieniężnych i hazardowych,</w:t>
      </w:r>
    </w:p>
    <w:p w14:paraId="5538C323" w14:textId="77777777" w:rsidR="001A3887" w:rsidRPr="00933EA2" w:rsidRDefault="001A3887" w:rsidP="00933EA2">
      <w:pPr>
        <w:pStyle w:val="SNRapport"/>
      </w:pPr>
      <w:r>
        <w:rPr>
          <w:highlight w:val="yellow"/>
        </w:rPr>
        <w:t>uwzględniając dekret nr z dnia XX XX XXXX w sprawie zasad udostępniania oferty gier i danych z gier (CPAB1926918D),</w:t>
      </w:r>
    </w:p>
    <w:p w14:paraId="7DA3002F" w14:textId="7A04B1C4" w:rsidR="00142531" w:rsidRPr="00933EA2" w:rsidRDefault="00BC35EB" w:rsidP="00933EA2">
      <w:pPr>
        <w:pStyle w:val="SNRapport"/>
      </w:pPr>
      <w:r>
        <w:t>uwzględniając dekret nr 2019-1060 z dnia 17 października 2019 r. w sprawie zasad stosowania przez państwo ścisłej kontroli nad spółką La Française des jeux,</w:t>
      </w:r>
    </w:p>
    <w:p w14:paraId="714B0F8B" w14:textId="1364CCA8" w:rsidR="00142531" w:rsidRPr="00933EA2" w:rsidRDefault="00142531" w:rsidP="00933EA2">
      <w:pPr>
        <w:pStyle w:val="SNRapport"/>
      </w:pPr>
      <w:r>
        <w:t>uwzględniając dekret nr 2019-1061 z dnia 17 października 2019 r. w sprawie oferty gier spółki La Française des jeux i ugrupowania interesów gospodarczych „Pari mutuel urbain”,</w:t>
      </w:r>
    </w:p>
    <w:p w14:paraId="0BBA6677" w14:textId="77777777" w:rsidR="00045126" w:rsidRPr="00933EA2" w:rsidRDefault="00045126" w:rsidP="00933EA2">
      <w:pPr>
        <w:pStyle w:val="SNActe"/>
        <w:keepNext/>
        <w:keepLines/>
      </w:pPr>
      <w:r>
        <w:t>wydaje dekret o następującej treści:</w:t>
      </w:r>
    </w:p>
    <w:p w14:paraId="08F9A76B" w14:textId="71C8A30A" w:rsidR="007E61D1" w:rsidRPr="00933EA2" w:rsidRDefault="00DD75EA" w:rsidP="00933EA2">
      <w:pPr>
        <w:pStyle w:val="SNArticle"/>
        <w:keepNext/>
        <w:keepLines/>
      </w:pPr>
      <w:r>
        <w:t>TYTUŁ I: ZASADY KONTROLI I STOSOWANIA OBOWIĄZKÓW PODMIOTÓW URZĄDZAJĄCYCH GRY I ZAKŁADY</w:t>
      </w:r>
    </w:p>
    <w:p w14:paraId="6C987295" w14:textId="77777777" w:rsidR="007E61D1" w:rsidRPr="00933EA2" w:rsidRDefault="007E61D1" w:rsidP="00933EA2">
      <w:pPr>
        <w:keepNext/>
        <w:keepLines/>
        <w:jc w:val="center"/>
        <w:rPr>
          <w:b/>
        </w:rPr>
      </w:pPr>
      <w:r>
        <w:rPr>
          <w:b/>
        </w:rPr>
        <w:t>Artykuł 1</w:t>
      </w:r>
    </w:p>
    <w:p w14:paraId="6C33AEB4" w14:textId="77777777" w:rsidR="00813F86" w:rsidRPr="00933EA2" w:rsidRDefault="00813F86" w:rsidP="00933EA2">
      <w:pPr>
        <w:keepNext/>
        <w:keepLines/>
        <w:jc w:val="both"/>
      </w:pPr>
    </w:p>
    <w:p w14:paraId="5B20680E" w14:textId="0AB15F64" w:rsidR="00794988" w:rsidRPr="00933EA2" w:rsidRDefault="00794988" w:rsidP="00933EA2">
      <w:pPr>
        <w:jc w:val="both"/>
      </w:pPr>
      <w:r>
        <w:t xml:space="preserve">Do celów stosowania przepisów wyżej wspomnianej ustawy z dnia 12 maja 2010 r. art. 34 ust. IX akapit drugi przedsiębiorstwo prowadzące kasyno lub salon gier i należące do grupy przedsiębiorstw prowadzących kasyna lub salony gier może przedstawić do zatwierdzenia przez Krajowy Urząd Gier wspólny plan działania dla wszystkich przedsiębiorstw z tej grupy. W takim przypadku plan działania zawiera wykaz przedsiębiorstw należących do tej grupy. </w:t>
      </w:r>
    </w:p>
    <w:p w14:paraId="0C8DEB8A" w14:textId="77777777" w:rsidR="00794988" w:rsidRPr="00933EA2" w:rsidRDefault="00794988" w:rsidP="00933EA2">
      <w:pPr>
        <w:jc w:val="both"/>
        <w:rPr>
          <w:rFonts w:asciiTheme="minorHAnsi" w:eastAsiaTheme="minorHAnsi" w:hAnsiTheme="minorHAnsi" w:cstheme="minorBidi"/>
          <w:sz w:val="20"/>
          <w:szCs w:val="20"/>
          <w:lang w:eastAsia="en-US"/>
        </w:rPr>
      </w:pPr>
    </w:p>
    <w:p w14:paraId="38A16952" w14:textId="77777777" w:rsidR="00794988" w:rsidRPr="00933EA2" w:rsidRDefault="00794988" w:rsidP="00933EA2">
      <w:pPr>
        <w:jc w:val="both"/>
      </w:pPr>
      <w:r>
        <w:t xml:space="preserve">Do celów stosowania przepisów wyżej wspomnianej ustawy z dnia 12 maja 2010 r., art. 34 ust. IX akapit drugi, przedsiębiorstwo prowadzące dwa lub więcej kasyn i salonów gier może przedstawić do zatwierdzenia przez Krajowy Urząd Gier wspólny plan działania mający zastosowanie do tych kasyn lub salonów gier. W takim przypadku plan działania zawiera wykaz kasyn i salonów gier. </w:t>
      </w:r>
    </w:p>
    <w:p w14:paraId="23525345" w14:textId="77777777" w:rsidR="00794988" w:rsidRPr="00933EA2" w:rsidRDefault="00794988" w:rsidP="00933EA2">
      <w:pPr>
        <w:jc w:val="both"/>
      </w:pPr>
    </w:p>
    <w:p w14:paraId="4C768112" w14:textId="285147CC" w:rsidR="007E61D1" w:rsidRPr="00933EA2" w:rsidRDefault="00794988" w:rsidP="00933EA2">
      <w:pPr>
        <w:jc w:val="both"/>
      </w:pPr>
      <w:r>
        <w:t>W przypadku gdy Krajowy Urząd Gier korzysta z uprawnień przewidzianych w akapitach pierwszym i drugim, może zażądać przekazania dowolnego dokumentu lub informacji uzupełniających przed wyrażeniem opinii na temat przedstawionego mu wniosku o zatwierdzenie.</w:t>
      </w:r>
    </w:p>
    <w:p w14:paraId="513C2CC2" w14:textId="77777777" w:rsidR="00794988" w:rsidRPr="00933EA2" w:rsidRDefault="00794988" w:rsidP="00933EA2">
      <w:pPr>
        <w:jc w:val="both"/>
      </w:pPr>
    </w:p>
    <w:p w14:paraId="79427271" w14:textId="77777777" w:rsidR="007E61D1" w:rsidRPr="00933EA2" w:rsidRDefault="007E61D1" w:rsidP="00933EA2">
      <w:pPr>
        <w:keepNext/>
        <w:keepLines/>
        <w:jc w:val="center"/>
        <w:rPr>
          <w:b/>
        </w:rPr>
      </w:pPr>
      <w:r>
        <w:rPr>
          <w:b/>
        </w:rPr>
        <w:t>Artykuł 2</w:t>
      </w:r>
    </w:p>
    <w:p w14:paraId="052D5044" w14:textId="77777777" w:rsidR="007E61D1" w:rsidRPr="00933EA2" w:rsidRDefault="007E61D1" w:rsidP="00933EA2">
      <w:pPr>
        <w:keepNext/>
        <w:keepLines/>
        <w:jc w:val="both"/>
        <w:rPr>
          <w:b/>
        </w:rPr>
      </w:pPr>
    </w:p>
    <w:p w14:paraId="366CF3E1" w14:textId="7CB58820" w:rsidR="007E61D1" w:rsidRPr="00933EA2" w:rsidRDefault="007E61D1" w:rsidP="00933EA2">
      <w:pPr>
        <w:jc w:val="both"/>
      </w:pPr>
      <w:r>
        <w:t xml:space="preserve">W przypadku torów wyścigowych plan działania wymieniony w wyżej wspomnianej ustawie z dnia 12 maja 2010 r., art. 34 ust. IX akapit drugi, można sporządzić wspólnie dla wielu spółek </w:t>
      </w:r>
      <w:r>
        <w:lastRenderedPageBreak/>
        <w:t>wyścigów konnych prowadzących te tory wyścigowe, pod warunkiem że plan ten stosują wszystkie te spółki. Plan działania zawiera wykaz objętych nim spółek wyścigów konnych i torów wyścigowych. Krajowy Urząd Gier może zażądać od każdej spółki wyścigów konnych przekazania dowolnego dokumentu uzupełniającego umożliwiającego ocenę jej planu działania w celu zapobiegania nadmiernej grze i graniu przez osoby nieletnie oraz promowania rozsądnej gry, a także bilansu realizacji tego planu za poprzedni rok.</w:t>
      </w:r>
    </w:p>
    <w:p w14:paraId="0CD4DAE7" w14:textId="77777777" w:rsidR="007E61D1" w:rsidRPr="00933EA2" w:rsidRDefault="007E61D1" w:rsidP="00933EA2">
      <w:pPr>
        <w:jc w:val="both"/>
      </w:pPr>
    </w:p>
    <w:p w14:paraId="5CDE936D" w14:textId="77777777" w:rsidR="007E61D1" w:rsidRPr="00933EA2" w:rsidRDefault="007E61D1" w:rsidP="00933EA2">
      <w:pPr>
        <w:keepNext/>
        <w:keepLines/>
        <w:jc w:val="center"/>
        <w:rPr>
          <w:b/>
        </w:rPr>
      </w:pPr>
      <w:r>
        <w:rPr>
          <w:b/>
        </w:rPr>
        <w:t>Artykuł 3</w:t>
      </w:r>
    </w:p>
    <w:p w14:paraId="61CAAFB0" w14:textId="77777777" w:rsidR="007E61D1" w:rsidRPr="00933EA2" w:rsidRDefault="007E61D1" w:rsidP="00933EA2">
      <w:pPr>
        <w:keepNext/>
        <w:keepLines/>
        <w:jc w:val="both"/>
        <w:rPr>
          <w:b/>
        </w:rPr>
      </w:pPr>
    </w:p>
    <w:p w14:paraId="37C2CCC7" w14:textId="77777777" w:rsidR="007E61D1" w:rsidRPr="00933EA2" w:rsidRDefault="007E61D1" w:rsidP="00933EA2">
      <w:pPr>
        <w:jc w:val="both"/>
      </w:pPr>
      <w:r>
        <w:t>W odniesieniu do torów wyścigowych spółki wyścigów konnych mogą zostać w indywidualnych przypadkach zwolnione z ustanawiania klasyfikacji zagrożeń przewidzianej w art. L.561-4-1 kodeksu monetarnego i finansowego i procedur kontroli wewnętrznej przewidzianych w art. L 561-32 tego samego kodeksu na rzecz wspólnego wdrożenia na szczeblu Krajowej Federacji Wyścigów Konnych, która zdaje z niego sprawozdanie Krajowemu Urzędowi Gier, przekazując wykaz objętych nim spółek wyścigów konnych i torów wyścigowych. W przypadku występowania szczególnych zagrożeń, w szczególności jeśli chodzi o wielkość oferty zakładów i wysokość zakładów, należy odpowiednio dostosować procedury. Krajowy Urząd Gier może zażądać od każdej spółki wyścigów konnych przekazania dowolnego dokumentu uzupełniającego umożliwiającego ocenę jej działań w zakresie walki z praniem pieniędzy i finansowaniem terroryzmu.</w:t>
      </w:r>
    </w:p>
    <w:p w14:paraId="4736BFF7" w14:textId="77777777" w:rsidR="007E61D1" w:rsidRPr="00933EA2" w:rsidRDefault="007E61D1" w:rsidP="00933EA2">
      <w:pPr>
        <w:jc w:val="both"/>
      </w:pPr>
    </w:p>
    <w:p w14:paraId="1A6F401F" w14:textId="77777777" w:rsidR="007E61D1" w:rsidRPr="00933EA2" w:rsidRDefault="007E61D1" w:rsidP="00933EA2">
      <w:pPr>
        <w:keepNext/>
        <w:keepLines/>
        <w:jc w:val="center"/>
        <w:rPr>
          <w:b/>
        </w:rPr>
      </w:pPr>
      <w:r>
        <w:rPr>
          <w:b/>
        </w:rPr>
        <w:t>Artykuł 4</w:t>
      </w:r>
    </w:p>
    <w:p w14:paraId="38FBB37D" w14:textId="77777777" w:rsidR="007E61D1" w:rsidRPr="00933EA2" w:rsidRDefault="007E61D1" w:rsidP="00933EA2">
      <w:pPr>
        <w:keepNext/>
        <w:keepLines/>
        <w:jc w:val="both"/>
        <w:rPr>
          <w:b/>
        </w:rPr>
      </w:pPr>
    </w:p>
    <w:p w14:paraId="2B218E2A" w14:textId="7DA8E983" w:rsidR="007E61D1" w:rsidRPr="00933EA2" w:rsidRDefault="007E61D1" w:rsidP="00933EA2">
      <w:pPr>
        <w:jc w:val="both"/>
      </w:pPr>
      <w:r>
        <w:t>W przypadku torów wyścigowych kontrolę można prowadzić na podstawie wspólnej dokumentacji dla wszystkich spółek wyścigowych korzystających z usług tego samego usługodawcy w zakresie dostarczania i utrzymania ich systemów informatycznych lub poprzez audyt systemów informatycznych tego samego usługodawcy. Krajowy Urząd Gier może zażądać od każdej spółki wyścigów konnych przekazania dowolnego dokumentu uzupełniającego.</w:t>
      </w:r>
    </w:p>
    <w:p w14:paraId="4157AD3C" w14:textId="77777777" w:rsidR="007E61D1" w:rsidRPr="00933EA2" w:rsidRDefault="007E61D1" w:rsidP="00933EA2">
      <w:pPr>
        <w:jc w:val="both"/>
      </w:pPr>
    </w:p>
    <w:p w14:paraId="5B9DB7AE" w14:textId="77777777" w:rsidR="007E61D1" w:rsidRPr="00933EA2" w:rsidRDefault="007E61D1" w:rsidP="00933EA2">
      <w:pPr>
        <w:keepNext/>
        <w:keepLines/>
        <w:jc w:val="center"/>
        <w:rPr>
          <w:b/>
        </w:rPr>
      </w:pPr>
      <w:r>
        <w:rPr>
          <w:b/>
        </w:rPr>
        <w:t>Artykuł 5</w:t>
      </w:r>
    </w:p>
    <w:p w14:paraId="4C9C62BB" w14:textId="77777777" w:rsidR="007E61D1" w:rsidRPr="00933EA2" w:rsidRDefault="007E61D1" w:rsidP="00933EA2">
      <w:pPr>
        <w:keepNext/>
        <w:keepLines/>
        <w:jc w:val="both"/>
        <w:rPr>
          <w:b/>
        </w:rPr>
      </w:pPr>
    </w:p>
    <w:p w14:paraId="26847594" w14:textId="77777777" w:rsidR="007E61D1" w:rsidRPr="00933EA2" w:rsidRDefault="007E61D1" w:rsidP="00933EA2">
      <w:pPr>
        <w:jc w:val="both"/>
      </w:pPr>
      <w:r>
        <w:t xml:space="preserve">Do marca każdego roku podmioty posiadające prawa wyłączne przedstawiają Krajowemu Urzędowi Gier sprawozdanie z wyszczególnieniem, za miniony rok, rzeczywistej kwoty budżetu odpowiadającej co najmniej 0,002 % stawek, finansowanych projektów badawczych posiadających zatwierdzenie organu wyznaczonego przez wspomniany dekret z dnia XX XXXX XXXX r. (CPAB1926918D) i przekazanej kwoty wkładu, zgodnie z przepisami wyżej wspomnianej ustawy z dnia 12 maja 2010 r., art. 3. </w:t>
      </w:r>
    </w:p>
    <w:p w14:paraId="429F79D8" w14:textId="77777777" w:rsidR="007E61D1" w:rsidRPr="00933EA2" w:rsidRDefault="007E61D1" w:rsidP="00933EA2">
      <w:pPr>
        <w:jc w:val="both"/>
      </w:pPr>
    </w:p>
    <w:p w14:paraId="7B122D74" w14:textId="2935AC69" w:rsidR="007E61D1" w:rsidRPr="00933EA2" w:rsidRDefault="00DD75EA" w:rsidP="00933EA2">
      <w:pPr>
        <w:keepNext/>
        <w:keepLines/>
        <w:jc w:val="both"/>
      </w:pPr>
      <w:r>
        <w:rPr>
          <w:b/>
        </w:rPr>
        <w:t>TYTUŁ II: ZASADY I WARUNKI ZATWIERDZANIA STRATEGII PROMOCYJNYCH PODMIOTÓW URZĄDZAJĄCYCH GRY I ZAKŁADY</w:t>
      </w:r>
    </w:p>
    <w:p w14:paraId="0366C11E" w14:textId="77777777" w:rsidR="007E61D1" w:rsidRPr="00933EA2" w:rsidRDefault="007E61D1" w:rsidP="00933EA2">
      <w:pPr>
        <w:keepNext/>
        <w:keepLines/>
        <w:jc w:val="both"/>
      </w:pPr>
    </w:p>
    <w:p w14:paraId="180B46AF" w14:textId="77777777" w:rsidR="007E61D1" w:rsidRPr="00933EA2" w:rsidRDefault="007E61D1" w:rsidP="00933EA2">
      <w:pPr>
        <w:keepNext/>
        <w:keepLines/>
        <w:tabs>
          <w:tab w:val="left" w:pos="225"/>
        </w:tabs>
        <w:jc w:val="center"/>
        <w:rPr>
          <w:b/>
          <w:bCs/>
        </w:rPr>
      </w:pPr>
      <w:r>
        <w:rPr>
          <w:b/>
          <w:bCs/>
        </w:rPr>
        <w:t>Artykuł 6</w:t>
      </w:r>
    </w:p>
    <w:p w14:paraId="03A3768D" w14:textId="77777777" w:rsidR="007E61D1" w:rsidRPr="00933EA2" w:rsidRDefault="007E61D1" w:rsidP="00933EA2">
      <w:pPr>
        <w:keepNext/>
        <w:keepLines/>
        <w:tabs>
          <w:tab w:val="left" w:pos="225"/>
        </w:tabs>
        <w:jc w:val="both"/>
        <w:rPr>
          <w:bCs/>
        </w:rPr>
      </w:pPr>
    </w:p>
    <w:p w14:paraId="3107C3EF" w14:textId="77777777" w:rsidR="007E61D1" w:rsidRPr="00933EA2" w:rsidRDefault="007E61D1" w:rsidP="00933EA2">
      <w:pPr>
        <w:keepNext/>
        <w:keepLines/>
        <w:tabs>
          <w:tab w:val="left" w:pos="225"/>
        </w:tabs>
        <w:jc w:val="both"/>
        <w:rPr>
          <w:bCs/>
        </w:rPr>
      </w:pPr>
      <w:r>
        <w:t xml:space="preserve">Do dnia 30 października każdego roku podmioty posiadający prawa wyłączne i podmioty urządzające gry lub zakłady online przekazują Krajowemu Urzędowi Gier do zatwierdzenia swoją strategię promocyjną na dowolnym nośniku. </w:t>
      </w:r>
    </w:p>
    <w:p w14:paraId="11F470F5" w14:textId="77777777" w:rsidR="007E61D1" w:rsidRPr="00933EA2" w:rsidRDefault="007E61D1" w:rsidP="00933EA2">
      <w:pPr>
        <w:tabs>
          <w:tab w:val="left" w:pos="225"/>
        </w:tabs>
        <w:jc w:val="both"/>
        <w:rPr>
          <w:bCs/>
        </w:rPr>
      </w:pPr>
    </w:p>
    <w:p w14:paraId="699E2544" w14:textId="77777777" w:rsidR="007E61D1" w:rsidRPr="00933EA2" w:rsidRDefault="007E61D1" w:rsidP="00933EA2">
      <w:pPr>
        <w:keepNext/>
        <w:keepLines/>
        <w:tabs>
          <w:tab w:val="left" w:pos="225"/>
        </w:tabs>
        <w:jc w:val="center"/>
        <w:rPr>
          <w:b/>
          <w:bCs/>
        </w:rPr>
      </w:pPr>
      <w:r>
        <w:rPr>
          <w:b/>
          <w:bCs/>
        </w:rPr>
        <w:t>Artykuł 7</w:t>
      </w:r>
    </w:p>
    <w:p w14:paraId="73089FBB" w14:textId="77777777" w:rsidR="007E61D1" w:rsidRPr="00933EA2" w:rsidRDefault="007E61D1" w:rsidP="00933EA2">
      <w:pPr>
        <w:keepNext/>
        <w:keepLines/>
        <w:tabs>
          <w:tab w:val="left" w:pos="225"/>
        </w:tabs>
        <w:jc w:val="both"/>
        <w:rPr>
          <w:bCs/>
        </w:rPr>
      </w:pPr>
    </w:p>
    <w:p w14:paraId="2CE4B6B4" w14:textId="77777777" w:rsidR="007E61D1" w:rsidRPr="00933EA2" w:rsidRDefault="007E61D1" w:rsidP="00933EA2">
      <w:pPr>
        <w:tabs>
          <w:tab w:val="left" w:pos="225"/>
        </w:tabs>
        <w:jc w:val="both"/>
        <w:rPr>
          <w:bCs/>
        </w:rPr>
      </w:pPr>
      <w:r>
        <w:t xml:space="preserve">Strategia promocyjna na dowolnym nośniku zawiera przede wszystkim opis poszczególnych mediów i dowolnego innego wektora wykorzystywanych do promowania oferty gier, </w:t>
      </w:r>
      <w:r>
        <w:lastRenderedPageBreak/>
        <w:t xml:space="preserve">oszacowanie budżetu przydzielonego na każdy wektor i jego rozwój w trakcie bieżącego roku, opis typu klienta, do którego jest skierowana, poszczególne gry nią objęte oraz ocenę jej oddziaływania w zakresie pierwszego celu art. L. 320 -3 kodeksu bezpieczeństwa wewnętrznego. W przypadku ofert handlowych obejmujących gratyfikację finansową dla graczy podmiot opisuje mechanizmy umożliwiające graczom korzystanie z tych gratyfikacji. </w:t>
      </w:r>
    </w:p>
    <w:p w14:paraId="5D41F546" w14:textId="343E933A" w:rsidR="007E61D1" w:rsidRPr="00933EA2" w:rsidRDefault="007E61D1" w:rsidP="00933EA2">
      <w:pPr>
        <w:tabs>
          <w:tab w:val="left" w:pos="225"/>
        </w:tabs>
        <w:jc w:val="both"/>
        <w:rPr>
          <w:bCs/>
        </w:rPr>
      </w:pPr>
      <w:r>
        <w:t xml:space="preserve">Jeśli chodzi o podmioty posiadające prawa wyłączne, strategia promocyjna przedstawia działania w zakresie informacji i profilaktyki skierowane do opinii publicznej i graczy w obrębie ich fizycznej sieci dystrybucji mające służyć realizacji pierwszego celu art. L. 320 -3 kodeksu bezpieczeństwa wewnętrznego. </w:t>
      </w:r>
    </w:p>
    <w:p w14:paraId="466B6F1F" w14:textId="77777777" w:rsidR="007E61D1" w:rsidRPr="00933EA2" w:rsidRDefault="007E61D1" w:rsidP="00933EA2">
      <w:pPr>
        <w:tabs>
          <w:tab w:val="left" w:pos="225"/>
        </w:tabs>
        <w:jc w:val="both"/>
        <w:rPr>
          <w:bCs/>
        </w:rPr>
      </w:pPr>
    </w:p>
    <w:p w14:paraId="2292D94C" w14:textId="77777777" w:rsidR="007E61D1" w:rsidRPr="00933EA2" w:rsidRDefault="007E61D1" w:rsidP="00933EA2">
      <w:pPr>
        <w:keepNext/>
        <w:keepLines/>
        <w:tabs>
          <w:tab w:val="left" w:pos="225"/>
        </w:tabs>
        <w:jc w:val="center"/>
        <w:rPr>
          <w:b/>
          <w:bCs/>
        </w:rPr>
      </w:pPr>
      <w:r>
        <w:rPr>
          <w:b/>
          <w:bCs/>
        </w:rPr>
        <w:t>Artykuł 8</w:t>
      </w:r>
    </w:p>
    <w:p w14:paraId="76A6F4B3" w14:textId="77777777" w:rsidR="007E61D1" w:rsidRPr="00933EA2" w:rsidRDefault="007E61D1" w:rsidP="00933EA2">
      <w:pPr>
        <w:keepNext/>
        <w:keepLines/>
        <w:tabs>
          <w:tab w:val="left" w:pos="225"/>
        </w:tabs>
        <w:jc w:val="both"/>
        <w:rPr>
          <w:bCs/>
        </w:rPr>
      </w:pPr>
    </w:p>
    <w:p w14:paraId="7E066ACA" w14:textId="77777777" w:rsidR="007E61D1" w:rsidRPr="00933EA2" w:rsidRDefault="007E61D1" w:rsidP="00933EA2">
      <w:pPr>
        <w:tabs>
          <w:tab w:val="left" w:pos="225"/>
        </w:tabs>
        <w:jc w:val="both"/>
        <w:rPr>
          <w:bCs/>
        </w:rPr>
      </w:pPr>
      <w:r>
        <w:t>Krajowy Urząd Gier analizuje strategię promocyjną podmiotów pod kątem celów przewidzianych w art. L. 320-3 kodeksu bezpieczeństwa wewnętrznego. Urząd może zwrócić się do podmiotu o uzupełnienie informacji na temat jego strategii promocyjnej.</w:t>
      </w:r>
    </w:p>
    <w:p w14:paraId="573BB9A6" w14:textId="77777777" w:rsidR="007E61D1" w:rsidRPr="00933EA2" w:rsidRDefault="007E61D1" w:rsidP="00933EA2">
      <w:pPr>
        <w:tabs>
          <w:tab w:val="left" w:pos="225"/>
        </w:tabs>
        <w:ind w:firstLine="708"/>
        <w:jc w:val="both"/>
        <w:rPr>
          <w:bCs/>
        </w:rPr>
      </w:pPr>
    </w:p>
    <w:p w14:paraId="294DEF4C" w14:textId="77777777" w:rsidR="007E61D1" w:rsidRPr="00933EA2" w:rsidRDefault="007E61D1" w:rsidP="00933EA2">
      <w:pPr>
        <w:keepNext/>
        <w:keepLines/>
        <w:tabs>
          <w:tab w:val="left" w:pos="225"/>
        </w:tabs>
        <w:jc w:val="center"/>
        <w:rPr>
          <w:b/>
          <w:bCs/>
        </w:rPr>
      </w:pPr>
      <w:r>
        <w:rPr>
          <w:b/>
          <w:bCs/>
        </w:rPr>
        <w:t>Artykuł 9</w:t>
      </w:r>
    </w:p>
    <w:p w14:paraId="2DE1EFDB" w14:textId="77777777" w:rsidR="007E61D1" w:rsidRPr="00933EA2" w:rsidRDefault="007E61D1" w:rsidP="00933EA2">
      <w:pPr>
        <w:keepNext/>
        <w:keepLines/>
        <w:tabs>
          <w:tab w:val="left" w:pos="225"/>
        </w:tabs>
        <w:jc w:val="both"/>
        <w:rPr>
          <w:bCs/>
        </w:rPr>
      </w:pPr>
    </w:p>
    <w:p w14:paraId="4FBB75B5" w14:textId="07D9D852" w:rsidR="007E61D1" w:rsidRPr="00933EA2" w:rsidRDefault="007E61D1" w:rsidP="00933EA2">
      <w:pPr>
        <w:tabs>
          <w:tab w:val="left" w:pos="225"/>
        </w:tabs>
        <w:jc w:val="both"/>
        <w:rPr>
          <w:bCs/>
        </w:rPr>
      </w:pPr>
      <w:r>
        <w:t xml:space="preserve">O decyzji Urzędu powiadamia się podmiot w terminie dwóch miesięcy od otrzymania jego strategii promocyjnej. W stosownych przypadkach w decyzji określa się warunki, z zastrzeżeniem których zatwierdza się decyzję. </w:t>
      </w:r>
    </w:p>
    <w:p w14:paraId="659F6FBA" w14:textId="77777777" w:rsidR="007E61D1" w:rsidRPr="00933EA2" w:rsidRDefault="007E61D1" w:rsidP="00933EA2">
      <w:pPr>
        <w:tabs>
          <w:tab w:val="left" w:pos="225"/>
        </w:tabs>
        <w:jc w:val="both"/>
        <w:rPr>
          <w:bCs/>
        </w:rPr>
      </w:pPr>
    </w:p>
    <w:p w14:paraId="308E1DA5" w14:textId="77777777" w:rsidR="007E61D1" w:rsidRPr="00933EA2" w:rsidRDefault="007E61D1" w:rsidP="00933EA2">
      <w:pPr>
        <w:keepNext/>
        <w:keepLines/>
        <w:tabs>
          <w:tab w:val="left" w:pos="225"/>
        </w:tabs>
        <w:jc w:val="center"/>
        <w:rPr>
          <w:b/>
          <w:bCs/>
        </w:rPr>
      </w:pPr>
      <w:r>
        <w:rPr>
          <w:b/>
          <w:bCs/>
        </w:rPr>
        <w:t>Artykuł 10</w:t>
      </w:r>
    </w:p>
    <w:p w14:paraId="57140C12" w14:textId="77777777" w:rsidR="007E61D1" w:rsidRPr="00933EA2" w:rsidRDefault="007E61D1" w:rsidP="00933EA2">
      <w:pPr>
        <w:keepNext/>
        <w:keepLines/>
        <w:tabs>
          <w:tab w:val="left" w:pos="225"/>
        </w:tabs>
        <w:jc w:val="both"/>
        <w:rPr>
          <w:bCs/>
        </w:rPr>
      </w:pPr>
    </w:p>
    <w:p w14:paraId="371FF32B" w14:textId="77777777" w:rsidR="007E61D1" w:rsidRPr="00933EA2" w:rsidRDefault="007E61D1" w:rsidP="00933EA2">
      <w:pPr>
        <w:tabs>
          <w:tab w:val="left" w:pos="225"/>
        </w:tabs>
        <w:jc w:val="both"/>
        <w:rPr>
          <w:bCs/>
        </w:rPr>
      </w:pPr>
      <w:r>
        <w:t>W przypadku gdy podmiot pragnie zmienić swoją strategię promocyjną w ciągu roku, informuje o tym Krajowy Urząd Gier najpóźniej na dwa miesiące przed wdrożeniem działań lub środków związanych z tą zmianą. Z zastrzeżeniem przepisów art. 8 Urząd wypowiada się w sprawie planowanej zmiany w ciągu dwóch miesięcy od otrzymania powiadomienia.</w:t>
      </w:r>
    </w:p>
    <w:p w14:paraId="5FC09049" w14:textId="77777777" w:rsidR="007E61D1" w:rsidRPr="00933EA2" w:rsidRDefault="007E61D1" w:rsidP="00933EA2">
      <w:pPr>
        <w:tabs>
          <w:tab w:val="left" w:pos="225"/>
        </w:tabs>
        <w:jc w:val="both"/>
        <w:rPr>
          <w:bCs/>
        </w:rPr>
      </w:pPr>
    </w:p>
    <w:p w14:paraId="796C2E49" w14:textId="7CC25C8B" w:rsidR="007E61D1" w:rsidRPr="00933EA2" w:rsidRDefault="00DD75EA" w:rsidP="00933EA2">
      <w:pPr>
        <w:keepNext/>
        <w:keepLines/>
        <w:tabs>
          <w:tab w:val="left" w:pos="225"/>
        </w:tabs>
        <w:jc w:val="center"/>
        <w:rPr>
          <w:bCs/>
        </w:rPr>
      </w:pPr>
      <w:r>
        <w:rPr>
          <w:b/>
        </w:rPr>
        <w:t>TYTUŁ III: ZASADY CERTYFIKACJI</w:t>
      </w:r>
    </w:p>
    <w:p w14:paraId="4638AAB1" w14:textId="77777777" w:rsidR="007E61D1" w:rsidRPr="00933EA2" w:rsidRDefault="007E61D1" w:rsidP="00933EA2">
      <w:pPr>
        <w:pStyle w:val="BodyText"/>
        <w:keepNext/>
        <w:keepLines/>
      </w:pPr>
    </w:p>
    <w:p w14:paraId="06F93207" w14:textId="77777777" w:rsidR="00DD75EA" w:rsidRPr="00933EA2" w:rsidRDefault="00DD75EA" w:rsidP="00933EA2">
      <w:pPr>
        <w:keepNext/>
        <w:keepLines/>
        <w:rPr>
          <w:b/>
        </w:rPr>
      </w:pPr>
      <w:r>
        <w:rPr>
          <w:b/>
        </w:rPr>
        <w:t xml:space="preserve">ROZDZIAŁ 1 – WARUNKI WPISU DO WYKAZU ORGANÓW CERTYFIKUJĄCYCH </w:t>
      </w:r>
    </w:p>
    <w:p w14:paraId="2100F556" w14:textId="77777777" w:rsidR="00DD75EA" w:rsidRPr="00933EA2" w:rsidRDefault="00DD75EA" w:rsidP="00933EA2">
      <w:pPr>
        <w:keepNext/>
        <w:keepLines/>
        <w:rPr>
          <w:b/>
        </w:rPr>
      </w:pPr>
    </w:p>
    <w:p w14:paraId="3CD09FF6" w14:textId="77777777" w:rsidR="00DD75EA" w:rsidRPr="00933EA2" w:rsidRDefault="00DD75EA" w:rsidP="00933EA2">
      <w:pPr>
        <w:keepNext/>
        <w:keepLines/>
        <w:jc w:val="center"/>
        <w:rPr>
          <w:b/>
        </w:rPr>
      </w:pPr>
      <w:r>
        <w:rPr>
          <w:b/>
        </w:rPr>
        <w:t>Artykuł 11</w:t>
      </w:r>
    </w:p>
    <w:p w14:paraId="2A95714B" w14:textId="77777777" w:rsidR="00DD75EA" w:rsidRPr="00933EA2" w:rsidRDefault="00DD75EA" w:rsidP="00933EA2">
      <w:pPr>
        <w:keepNext/>
        <w:keepLines/>
        <w:rPr>
          <w:b/>
        </w:rPr>
      </w:pPr>
    </w:p>
    <w:p w14:paraId="42280451" w14:textId="77777777" w:rsidR="00DD75EA" w:rsidRPr="00933EA2" w:rsidRDefault="00DD75EA" w:rsidP="00933EA2">
      <w:pPr>
        <w:jc w:val="both"/>
      </w:pPr>
      <w:r>
        <w:t xml:space="preserve">Krajowy Urząd Gier opracowuje i aktualizuje wykaz organów uprawnionych do realizacji zadań w zakresie certyfikacji wymienionych w wyżej wspomnianej ustawie z dnia 12 maja 2010 r., art. 23 ust. II i III. </w:t>
      </w:r>
    </w:p>
    <w:p w14:paraId="143A6880" w14:textId="77777777" w:rsidR="00DD75EA" w:rsidRPr="00933EA2" w:rsidRDefault="00DD75EA" w:rsidP="00933EA2">
      <w:pPr>
        <w:jc w:val="both"/>
      </w:pPr>
      <w:r>
        <w:t xml:space="preserve">Wykaz publikuje się w witrynie internetowej Krajowego Urzędu Gier. </w:t>
      </w:r>
    </w:p>
    <w:p w14:paraId="1FC7BE82" w14:textId="77777777" w:rsidR="00DD75EA" w:rsidRPr="00933EA2" w:rsidRDefault="00DD75EA" w:rsidP="00933EA2">
      <w:pPr>
        <w:jc w:val="both"/>
      </w:pPr>
    </w:p>
    <w:p w14:paraId="4CE44A0E" w14:textId="77777777" w:rsidR="00DD75EA" w:rsidRPr="00933EA2" w:rsidRDefault="00DD75EA" w:rsidP="00933EA2">
      <w:pPr>
        <w:keepNext/>
        <w:keepLines/>
        <w:jc w:val="center"/>
        <w:rPr>
          <w:b/>
        </w:rPr>
      </w:pPr>
      <w:r>
        <w:rPr>
          <w:b/>
        </w:rPr>
        <w:t>Artykuł 12</w:t>
      </w:r>
    </w:p>
    <w:p w14:paraId="6CF9EA34" w14:textId="77777777" w:rsidR="00DD75EA" w:rsidRPr="00933EA2" w:rsidRDefault="00DD75EA" w:rsidP="00933EA2">
      <w:pPr>
        <w:keepNext/>
        <w:keepLines/>
        <w:rPr>
          <w:b/>
        </w:rPr>
      </w:pPr>
    </w:p>
    <w:p w14:paraId="4A9AB50A" w14:textId="77777777" w:rsidR="00DD75EA" w:rsidRPr="00933EA2" w:rsidRDefault="00DD75EA" w:rsidP="00933EA2">
      <w:pPr>
        <w:jc w:val="both"/>
      </w:pPr>
      <w:r>
        <w:t xml:space="preserve">Do wykazu wymienionego w art. 11 mogą zostać wpisane jedynie organy, które: </w:t>
      </w:r>
    </w:p>
    <w:p w14:paraId="2C202D0E" w14:textId="77777777" w:rsidR="00DD75EA" w:rsidRPr="00933EA2" w:rsidRDefault="00DD75EA" w:rsidP="00933EA2">
      <w:pPr>
        <w:pStyle w:val="ListParagraph"/>
        <w:numPr>
          <w:ilvl w:val="0"/>
          <w:numId w:val="3"/>
        </w:numPr>
        <w:spacing w:after="200" w:line="276" w:lineRule="auto"/>
        <w:jc w:val="both"/>
      </w:pPr>
      <w:r>
        <w:t xml:space="preserve">posiadają siedzibę w państwie członkowskim Unii Europejskiej lub w państwie będącym stroną Porozumienia o Europejskim Obszarze Gospodarczym; </w:t>
      </w:r>
    </w:p>
    <w:p w14:paraId="696D458E" w14:textId="77777777" w:rsidR="00DD75EA" w:rsidRPr="00933EA2" w:rsidRDefault="00DD75EA" w:rsidP="00933EA2">
      <w:pPr>
        <w:pStyle w:val="ListParagraph"/>
        <w:numPr>
          <w:ilvl w:val="0"/>
          <w:numId w:val="3"/>
        </w:numPr>
        <w:spacing w:after="200" w:line="276" w:lineRule="auto"/>
        <w:jc w:val="both"/>
      </w:pPr>
      <w:r>
        <w:t xml:space="preserve">posiadają wystarczające kwalifikacje i odpowiednich wykwalifikowanych pracowników; </w:t>
      </w:r>
    </w:p>
    <w:p w14:paraId="20123FC4" w14:textId="131ED45B" w:rsidR="00DD75EA" w:rsidRPr="00933EA2" w:rsidRDefault="00DD75EA" w:rsidP="00933EA2">
      <w:pPr>
        <w:pStyle w:val="ListParagraph"/>
        <w:numPr>
          <w:ilvl w:val="0"/>
          <w:numId w:val="3"/>
        </w:numPr>
        <w:spacing w:after="200" w:line="276" w:lineRule="auto"/>
        <w:jc w:val="both"/>
      </w:pPr>
      <w:r>
        <w:t xml:space="preserve">wypełniają zadania w zakresie certyfikacji z zachowaniem całkowitej bezstronności i niezależności, w szczególności zgodnie z przepisami art. 17. </w:t>
      </w:r>
    </w:p>
    <w:p w14:paraId="7724FA3F" w14:textId="77777777" w:rsidR="00DD75EA" w:rsidRPr="00933EA2" w:rsidRDefault="00DD75EA" w:rsidP="00933EA2">
      <w:pPr>
        <w:pStyle w:val="ListParagraph"/>
        <w:ind w:left="1065"/>
        <w:jc w:val="both"/>
      </w:pPr>
    </w:p>
    <w:p w14:paraId="60A13DFE" w14:textId="77777777" w:rsidR="00DD75EA" w:rsidRPr="00933EA2" w:rsidRDefault="00DD75EA" w:rsidP="00933EA2">
      <w:pPr>
        <w:keepNext/>
        <w:keepLines/>
        <w:jc w:val="center"/>
        <w:rPr>
          <w:b/>
        </w:rPr>
      </w:pPr>
      <w:r>
        <w:rPr>
          <w:b/>
        </w:rPr>
        <w:lastRenderedPageBreak/>
        <w:t>Artykuł 13</w:t>
      </w:r>
    </w:p>
    <w:p w14:paraId="24D423E6" w14:textId="77777777" w:rsidR="00DD75EA" w:rsidRPr="00933EA2" w:rsidRDefault="00DD75EA" w:rsidP="00933EA2">
      <w:pPr>
        <w:keepNext/>
        <w:keepLines/>
        <w:rPr>
          <w:b/>
        </w:rPr>
      </w:pPr>
    </w:p>
    <w:p w14:paraId="23B39F27" w14:textId="2DA08637" w:rsidR="00DD75EA" w:rsidRPr="00933EA2" w:rsidRDefault="00DD75EA" w:rsidP="00933EA2">
      <w:pPr>
        <w:jc w:val="both"/>
      </w:pPr>
      <w:r>
        <w:t>Dokumentację wniosku o wpisanie do wykazu organów certyfikujących sporządza się w języku francuskim. Wniosek przekazuje się do Krajowego Urzędu Gier drogą elektroniczną, przesyłką pocztową lub składa się za potwierdzeniem obioru w siedzibie Urzędu. Krajowy Urząd Gier potwierdza otrzymanie wniosku w dowolny sposób i dokonuje jego rejestracji.</w:t>
      </w:r>
    </w:p>
    <w:p w14:paraId="3CED70A9" w14:textId="77777777" w:rsidR="00DD75EA" w:rsidRPr="00933EA2" w:rsidRDefault="00DD75EA" w:rsidP="00933EA2">
      <w:pPr>
        <w:jc w:val="both"/>
      </w:pPr>
    </w:p>
    <w:p w14:paraId="7C07E6E5" w14:textId="77777777" w:rsidR="00DD75EA" w:rsidRPr="00933EA2" w:rsidRDefault="00DD75EA" w:rsidP="00933EA2">
      <w:pPr>
        <w:keepNext/>
        <w:keepLines/>
        <w:jc w:val="center"/>
        <w:rPr>
          <w:b/>
        </w:rPr>
      </w:pPr>
      <w:r>
        <w:rPr>
          <w:b/>
        </w:rPr>
        <w:t>Artykuł 14</w:t>
      </w:r>
    </w:p>
    <w:p w14:paraId="5631E7C9" w14:textId="77777777" w:rsidR="00DD75EA" w:rsidRPr="00933EA2" w:rsidRDefault="00DD75EA" w:rsidP="00933EA2">
      <w:pPr>
        <w:keepNext/>
        <w:keepLines/>
        <w:jc w:val="both"/>
        <w:rPr>
          <w:b/>
        </w:rPr>
      </w:pPr>
    </w:p>
    <w:p w14:paraId="5395E8F4" w14:textId="77777777" w:rsidR="00DD75EA" w:rsidRPr="00933EA2" w:rsidRDefault="00DD75EA" w:rsidP="00933EA2">
      <w:pPr>
        <w:jc w:val="both"/>
      </w:pPr>
      <w:r>
        <w:t xml:space="preserve">Krajowy Urząd Gier poddaje analizie wniosek o wpisanie do wykazu organów certyfikujących w terminie dwóch miesięcy od daty jego otrzymania. </w:t>
      </w:r>
    </w:p>
    <w:p w14:paraId="3916B7CD" w14:textId="77777777" w:rsidR="00DD75EA" w:rsidRPr="00933EA2" w:rsidRDefault="00DD75EA" w:rsidP="00933EA2">
      <w:pPr>
        <w:jc w:val="both"/>
      </w:pPr>
      <w:r>
        <w:t>Dokumentacja wniosku o wpisanie zawiera wszystkie elementy umożliwiające Krajowemu Urzędowi Gier upewnienie się, że wnioskodawca posiada wszystkie cechy wymagane w celu wpisania do wykazu organów certyfikujących, czyli:</w:t>
      </w:r>
    </w:p>
    <w:p w14:paraId="3796012D" w14:textId="77777777" w:rsidR="00DD75EA" w:rsidRPr="00933EA2" w:rsidRDefault="00DD75EA" w:rsidP="00933EA2">
      <w:pPr>
        <w:pStyle w:val="ListParagraph"/>
        <w:numPr>
          <w:ilvl w:val="0"/>
          <w:numId w:val="3"/>
        </w:numPr>
        <w:spacing w:after="200" w:line="276" w:lineRule="auto"/>
        <w:jc w:val="both"/>
      </w:pPr>
      <w:r>
        <w:t>dokument z wykazem referencji usług zrealizowanych przez wnioskodawcę w dziedzinach wiedzy fachowej podobnych do dziedzin, których dotyczy certyfikacja, oraz okresami realizacji tych usług;</w:t>
      </w:r>
    </w:p>
    <w:p w14:paraId="10B7DCB0" w14:textId="77777777" w:rsidR="00DD75EA" w:rsidRPr="00933EA2" w:rsidRDefault="00DD75EA" w:rsidP="00933EA2">
      <w:pPr>
        <w:pStyle w:val="ListParagraph"/>
        <w:numPr>
          <w:ilvl w:val="0"/>
          <w:numId w:val="3"/>
        </w:numPr>
        <w:spacing w:after="200" w:line="276" w:lineRule="auto"/>
        <w:jc w:val="both"/>
      </w:pPr>
      <w:r>
        <w:t xml:space="preserve">lista osób przypisanych do czynności certyfikacji oraz ich szczegółowe życiorysy; </w:t>
      </w:r>
    </w:p>
    <w:p w14:paraId="789A0E65" w14:textId="77777777" w:rsidR="00DD75EA" w:rsidRPr="00933EA2" w:rsidRDefault="00DD75EA" w:rsidP="00933EA2">
      <w:pPr>
        <w:pStyle w:val="ListParagraph"/>
        <w:numPr>
          <w:ilvl w:val="0"/>
          <w:numId w:val="3"/>
        </w:numPr>
        <w:spacing w:after="200" w:line="276" w:lineRule="auto"/>
        <w:jc w:val="both"/>
      </w:pPr>
      <w:r>
        <w:t>„typowe” sprawozdania z analizy z przedstawieniem zastosowanej metodyki i poziomu dokładności przeprowadzonych analiz w dziedzinie penetracyjnych audytów aplikacji i audytów konfiguracji platformy hostingowej.</w:t>
      </w:r>
    </w:p>
    <w:p w14:paraId="49273D50" w14:textId="77777777" w:rsidR="00DD75EA" w:rsidRPr="00933EA2" w:rsidRDefault="00DD75EA" w:rsidP="00933EA2">
      <w:pPr>
        <w:jc w:val="both"/>
      </w:pPr>
      <w:r>
        <w:t xml:space="preserve">Jeżeli wniosek nie jest kompletny, Urząd kieruje do wnioskodawcy pismo z żądaniem jego uzupełnienia o brakujące dokumenty w terminie, który nie może być krótszy niż piętnaście dni. </w:t>
      </w:r>
    </w:p>
    <w:p w14:paraId="01681363" w14:textId="77777777" w:rsidR="00DD75EA" w:rsidRPr="00933EA2" w:rsidRDefault="00DD75EA" w:rsidP="00933EA2">
      <w:pPr>
        <w:jc w:val="both"/>
      </w:pPr>
      <w:r>
        <w:t>Rozpatrywanie wniosku o wpisanie jest w tym okresie zawieszone. Nieuzupełnienie wniosku w wyznaczonym terminie skutkuje wydaniem przez Krajowy Urząd Gier decyzji o niedopuszczalności wniosku o wpisanie do wykazu.</w:t>
      </w:r>
    </w:p>
    <w:p w14:paraId="10BC70F8" w14:textId="77777777" w:rsidR="00DD75EA" w:rsidRPr="00933EA2" w:rsidRDefault="00DD75EA" w:rsidP="00933EA2">
      <w:pPr>
        <w:jc w:val="both"/>
      </w:pPr>
      <w:r>
        <w:t xml:space="preserve">W trakcie rozpatrywania wnioskodawca jest zobowiązany do dostarczenia, na wezwanie Krajowego Urzędu Gier, wszelkich informacji, które mogą pomóc w wyjaśnieniu elementów zawartych w przedłożonej dokumentacji. Ponadto Urząd może zwrócić się do wnioskodawcy o złożenie ustnych wyjaśnień na spotkaniu wyjaśniającym. </w:t>
      </w:r>
    </w:p>
    <w:p w14:paraId="28468FD2" w14:textId="77777777" w:rsidR="00DD75EA" w:rsidRPr="00933EA2" w:rsidRDefault="00DD75EA" w:rsidP="00933EA2">
      <w:pPr>
        <w:jc w:val="both"/>
      </w:pPr>
    </w:p>
    <w:p w14:paraId="36083355" w14:textId="77777777" w:rsidR="00DD75EA" w:rsidRPr="00933EA2" w:rsidRDefault="00DD75EA" w:rsidP="00933EA2">
      <w:pPr>
        <w:keepNext/>
        <w:keepLines/>
        <w:jc w:val="center"/>
        <w:rPr>
          <w:b/>
        </w:rPr>
      </w:pPr>
      <w:r>
        <w:rPr>
          <w:b/>
        </w:rPr>
        <w:t>Artykuł 15</w:t>
      </w:r>
    </w:p>
    <w:p w14:paraId="73A6235F" w14:textId="77777777" w:rsidR="00DD75EA" w:rsidRPr="00933EA2" w:rsidRDefault="00DD75EA" w:rsidP="00933EA2">
      <w:pPr>
        <w:keepNext/>
        <w:keepLines/>
        <w:rPr>
          <w:b/>
        </w:rPr>
      </w:pPr>
    </w:p>
    <w:p w14:paraId="47A7F3CA" w14:textId="77777777" w:rsidR="00DD75EA" w:rsidRPr="00933EA2" w:rsidRDefault="00DD75EA" w:rsidP="00933EA2">
      <w:pPr>
        <w:jc w:val="both"/>
      </w:pPr>
      <w:r>
        <w:t xml:space="preserve">Wpis do wykazu organów certyfikujących zachowuje ważność przez 5 lat. Wpis można przedłużyć. </w:t>
      </w:r>
    </w:p>
    <w:p w14:paraId="11406507" w14:textId="77777777" w:rsidR="00DD75EA" w:rsidRPr="00933EA2" w:rsidRDefault="00DD75EA" w:rsidP="00933EA2">
      <w:pPr>
        <w:jc w:val="both"/>
      </w:pPr>
      <w:r>
        <w:t xml:space="preserve">W stosownych przypadkach w decyzji o wpisie podane są szczególne obowiązki, którym podlegają organy certyfikujące. </w:t>
      </w:r>
    </w:p>
    <w:p w14:paraId="6E706C72" w14:textId="77777777" w:rsidR="00DD75EA" w:rsidRPr="00933EA2" w:rsidRDefault="00DD75EA" w:rsidP="00933EA2">
      <w:pPr>
        <w:jc w:val="both"/>
      </w:pPr>
      <w:r>
        <w:t xml:space="preserve">Decyzję o odmowie wpisu uzasadnia się i przekazuje zainteresowanemu podmiotowi za pomocą wszelkich środków umożliwiających ustalenie daty jej otrzymania. </w:t>
      </w:r>
    </w:p>
    <w:p w14:paraId="07C8A19F" w14:textId="77777777" w:rsidR="00DD75EA" w:rsidRPr="00933EA2" w:rsidRDefault="00DD75EA" w:rsidP="00933EA2">
      <w:pPr>
        <w:rPr>
          <w:b/>
        </w:rPr>
      </w:pPr>
    </w:p>
    <w:p w14:paraId="36ED0FA1" w14:textId="77777777" w:rsidR="00DD75EA" w:rsidRPr="00933EA2" w:rsidRDefault="00DD75EA" w:rsidP="00933EA2">
      <w:pPr>
        <w:keepNext/>
        <w:keepLines/>
        <w:jc w:val="center"/>
        <w:rPr>
          <w:b/>
        </w:rPr>
      </w:pPr>
      <w:r>
        <w:rPr>
          <w:b/>
        </w:rPr>
        <w:t>ROZDZIAŁ 2 – OBOWIĄZKI ORGANÓW CERTYFIKUJĄCYCH</w:t>
      </w:r>
    </w:p>
    <w:p w14:paraId="3F7D562D" w14:textId="77777777" w:rsidR="00DD75EA" w:rsidRPr="00933EA2" w:rsidRDefault="00DD75EA" w:rsidP="00933EA2">
      <w:pPr>
        <w:keepNext/>
        <w:keepLines/>
        <w:rPr>
          <w:b/>
        </w:rPr>
      </w:pPr>
    </w:p>
    <w:p w14:paraId="465FC926" w14:textId="3AC4548B" w:rsidR="00DD75EA" w:rsidRPr="00933EA2" w:rsidRDefault="00DD75EA" w:rsidP="00933EA2">
      <w:pPr>
        <w:keepNext/>
        <w:keepLines/>
        <w:jc w:val="center"/>
        <w:rPr>
          <w:b/>
        </w:rPr>
      </w:pPr>
      <w:r>
        <w:rPr>
          <w:b/>
        </w:rPr>
        <w:t>Artykuł 16</w:t>
      </w:r>
    </w:p>
    <w:p w14:paraId="63B4979C" w14:textId="77777777" w:rsidR="00DD75EA" w:rsidRPr="00933EA2" w:rsidRDefault="00DD75EA" w:rsidP="00933EA2">
      <w:pPr>
        <w:keepNext/>
        <w:keepLines/>
        <w:rPr>
          <w:b/>
        </w:rPr>
      </w:pPr>
    </w:p>
    <w:p w14:paraId="22292F97" w14:textId="77777777" w:rsidR="00DD75EA" w:rsidRPr="00933EA2" w:rsidRDefault="00DD75EA" w:rsidP="00933EA2">
      <w:pPr>
        <w:jc w:val="both"/>
      </w:pPr>
      <w:r>
        <w:t xml:space="preserve">Organ wpisany do wykazu organów certyfikujących wypełnia powierzone mu zadania w zakresie certyfikacji zgodnie z zasadami sztuki. </w:t>
      </w:r>
    </w:p>
    <w:p w14:paraId="21136742" w14:textId="77777777" w:rsidR="00DD75EA" w:rsidRPr="00933EA2" w:rsidRDefault="00DD75EA" w:rsidP="00933EA2">
      <w:pPr>
        <w:jc w:val="both"/>
      </w:pPr>
      <w:r>
        <w:t>Kopię umowy certyfikacyjnej zawartej między organem certyfikującym a podmiotem podlegającym certyfikacji przekazuje się do Krajowego Urzędu Gier przed wykonaniem usługi certyfikacji.</w:t>
      </w:r>
    </w:p>
    <w:p w14:paraId="006D19AF" w14:textId="77777777" w:rsidR="00DD75EA" w:rsidRPr="00933EA2" w:rsidRDefault="00DD75EA" w:rsidP="00933EA2">
      <w:pPr>
        <w:jc w:val="both"/>
      </w:pPr>
    </w:p>
    <w:p w14:paraId="747F05B8" w14:textId="18EC357C" w:rsidR="00DD75EA" w:rsidRPr="00933EA2" w:rsidRDefault="00DD75EA" w:rsidP="00933EA2">
      <w:pPr>
        <w:keepNext/>
        <w:keepLines/>
        <w:jc w:val="center"/>
        <w:rPr>
          <w:b/>
        </w:rPr>
      </w:pPr>
      <w:r>
        <w:rPr>
          <w:b/>
        </w:rPr>
        <w:t>Artykuł 17</w:t>
      </w:r>
    </w:p>
    <w:p w14:paraId="480B580F" w14:textId="77777777" w:rsidR="00DD75EA" w:rsidRPr="00933EA2" w:rsidRDefault="00DD75EA" w:rsidP="00933EA2">
      <w:pPr>
        <w:keepNext/>
        <w:keepLines/>
        <w:rPr>
          <w:b/>
        </w:rPr>
      </w:pPr>
    </w:p>
    <w:p w14:paraId="763E1256" w14:textId="77777777" w:rsidR="00DD75EA" w:rsidRPr="00933EA2" w:rsidRDefault="00DD75EA" w:rsidP="00933EA2">
      <w:pPr>
        <w:jc w:val="both"/>
      </w:pPr>
      <w:r>
        <w:t xml:space="preserve">Organ wpisany do wykazu organów certyfikujących musi być niezależny od podmiotu, na rzecz którego realizuje zadanie certyfikacji. </w:t>
      </w:r>
    </w:p>
    <w:p w14:paraId="465253BE" w14:textId="77777777" w:rsidR="00DD75EA" w:rsidRPr="00933EA2" w:rsidRDefault="00DD75EA" w:rsidP="00933EA2">
      <w:pPr>
        <w:jc w:val="both"/>
      </w:pPr>
      <w:r>
        <w:t xml:space="preserve">Nie może prowadzić żadnego zadania certyfikacji dla podmiotu urządzającego gry lub zakłady online lub dla osoby prawnej wymienionej w wyżej wspomnianej ustawie z dnia 22 maja 2019 r. art. 137, jeśli świadczył na ich rzecz usługi doradztwa lub inne w okresie 12 miesięcy poprzedzających podpisanie umowy certyfikacyjnej. </w:t>
      </w:r>
    </w:p>
    <w:p w14:paraId="5F638C71" w14:textId="77777777" w:rsidR="00DD75EA" w:rsidRPr="00933EA2" w:rsidRDefault="00DD75EA" w:rsidP="00933EA2">
      <w:pPr>
        <w:jc w:val="both"/>
      </w:pPr>
      <w:r>
        <w:t>Przewidziany w poprzednim akapicie okres braku kompatybilności rozpoczyna swój bieg od późniejszego z dwóch następujących wydarzeń:</w:t>
      </w:r>
    </w:p>
    <w:p w14:paraId="090FC4E3" w14:textId="77777777" w:rsidR="00DD75EA" w:rsidRPr="00933EA2" w:rsidRDefault="00DD75EA" w:rsidP="00933EA2">
      <w:pPr>
        <w:pStyle w:val="ListParagraph"/>
        <w:numPr>
          <w:ilvl w:val="0"/>
          <w:numId w:val="3"/>
        </w:numPr>
        <w:spacing w:after="200" w:line="276" w:lineRule="auto"/>
        <w:jc w:val="both"/>
      </w:pPr>
      <w:r>
        <w:t xml:space="preserve">realizacja świadczenia ostatniej usługi przez organ certyfikujący na rzecz podmiotu podlegającego certyfikacji; </w:t>
      </w:r>
    </w:p>
    <w:p w14:paraId="3D00F947" w14:textId="77777777" w:rsidR="00DD75EA" w:rsidRPr="00933EA2" w:rsidRDefault="00DD75EA" w:rsidP="00933EA2">
      <w:pPr>
        <w:pStyle w:val="ListParagraph"/>
        <w:numPr>
          <w:ilvl w:val="0"/>
          <w:numId w:val="3"/>
        </w:numPr>
        <w:spacing w:after="200" w:line="276" w:lineRule="auto"/>
        <w:jc w:val="both"/>
      </w:pPr>
      <w:r>
        <w:t xml:space="preserve">ostatnia realizacja płatności na rzecz organu certyfikującego przez podmiot podlegającego certyfikacji. </w:t>
      </w:r>
    </w:p>
    <w:p w14:paraId="6967F733" w14:textId="77777777" w:rsidR="00DD75EA" w:rsidRPr="00933EA2" w:rsidRDefault="00DD75EA" w:rsidP="00933EA2">
      <w:pPr>
        <w:jc w:val="both"/>
      </w:pPr>
      <w:r>
        <w:t xml:space="preserve">Przewidziany w niniejszym akapicie brak kompatybilności ma zastosowanie na takich samych warunkach w przypadku, gdy organ certyfikujący świadczył usługi doradztwa lub inne na rzecz spółki kontrolującej podmiot podlegający certyfikacji w rozumieniu art. L. 233 -16 kodeksu spółek handlowych lub kontrolowanej przez niego. </w:t>
      </w:r>
    </w:p>
    <w:p w14:paraId="54835AA2" w14:textId="77777777" w:rsidR="00DD75EA" w:rsidRPr="00933EA2" w:rsidRDefault="00DD75EA" w:rsidP="00933EA2">
      <w:pPr>
        <w:jc w:val="both"/>
      </w:pPr>
      <w:r>
        <w:t>Organ wpisany do wykazu organów certyfikujących powiadamia Krajowy Urząd Gier o wystąpieniu jakiejkolwiek sytuacji konfliktu interesów w odniesieniu do jego działalności w zakresie certyfikacji.</w:t>
      </w:r>
    </w:p>
    <w:p w14:paraId="4E38E366" w14:textId="77777777" w:rsidR="00DD75EA" w:rsidRPr="00933EA2" w:rsidRDefault="00DD75EA" w:rsidP="00933EA2">
      <w:pPr>
        <w:jc w:val="both"/>
      </w:pPr>
    </w:p>
    <w:p w14:paraId="7778A521" w14:textId="38CC997C" w:rsidR="00DD75EA" w:rsidRPr="00933EA2" w:rsidRDefault="00DD75EA" w:rsidP="00933EA2">
      <w:pPr>
        <w:keepNext/>
        <w:keepLines/>
        <w:jc w:val="center"/>
        <w:rPr>
          <w:b/>
        </w:rPr>
      </w:pPr>
      <w:r>
        <w:rPr>
          <w:b/>
        </w:rPr>
        <w:t>Artykuł 18</w:t>
      </w:r>
    </w:p>
    <w:p w14:paraId="6A63E476" w14:textId="77777777" w:rsidR="00DD75EA" w:rsidRPr="00933EA2" w:rsidRDefault="00DD75EA" w:rsidP="00933EA2">
      <w:pPr>
        <w:keepNext/>
        <w:keepLines/>
        <w:rPr>
          <w:b/>
        </w:rPr>
      </w:pPr>
    </w:p>
    <w:p w14:paraId="15407E47" w14:textId="77777777" w:rsidR="00DD75EA" w:rsidRPr="00933EA2" w:rsidRDefault="00DD75EA" w:rsidP="00933EA2">
      <w:pPr>
        <w:jc w:val="both"/>
      </w:pPr>
      <w:r>
        <w:t xml:space="preserve">Krajowy Urząd Gier upewnia się, w stosownych przypadkach w drodze audytu, czy organ certyfikujący nadal wypełnia obowiązki wynikające z wpisania do wykazu organów certyfikujących, w szczególności pod względem jakości przeprowadzanych certyfikacji. </w:t>
      </w:r>
    </w:p>
    <w:p w14:paraId="6639237C" w14:textId="77777777" w:rsidR="00DD75EA" w:rsidRPr="00933EA2" w:rsidRDefault="00DD75EA" w:rsidP="00933EA2">
      <w:pPr>
        <w:jc w:val="both"/>
      </w:pPr>
    </w:p>
    <w:p w14:paraId="39134701" w14:textId="1C28EFCF" w:rsidR="00DD75EA" w:rsidRPr="00933EA2" w:rsidRDefault="00DD75EA" w:rsidP="00933EA2">
      <w:pPr>
        <w:keepNext/>
        <w:keepLines/>
        <w:jc w:val="center"/>
        <w:rPr>
          <w:b/>
        </w:rPr>
      </w:pPr>
      <w:r>
        <w:rPr>
          <w:b/>
        </w:rPr>
        <w:t>Artykuł 19</w:t>
      </w:r>
    </w:p>
    <w:p w14:paraId="3397CDFA" w14:textId="77777777" w:rsidR="00DD75EA" w:rsidRPr="00933EA2" w:rsidRDefault="00DD75EA" w:rsidP="00933EA2">
      <w:pPr>
        <w:keepNext/>
        <w:keepLines/>
        <w:rPr>
          <w:b/>
        </w:rPr>
      </w:pPr>
    </w:p>
    <w:p w14:paraId="61C5B6C7" w14:textId="77777777" w:rsidR="00DD75EA" w:rsidRPr="00933EA2" w:rsidRDefault="00DD75EA" w:rsidP="00933EA2">
      <w:pPr>
        <w:jc w:val="both"/>
      </w:pPr>
      <w:r>
        <w:t xml:space="preserve">Organ wpisany do wykazu organów certyfikujących bezzwłocznie informuje Krajowy Urząd Gier o wszelkich zmianach mających wpływ na informacje zawarte w jego wniosku o wpisanie do wykazu. </w:t>
      </w:r>
    </w:p>
    <w:p w14:paraId="7901CAA7" w14:textId="77777777" w:rsidR="00DD75EA" w:rsidRPr="00933EA2" w:rsidRDefault="00DD75EA" w:rsidP="00933EA2">
      <w:pPr>
        <w:jc w:val="both"/>
      </w:pPr>
      <w:r>
        <w:t xml:space="preserve">Jeśli organ przestał spełniać warunki będące podstawą do wpisu do wykazu organów certyfikujących lub wypełniać obowiązki, od których był uzależniony jego wpis, Krajowy Urząd Gier może wykreślić go z wykazu. </w:t>
      </w:r>
    </w:p>
    <w:p w14:paraId="54C86B1E" w14:textId="77777777" w:rsidR="00DD75EA" w:rsidRPr="00933EA2" w:rsidRDefault="00DD75EA" w:rsidP="00933EA2">
      <w:pPr>
        <w:jc w:val="both"/>
      </w:pPr>
      <w:r>
        <w:t>Przed wykreśleniem Krajowy Urząd Gier informuje zainteresowany organ za pomocą wszelkich środków umożliwiających ustalenie daty otrzymania takich informacji, że zamierza wykreślić go z wykazu organów certyfikujących i wzywa go do przedstawienia pisemnych uwag w terminie nie krótszym niż 15 dni.</w:t>
      </w:r>
    </w:p>
    <w:p w14:paraId="27C240E1" w14:textId="77777777" w:rsidR="00DD75EA" w:rsidRPr="00933EA2" w:rsidRDefault="00DD75EA" w:rsidP="00933EA2">
      <w:pPr>
        <w:jc w:val="both"/>
      </w:pPr>
      <w:r>
        <w:t xml:space="preserve">Decyzję o wykreśleniu uzasadnia się i przekazuje zainteresowanemu organowi za pomocą wszelkich środków umożliwiających ustalenie daty jej otrzymania. </w:t>
      </w:r>
    </w:p>
    <w:p w14:paraId="623FCF8D" w14:textId="77777777" w:rsidR="00DD75EA" w:rsidRPr="00933EA2" w:rsidRDefault="00DD75EA" w:rsidP="00933EA2">
      <w:pPr>
        <w:jc w:val="both"/>
      </w:pPr>
      <w:r>
        <w:t>W konsekwencji należy zaktualizować wykaz organów certyfikujących.</w:t>
      </w:r>
    </w:p>
    <w:p w14:paraId="450A4FEE" w14:textId="77777777" w:rsidR="00DD75EA" w:rsidRPr="00933EA2" w:rsidRDefault="00DD75EA" w:rsidP="00933EA2">
      <w:pPr>
        <w:jc w:val="both"/>
      </w:pPr>
      <w:r>
        <w:t xml:space="preserve"> </w:t>
      </w:r>
    </w:p>
    <w:p w14:paraId="37A93308" w14:textId="77777777" w:rsidR="00DD75EA" w:rsidRPr="00933EA2" w:rsidRDefault="00DD75EA" w:rsidP="00933EA2">
      <w:pPr>
        <w:keepNext/>
        <w:keepLines/>
        <w:jc w:val="center"/>
        <w:rPr>
          <w:b/>
        </w:rPr>
      </w:pPr>
      <w:r>
        <w:rPr>
          <w:b/>
        </w:rPr>
        <w:lastRenderedPageBreak/>
        <w:t>ROZDZIAŁ 3 – PRACE CERTYFIKACYJNE</w:t>
      </w:r>
    </w:p>
    <w:p w14:paraId="71177E03" w14:textId="77777777" w:rsidR="00DD75EA" w:rsidRPr="00933EA2" w:rsidRDefault="00DD75EA" w:rsidP="00933EA2">
      <w:pPr>
        <w:keepNext/>
        <w:keepLines/>
        <w:rPr>
          <w:b/>
        </w:rPr>
      </w:pPr>
    </w:p>
    <w:p w14:paraId="2D4A3D91" w14:textId="69848FCB" w:rsidR="00DD75EA" w:rsidRPr="00933EA2" w:rsidRDefault="00DD75EA" w:rsidP="00933EA2">
      <w:pPr>
        <w:keepNext/>
        <w:keepLines/>
        <w:jc w:val="center"/>
        <w:rPr>
          <w:b/>
        </w:rPr>
      </w:pPr>
      <w:r>
        <w:rPr>
          <w:b/>
        </w:rPr>
        <w:t>Artykuł 20</w:t>
      </w:r>
    </w:p>
    <w:p w14:paraId="14289C8D" w14:textId="77777777" w:rsidR="00DD75EA" w:rsidRPr="00933EA2" w:rsidRDefault="00DD75EA" w:rsidP="00933EA2">
      <w:pPr>
        <w:keepNext/>
        <w:keepLines/>
        <w:rPr>
          <w:b/>
        </w:rPr>
      </w:pPr>
    </w:p>
    <w:p w14:paraId="750A7B87" w14:textId="77777777" w:rsidR="00DD75EA" w:rsidRPr="00933EA2" w:rsidRDefault="00DD75EA" w:rsidP="00933EA2">
      <w:pPr>
        <w:jc w:val="both"/>
      </w:pPr>
      <w:r>
        <w:t xml:space="preserve">Zgodnie z przepisami wyżej wspomnianej ustawy z dnia 12 maja 2010 r. art. 23 prace certyfikacyjne dotyczą wypełniania przez podmiot wszystkich obowiązków technicznych mających zastosowanie do jego działalności. </w:t>
      </w:r>
    </w:p>
    <w:p w14:paraId="2E31CDA0" w14:textId="77777777" w:rsidR="00DD75EA" w:rsidRPr="00933EA2" w:rsidRDefault="00DD75EA" w:rsidP="00933EA2">
      <w:pPr>
        <w:jc w:val="both"/>
      </w:pPr>
      <w:r>
        <w:t xml:space="preserve">Krajowy Urząd Gier określa metodykę, charakter i zakres kontroli przeprowadzanych przez organ certyfikujący. </w:t>
      </w:r>
    </w:p>
    <w:p w14:paraId="47AA3609" w14:textId="77777777" w:rsidR="00DD75EA" w:rsidRPr="00933EA2" w:rsidRDefault="00DD75EA" w:rsidP="00933EA2">
      <w:pPr>
        <w:jc w:val="both"/>
      </w:pPr>
    </w:p>
    <w:p w14:paraId="67E7D8F9" w14:textId="1D8D5669" w:rsidR="00DD75EA" w:rsidRPr="00933EA2" w:rsidRDefault="00DD75EA" w:rsidP="00933EA2">
      <w:pPr>
        <w:keepNext/>
        <w:keepLines/>
        <w:jc w:val="center"/>
        <w:rPr>
          <w:b/>
        </w:rPr>
      </w:pPr>
      <w:r>
        <w:rPr>
          <w:b/>
        </w:rPr>
        <w:t>Artykuł 21</w:t>
      </w:r>
    </w:p>
    <w:p w14:paraId="447BC344" w14:textId="77777777" w:rsidR="00DD75EA" w:rsidRPr="00933EA2" w:rsidRDefault="00DD75EA" w:rsidP="00933EA2">
      <w:pPr>
        <w:keepNext/>
        <w:keepLines/>
        <w:rPr>
          <w:b/>
        </w:rPr>
      </w:pPr>
    </w:p>
    <w:p w14:paraId="5AFED660" w14:textId="77777777" w:rsidR="00DD75EA" w:rsidRPr="00933EA2" w:rsidRDefault="00DD75EA" w:rsidP="00933EA2">
      <w:pPr>
        <w:jc w:val="both"/>
      </w:pPr>
      <w:r>
        <w:t xml:space="preserve">Operacje analityczne prowadzone przez organ certyfikujący nie powtarzają się w ramach jednej certyfikacji: każdy kontrolowany wymóg jest przedmiotem jednorazowego pomiaru. </w:t>
      </w:r>
    </w:p>
    <w:p w14:paraId="7D73166F" w14:textId="77777777" w:rsidR="00DD75EA" w:rsidRPr="00933EA2" w:rsidRDefault="00DD75EA" w:rsidP="00933EA2">
      <w:pPr>
        <w:jc w:val="both"/>
      </w:pPr>
      <w:r>
        <w:t xml:space="preserve">W momencie pomiaru między organem certyfikującym a podmiotem poddawanym certyfikacji może nastąpić wymiana informacji. Jednak po przeprowadzeniu pomiaru wymiana ta nie może w żadnym wypadku skłaniać organu certyfikującego do przeprowadzenia nowego pomiaru. </w:t>
      </w:r>
    </w:p>
    <w:p w14:paraId="4330A04D" w14:textId="696746BE" w:rsidR="00DD75EA" w:rsidRPr="00933EA2" w:rsidRDefault="00DD75EA" w:rsidP="00933EA2">
      <w:pPr>
        <w:jc w:val="both"/>
      </w:pPr>
      <w:r>
        <w:t xml:space="preserve">W szczególności zmiany wprowadzone w stosownych przypadkach przez podmiot w trakcie certyfikacji w odniesieniu do punktu kontrolnego już poddanego pomiarowi nie mogą zmieniać pierwotnego stwierdzenia, które ma znaleźć się w sprawozdaniu z certyfikacji. </w:t>
      </w:r>
    </w:p>
    <w:p w14:paraId="3B828D1A" w14:textId="77777777" w:rsidR="00DD75EA" w:rsidRPr="00933EA2" w:rsidRDefault="00DD75EA" w:rsidP="00933EA2">
      <w:pPr>
        <w:jc w:val="both"/>
      </w:pPr>
    </w:p>
    <w:p w14:paraId="1A6C0433" w14:textId="5238B0B1" w:rsidR="00DD75EA" w:rsidRPr="00933EA2" w:rsidRDefault="00DD75EA" w:rsidP="00933EA2">
      <w:pPr>
        <w:keepNext/>
        <w:keepLines/>
        <w:jc w:val="center"/>
        <w:rPr>
          <w:b/>
        </w:rPr>
      </w:pPr>
      <w:r>
        <w:rPr>
          <w:b/>
        </w:rPr>
        <w:t>Artykuł 22</w:t>
      </w:r>
    </w:p>
    <w:p w14:paraId="3CE9E5A1" w14:textId="77777777" w:rsidR="00DD75EA" w:rsidRPr="00933EA2" w:rsidRDefault="00DD75EA" w:rsidP="00933EA2">
      <w:pPr>
        <w:keepNext/>
        <w:keepLines/>
        <w:rPr>
          <w:b/>
        </w:rPr>
      </w:pPr>
    </w:p>
    <w:p w14:paraId="741B27CE" w14:textId="63DF5921" w:rsidR="00DD75EA" w:rsidRPr="00933EA2" w:rsidRDefault="00DD75EA" w:rsidP="00933EA2">
      <w:pPr>
        <w:jc w:val="both"/>
      </w:pPr>
      <w:r>
        <w:t xml:space="preserve">Po zakończeniu prac organ certyfikujący sporządza sprawozdanie z poczynionych obserwacji. Sprawozdanie zawiera wykaz wszystkich stwierdzonych niezgodności, niezależnie od poziomu ich krytyczności. </w:t>
      </w:r>
    </w:p>
    <w:p w14:paraId="50D2ED44" w14:textId="77777777" w:rsidR="00DD75EA" w:rsidRPr="00933EA2" w:rsidRDefault="00DD75EA" w:rsidP="00933EA2">
      <w:pPr>
        <w:jc w:val="both"/>
      </w:pPr>
      <w:r>
        <w:t xml:space="preserve">Sprawozdanie prowadzi do certyfikacji bez zastrzeżeń lub do certyfikacji z zastrzeżeniami. </w:t>
      </w:r>
    </w:p>
    <w:p w14:paraId="46E5250A" w14:textId="77777777" w:rsidR="00DD75EA" w:rsidRPr="00933EA2" w:rsidRDefault="00DD75EA" w:rsidP="00933EA2">
      <w:pPr>
        <w:jc w:val="both"/>
      </w:pPr>
      <w:r>
        <w:t xml:space="preserve">Certyfikacji dokonuje się z zastrzeżeniami, jeżeli jeden lub kilka wymogów technicznych o poziomie krytyczności zdefiniowanym w technicznej dokumentacji odniesienia nie zostało spełnionych. </w:t>
      </w:r>
    </w:p>
    <w:p w14:paraId="5FCADA94" w14:textId="77777777" w:rsidR="00DD75EA" w:rsidRPr="00933EA2" w:rsidRDefault="00DD75EA" w:rsidP="00933EA2">
      <w:pPr>
        <w:jc w:val="both"/>
      </w:pPr>
      <w:r>
        <w:t xml:space="preserve">Organ certyfikujący przekazuje danemu podmiotowi dokument potwierdzający uzyskanie certyfikacji, o której mowa w wyżej wspomnianej ustawie z dnia 12 maja 2010 r. art. 23, aby dokonał on przekazania przewidzianego w tym artykule. Dokument ten informuje, czy certyfikację uzyskano z zastrzeżeniami, czy bez, oraz określa, w stosownych przypadkach, jakie są to zastrzeżenia. </w:t>
      </w:r>
    </w:p>
    <w:p w14:paraId="043059D4" w14:textId="77777777" w:rsidR="00DD75EA" w:rsidRPr="00933EA2" w:rsidRDefault="00DD75EA" w:rsidP="00933EA2">
      <w:pPr>
        <w:jc w:val="both"/>
      </w:pPr>
    </w:p>
    <w:p w14:paraId="4DF2C95F" w14:textId="0A6B373C" w:rsidR="00DD75EA" w:rsidRPr="00933EA2" w:rsidRDefault="00DD75EA" w:rsidP="00933EA2">
      <w:pPr>
        <w:keepNext/>
        <w:keepLines/>
        <w:jc w:val="center"/>
        <w:rPr>
          <w:b/>
        </w:rPr>
      </w:pPr>
      <w:r>
        <w:rPr>
          <w:b/>
        </w:rPr>
        <w:t>Artykuł 23</w:t>
      </w:r>
    </w:p>
    <w:p w14:paraId="7624138E" w14:textId="77777777" w:rsidR="00DD75EA" w:rsidRPr="00933EA2" w:rsidRDefault="00DD75EA" w:rsidP="00933EA2">
      <w:pPr>
        <w:keepNext/>
        <w:keepLines/>
        <w:rPr>
          <w:b/>
        </w:rPr>
      </w:pPr>
    </w:p>
    <w:p w14:paraId="610F2AD1" w14:textId="77777777" w:rsidR="00DD75EA" w:rsidRPr="00933EA2" w:rsidRDefault="00DD75EA" w:rsidP="00933EA2">
      <w:pPr>
        <w:jc w:val="both"/>
      </w:pPr>
      <w:r>
        <w:t xml:space="preserve">Po złożeniu sprawozdania z certyfikacji podmiot sporządza, w stosownych przypadkach, karty anomalii, które przekazuje do Krajowego Urzędu Gier w terminie miesiąca od złożenia sprawozdania. Karty anomalii do celów informacyjnych kieruje się do organu certyfikującego. </w:t>
      </w:r>
    </w:p>
    <w:p w14:paraId="1DEA7410" w14:textId="77777777" w:rsidR="00DD75EA" w:rsidRPr="00933EA2" w:rsidRDefault="00DD75EA" w:rsidP="00933EA2">
      <w:pPr>
        <w:jc w:val="both"/>
      </w:pPr>
      <w:r>
        <w:t xml:space="preserve">Karty anomalii stanowią odrębne dokumenty w stosunku do sprawozdania z certyfikacji. </w:t>
      </w:r>
    </w:p>
    <w:p w14:paraId="46733F03" w14:textId="77777777" w:rsidR="00DD75EA" w:rsidRPr="00933EA2" w:rsidRDefault="00DD75EA" w:rsidP="00933EA2">
      <w:pPr>
        <w:jc w:val="both"/>
      </w:pPr>
      <w:r>
        <w:t xml:space="preserve">Zawierają wykaz wszystkich niezgodności stwierdzonych w sprawozdaniu z certyfikacji, niezależnie od poziomu ich krytyczności. </w:t>
      </w:r>
    </w:p>
    <w:p w14:paraId="4E452E94" w14:textId="77777777" w:rsidR="00DD75EA" w:rsidRPr="00933EA2" w:rsidRDefault="00DD75EA" w:rsidP="00933EA2">
      <w:pPr>
        <w:jc w:val="both"/>
      </w:pPr>
      <w:r>
        <w:t xml:space="preserve">Dla każdej niezgodności podmiot proponuje w stosownych przypadkach środki naprawcze oraz harmonogram ich realizacji. </w:t>
      </w:r>
    </w:p>
    <w:p w14:paraId="4F18D176" w14:textId="77777777" w:rsidR="00DD75EA" w:rsidRPr="00933EA2" w:rsidRDefault="00DD75EA" w:rsidP="00933EA2">
      <w:pPr>
        <w:jc w:val="both"/>
      </w:pPr>
      <w:r>
        <w:t xml:space="preserve">Karty anomalii mogą również umożliwić podmiotowi zgłoszenie Krajowemu Urzędowi Gier wszelkich przydatnych informacji lub obserwacji na temat przebiegu operacji certyfikacji lub wyrażenie przez niego ewentualnego braku zgody z konkluzjami sprawozdania lub z zastosowaną metodyką. W stosownych przypadkach podmiot może zlecić przeprowadzenie nowego pomiaru i przedstawić wynik tego pomiaru w ramach kart anomalii. </w:t>
      </w:r>
    </w:p>
    <w:p w14:paraId="062872B7" w14:textId="77777777" w:rsidR="00DD75EA" w:rsidRPr="00933EA2" w:rsidRDefault="00DD75EA" w:rsidP="00933EA2">
      <w:pPr>
        <w:rPr>
          <w:b/>
        </w:rPr>
      </w:pPr>
    </w:p>
    <w:p w14:paraId="58C57799" w14:textId="4E32B005" w:rsidR="00DD75EA" w:rsidRPr="00933EA2" w:rsidRDefault="00DD75EA" w:rsidP="00933EA2">
      <w:pPr>
        <w:keepNext/>
        <w:keepLines/>
        <w:jc w:val="center"/>
        <w:rPr>
          <w:b/>
        </w:rPr>
      </w:pPr>
      <w:r>
        <w:rPr>
          <w:b/>
        </w:rPr>
        <w:t>Artykuł 24</w:t>
      </w:r>
    </w:p>
    <w:p w14:paraId="2A8A0D5D" w14:textId="77777777" w:rsidR="00DD75EA" w:rsidRPr="00933EA2" w:rsidRDefault="00DD75EA" w:rsidP="00933EA2">
      <w:pPr>
        <w:keepNext/>
        <w:keepLines/>
        <w:rPr>
          <w:b/>
        </w:rPr>
      </w:pPr>
    </w:p>
    <w:p w14:paraId="0D2F6807" w14:textId="77777777" w:rsidR="00DD75EA" w:rsidRPr="00933EA2" w:rsidRDefault="00DD75EA" w:rsidP="00933EA2">
      <w:pPr>
        <w:jc w:val="both"/>
      </w:pPr>
      <w:r>
        <w:t xml:space="preserve">Organy wpisane do wykazu organów certyfikujących na podstawie ich kwalifikacji technicznych przed datą publikacji niniejszego dekretu pozostają wpisane do tego wykazu do terminu ustalonego przepisami obowiązującymi w dniu ich wpisu. </w:t>
      </w:r>
    </w:p>
    <w:p w14:paraId="6EB693B4" w14:textId="77777777" w:rsidR="00D13FBA" w:rsidRPr="00933EA2" w:rsidRDefault="00DD75EA" w:rsidP="00933EA2">
      <w:pPr>
        <w:jc w:val="both"/>
      </w:pPr>
      <w:r>
        <w:t xml:space="preserve">Organy wpisane do wykazu organów certyfikujących na podstawie ich kwalifikacji technicznych jako podwykonawców przed datą publikacji niniejszego dekretu pozostają wpisane do tego wykazu do terminu ustalonego przepisami obowiązującymi w dniu ich wpisu. Mogą oferować realizację zadań certyfikacji jako główny wykonawca w ramach przepisów niniejszego dekretu od momentu jego publikacji. </w:t>
      </w:r>
    </w:p>
    <w:p w14:paraId="6D4D6550" w14:textId="77777777" w:rsidR="001441BB" w:rsidRPr="00933EA2" w:rsidRDefault="001441BB" w:rsidP="00933EA2">
      <w:pPr>
        <w:jc w:val="both"/>
      </w:pPr>
    </w:p>
    <w:p w14:paraId="4D3490E4" w14:textId="77777777" w:rsidR="008701C9" w:rsidRPr="00933EA2" w:rsidRDefault="008701C9" w:rsidP="00933EA2">
      <w:pPr>
        <w:jc w:val="both"/>
      </w:pPr>
    </w:p>
    <w:p w14:paraId="74A76B25" w14:textId="0F312A14" w:rsidR="008701C9" w:rsidRPr="00933EA2" w:rsidRDefault="008701C9" w:rsidP="00933EA2">
      <w:pPr>
        <w:keepNext/>
        <w:keepLines/>
        <w:jc w:val="center"/>
        <w:rPr>
          <w:b/>
        </w:rPr>
      </w:pPr>
      <w:r>
        <w:rPr>
          <w:b/>
        </w:rPr>
        <w:t>TYTUŁ IV: MAKSYMALNA PROPORCJA STAWEK WYPŁACANYCH ŚREDNIO GRACZOM PRZEZ ZATWIERDZONE PODMIOTY URZĄDZAJĄCE ZAKŁADY KONNE I ZAKŁADY SPORTOWE ONLINE</w:t>
      </w:r>
    </w:p>
    <w:p w14:paraId="55C64EFF" w14:textId="77777777" w:rsidR="00DD75EA" w:rsidRPr="00933EA2" w:rsidRDefault="00DD75EA" w:rsidP="00933EA2">
      <w:pPr>
        <w:pStyle w:val="BodyText"/>
        <w:keepNext/>
        <w:keepLines/>
      </w:pPr>
    </w:p>
    <w:p w14:paraId="33D15D7C" w14:textId="099784A4" w:rsidR="008701C9" w:rsidRPr="00933EA2" w:rsidRDefault="008701C9" w:rsidP="00933EA2">
      <w:pPr>
        <w:pStyle w:val="BodyText"/>
        <w:keepNext/>
        <w:keepLines/>
        <w:jc w:val="center"/>
        <w:rPr>
          <w:b/>
        </w:rPr>
      </w:pPr>
      <w:r>
        <w:rPr>
          <w:b/>
        </w:rPr>
        <w:t>Artykuł 25</w:t>
      </w:r>
    </w:p>
    <w:p w14:paraId="01FC3784" w14:textId="77777777" w:rsidR="008701C9" w:rsidRPr="00933EA2" w:rsidRDefault="008701C9" w:rsidP="00933EA2">
      <w:pPr>
        <w:pStyle w:val="BodyText"/>
        <w:keepNext/>
        <w:keepLines/>
      </w:pPr>
    </w:p>
    <w:p w14:paraId="43EA71C9" w14:textId="77777777" w:rsidR="008701C9" w:rsidRPr="00933EA2" w:rsidRDefault="008701C9" w:rsidP="00933EA2">
      <w:pPr>
        <w:pStyle w:val="BodyText"/>
        <w:jc w:val="both"/>
      </w:pPr>
      <w:r>
        <w:t>Proporcją maksymalną kwot wypłacanych średnio graczom, o której mowa w art. 13 ust. II wyżej wspomnianej ustawy z dnia 12 maja 2010 r., określa się stosunek między kwotami wypłaconymi graczom przez podmiot urządzający zakłady a stawkami wpłaconymi przez graczy.</w:t>
      </w:r>
    </w:p>
    <w:p w14:paraId="141BF3A8" w14:textId="77777777" w:rsidR="008701C9" w:rsidRPr="00933EA2" w:rsidRDefault="008701C9" w:rsidP="00933EA2">
      <w:pPr>
        <w:pStyle w:val="BodyText"/>
        <w:jc w:val="both"/>
      </w:pPr>
    </w:p>
    <w:p w14:paraId="0F5F3107" w14:textId="14C82C5F" w:rsidR="008701C9" w:rsidRPr="00933EA2" w:rsidRDefault="008701C9" w:rsidP="00933EA2">
      <w:pPr>
        <w:pStyle w:val="BodyText"/>
        <w:keepNext/>
        <w:keepLines/>
        <w:jc w:val="center"/>
        <w:rPr>
          <w:b/>
        </w:rPr>
      </w:pPr>
      <w:r>
        <w:rPr>
          <w:b/>
        </w:rPr>
        <w:t>Artykuł 26</w:t>
      </w:r>
    </w:p>
    <w:p w14:paraId="51E88779" w14:textId="77777777" w:rsidR="008701C9" w:rsidRPr="00933EA2" w:rsidRDefault="008701C9" w:rsidP="00933EA2">
      <w:pPr>
        <w:keepNext/>
        <w:keepLines/>
        <w:jc w:val="both"/>
        <w:rPr>
          <w:strike/>
        </w:rPr>
      </w:pPr>
    </w:p>
    <w:p w14:paraId="60A2140F" w14:textId="5E5AF31B" w:rsidR="008701C9" w:rsidRPr="00933EA2" w:rsidRDefault="008701C9" w:rsidP="00933EA2">
      <w:pPr>
        <w:jc w:val="both"/>
      </w:pPr>
      <w:r>
        <w:t>Na kwoty wypłacane graczom składają się wszystkie wygrane w gotówce lub wygrane rzeczowe przysługujące od daty realizacji wydarzenia lub wydarzeń, z którymi związana jest gra, w tym kwoty wpłacone przez podmiot, pod warunkiem że gracz może zwrócić się o ich wpłatę na swój rachunek płatniczy.</w:t>
      </w:r>
    </w:p>
    <w:p w14:paraId="44E85AE4" w14:textId="77777777" w:rsidR="008701C9" w:rsidRPr="00933EA2" w:rsidRDefault="008701C9" w:rsidP="00933EA2">
      <w:pPr>
        <w:jc w:val="both"/>
      </w:pPr>
    </w:p>
    <w:p w14:paraId="20F3B5B2" w14:textId="77777777" w:rsidR="008701C9" w:rsidRPr="00933EA2" w:rsidRDefault="008701C9" w:rsidP="00933EA2">
      <w:pPr>
        <w:jc w:val="both"/>
      </w:pPr>
      <w:r>
        <w:t xml:space="preserve">Na stawki wpłacone przez graczy składają się kwoty w gotówce wpłacone przez graczy; podlegają one rozliczeniu od daty realizacji wydarzenia lub wydarzeń, z którymi związana jest gra. </w:t>
      </w:r>
    </w:p>
    <w:p w14:paraId="408E3179" w14:textId="7A55EB21" w:rsidR="008701C9" w:rsidRDefault="008701C9" w:rsidP="00933EA2">
      <w:pPr>
        <w:pStyle w:val="BodyText"/>
        <w:keepNext/>
        <w:keepLines/>
        <w:jc w:val="center"/>
        <w:rPr>
          <w:b/>
        </w:rPr>
      </w:pPr>
      <w:r>
        <w:rPr>
          <w:b/>
        </w:rPr>
        <w:t>Artykuł 27</w:t>
      </w:r>
    </w:p>
    <w:p w14:paraId="2795718B" w14:textId="77777777" w:rsidR="00933EA2" w:rsidRPr="00933EA2" w:rsidRDefault="00933EA2" w:rsidP="00933EA2">
      <w:pPr>
        <w:keepNext/>
        <w:keepLines/>
        <w:jc w:val="both"/>
        <w:rPr>
          <w:strike/>
        </w:rPr>
      </w:pPr>
    </w:p>
    <w:p w14:paraId="2A0CD78F" w14:textId="77777777" w:rsidR="008701C9" w:rsidRPr="00933EA2" w:rsidRDefault="008701C9" w:rsidP="00933EA2">
      <w:pPr>
        <w:jc w:val="both"/>
      </w:pPr>
      <w:r>
        <w:t>Proporcja maksymalna kwot wypłacanych średnio graczom w ramach obsługi zakładów online wynosi 85 %.</w:t>
      </w:r>
    </w:p>
    <w:p w14:paraId="49B6524E" w14:textId="4D2A42CE" w:rsidR="008701C9" w:rsidRPr="00933EA2" w:rsidRDefault="008701C9" w:rsidP="00933EA2">
      <w:pPr>
        <w:pStyle w:val="BodyText"/>
        <w:keepNext/>
        <w:keepLines/>
        <w:jc w:val="center"/>
        <w:rPr>
          <w:b/>
        </w:rPr>
      </w:pPr>
      <w:r>
        <w:rPr>
          <w:b/>
        </w:rPr>
        <w:t>Artykuł 28</w:t>
      </w:r>
    </w:p>
    <w:p w14:paraId="72804D81" w14:textId="77777777" w:rsidR="008701C9" w:rsidRPr="00933EA2" w:rsidRDefault="008701C9" w:rsidP="00933EA2">
      <w:pPr>
        <w:keepNext/>
        <w:keepLines/>
        <w:jc w:val="both"/>
        <w:rPr>
          <w:strike/>
        </w:rPr>
      </w:pPr>
    </w:p>
    <w:p w14:paraId="52D40D03" w14:textId="77777777" w:rsidR="008701C9" w:rsidRPr="00933EA2" w:rsidRDefault="008701C9" w:rsidP="00933EA2">
      <w:pPr>
        <w:jc w:val="both"/>
      </w:pPr>
      <w:r>
        <w:t>W celu zastosowania art. 28 proporcja maksymalna kwot wypłacanych średnio graczom:</w:t>
      </w:r>
    </w:p>
    <w:p w14:paraId="2C04064E" w14:textId="77777777" w:rsidR="008701C9" w:rsidRPr="00933EA2" w:rsidRDefault="008701C9" w:rsidP="00933EA2">
      <w:pPr>
        <w:ind w:left="708"/>
        <w:jc w:val="both"/>
      </w:pPr>
      <w:r>
        <w:t>1° jest obliczana dla każdego zezwolenia oddzielnie;</w:t>
      </w:r>
    </w:p>
    <w:p w14:paraId="3172AC7D" w14:textId="77777777" w:rsidR="008701C9" w:rsidRPr="00933EA2" w:rsidRDefault="008701C9" w:rsidP="00933EA2">
      <w:pPr>
        <w:ind w:left="708"/>
        <w:jc w:val="both"/>
      </w:pPr>
      <w:r>
        <w:t>2° jest obliczana raz do roku, na podstawie roku kalendarzowego.</w:t>
      </w:r>
    </w:p>
    <w:p w14:paraId="174FFC32" w14:textId="77777777" w:rsidR="008701C9" w:rsidRPr="00933EA2" w:rsidRDefault="008701C9" w:rsidP="00933EA2">
      <w:pPr>
        <w:ind w:left="708"/>
        <w:jc w:val="both"/>
      </w:pPr>
    </w:p>
    <w:p w14:paraId="728ADA42" w14:textId="77777777" w:rsidR="008701C9" w:rsidRPr="00933EA2" w:rsidRDefault="008701C9" w:rsidP="00933EA2">
      <w:pPr>
        <w:rPr>
          <w:b/>
        </w:rPr>
      </w:pPr>
    </w:p>
    <w:p w14:paraId="53E41CD9" w14:textId="6951AF60" w:rsidR="008701C9" w:rsidRDefault="008701C9" w:rsidP="00933EA2">
      <w:pPr>
        <w:pStyle w:val="BodyText"/>
        <w:keepNext/>
        <w:keepLines/>
        <w:jc w:val="center"/>
        <w:rPr>
          <w:b/>
        </w:rPr>
      </w:pPr>
      <w:r>
        <w:rPr>
          <w:b/>
        </w:rPr>
        <w:lastRenderedPageBreak/>
        <w:t>Artykuł 29</w:t>
      </w:r>
    </w:p>
    <w:p w14:paraId="253ED52E" w14:textId="77777777" w:rsidR="00933EA2" w:rsidRPr="00933EA2" w:rsidRDefault="00933EA2" w:rsidP="00933EA2">
      <w:pPr>
        <w:keepNext/>
        <w:keepLines/>
        <w:rPr>
          <w:b/>
        </w:rPr>
      </w:pPr>
    </w:p>
    <w:p w14:paraId="713388DF" w14:textId="77777777" w:rsidR="008701C9" w:rsidRPr="00933EA2" w:rsidRDefault="008701C9" w:rsidP="00933EA2">
      <w:pPr>
        <w:spacing w:before="100" w:beforeAutospacing="1" w:after="100" w:afterAutospacing="1"/>
        <w:jc w:val="both"/>
      </w:pPr>
      <w:r>
        <w:t>I. – Co kwartał podmiot przekazuje Krajowemu Urzędowi Gier w ramach swojej działalności odpowiadającej wszystkim posiadanym przez niego zezwoleniom na prowadzenie działalności podmiotu urządzającego zakłady online zestawienie wszystkich kwot wypłaconych lub do wypłaty graczom oraz wszystkich stawek dokonanych przez graczy.</w:t>
      </w:r>
    </w:p>
    <w:p w14:paraId="6116BD42" w14:textId="559F7A3D" w:rsidR="008701C9" w:rsidRPr="00933EA2" w:rsidRDefault="008701C9" w:rsidP="00933EA2">
      <w:pPr>
        <w:spacing w:before="100" w:beforeAutospacing="1" w:after="100" w:afterAutospacing="1"/>
        <w:jc w:val="both"/>
      </w:pPr>
      <w:r>
        <w:t>II. – Podmiot określa wartość wygranych rzeczowych w celu jej wprowadzenia do obliczenia proporcji kwot, które wypłacił graczom; podmiot informuje Krajowy Urząd Gier o elementach, na których opierał się, określając tę wartość.</w:t>
      </w:r>
    </w:p>
    <w:p w14:paraId="40677CB2" w14:textId="77777777" w:rsidR="008701C9" w:rsidRPr="00933EA2" w:rsidRDefault="008701C9" w:rsidP="00933EA2">
      <w:pPr>
        <w:spacing w:before="100" w:beforeAutospacing="1" w:after="100" w:afterAutospacing="1"/>
        <w:jc w:val="both"/>
      </w:pPr>
      <w:r>
        <w:t>III. – Zestawienie to musi zostać przekazane:</w:t>
      </w:r>
    </w:p>
    <w:p w14:paraId="5D278BD5" w14:textId="77777777" w:rsidR="008701C9" w:rsidRPr="00933EA2" w:rsidRDefault="008701C9" w:rsidP="00933EA2">
      <w:pPr>
        <w:spacing w:before="100" w:beforeAutospacing="1" w:after="100" w:afterAutospacing="1"/>
        <w:jc w:val="both"/>
      </w:pPr>
      <w:r>
        <w:t>1° najpóźniej do 15 kwietnia w przypadku zakładów dokonanych w trakcie pierwszego kwartału bieżącego roku;</w:t>
      </w:r>
    </w:p>
    <w:p w14:paraId="512C5C0B" w14:textId="77777777" w:rsidR="008701C9" w:rsidRPr="00933EA2" w:rsidRDefault="008701C9" w:rsidP="00933EA2">
      <w:pPr>
        <w:spacing w:before="100" w:beforeAutospacing="1" w:after="100" w:afterAutospacing="1"/>
        <w:jc w:val="both"/>
      </w:pPr>
      <w:r>
        <w:t>2° najpóźniej do 15 lipca w przypadku zakładów dokonanych w trakcie drugiego kwartału bieżącego roku;</w:t>
      </w:r>
    </w:p>
    <w:p w14:paraId="2DD400E4" w14:textId="77777777" w:rsidR="008701C9" w:rsidRPr="00933EA2" w:rsidRDefault="008701C9" w:rsidP="00933EA2">
      <w:pPr>
        <w:spacing w:before="100" w:beforeAutospacing="1" w:after="100" w:afterAutospacing="1"/>
        <w:jc w:val="both"/>
      </w:pPr>
      <w:r>
        <w:t>3° najpóźniej do 15 października w przypadku zakładów dokonanych w trakcie trzeciego kwartału bieżącego roku;</w:t>
      </w:r>
    </w:p>
    <w:p w14:paraId="3932FE13" w14:textId="77777777" w:rsidR="008701C9" w:rsidRPr="00933EA2" w:rsidRDefault="008701C9" w:rsidP="00933EA2">
      <w:pPr>
        <w:spacing w:before="100" w:beforeAutospacing="1" w:after="100" w:afterAutospacing="1"/>
        <w:jc w:val="both"/>
      </w:pPr>
      <w:r>
        <w:t>4° najpóźniej do 15 stycznia w przypadku zakładów dokonanych w trakcie czwartego kwartału poprzedniego roku.</w:t>
      </w:r>
    </w:p>
    <w:p w14:paraId="53B60FC2" w14:textId="77777777" w:rsidR="008701C9" w:rsidRPr="00933EA2" w:rsidRDefault="008701C9" w:rsidP="00933EA2">
      <w:pPr>
        <w:jc w:val="both"/>
        <w:rPr>
          <w:u w:val="single"/>
        </w:rPr>
      </w:pPr>
    </w:p>
    <w:p w14:paraId="0A87592D" w14:textId="07D61823" w:rsidR="008701C9" w:rsidRDefault="008701C9" w:rsidP="00933EA2">
      <w:pPr>
        <w:pStyle w:val="BodyText"/>
        <w:keepNext/>
        <w:keepLines/>
        <w:jc w:val="center"/>
        <w:rPr>
          <w:b/>
        </w:rPr>
      </w:pPr>
      <w:r>
        <w:rPr>
          <w:b/>
        </w:rPr>
        <w:t>Artykuł 30</w:t>
      </w:r>
    </w:p>
    <w:p w14:paraId="76851D86" w14:textId="77777777" w:rsidR="00933EA2" w:rsidRPr="00933EA2" w:rsidRDefault="00933EA2" w:rsidP="00933EA2">
      <w:pPr>
        <w:keepNext/>
        <w:keepLines/>
        <w:rPr>
          <w:b/>
        </w:rPr>
      </w:pPr>
    </w:p>
    <w:p w14:paraId="0574C2B5" w14:textId="77777777" w:rsidR="008701C9" w:rsidRPr="00933EA2" w:rsidRDefault="008701C9" w:rsidP="00933EA2">
      <w:pPr>
        <w:spacing w:before="100" w:beforeAutospacing="1" w:after="100" w:afterAutospacing="1"/>
        <w:jc w:val="both"/>
      </w:pPr>
      <w:r>
        <w:t xml:space="preserve">Podmioty posiadające zatwierdzenie przewidziane w </w:t>
      </w:r>
      <w:hyperlink r:id="rId6" w:history="1">
        <w:r>
          <w:t>art. 21 wyżej wspomnianej ustawy z dnia 12 maja 2010 r.,</w:t>
        </w:r>
      </w:hyperlink>
      <w:r>
        <w:t xml:space="preserve"> które decydują się na łączenie między sobą stawek wpłacanych przez zakładających się, zawierają w tym celu na piśmie umowę o łączeniu pul.</w:t>
      </w:r>
    </w:p>
    <w:p w14:paraId="6B5E456F" w14:textId="77777777" w:rsidR="008701C9" w:rsidRPr="00452EF3" w:rsidRDefault="008701C9" w:rsidP="00933EA2">
      <w:pPr>
        <w:spacing w:after="240"/>
        <w:jc w:val="both"/>
      </w:pPr>
      <w:r>
        <w:t xml:space="preserve">Po podpisaniu egzemplarz umowy o łączeniu pul należy przekazać do Krajowego Urzędu Gier. </w:t>
      </w:r>
    </w:p>
    <w:p w14:paraId="1A9AAF8F" w14:textId="77777777" w:rsidR="008701C9" w:rsidRPr="00933EA2" w:rsidRDefault="008701C9" w:rsidP="00933EA2">
      <w:pPr>
        <w:spacing w:after="240"/>
        <w:jc w:val="both"/>
      </w:pPr>
      <w:r>
        <w:t>Umowa definiuje prawa i obowiązki zatwierdzonych podmiotów będących jej stronami, a w szczególności:</w:t>
      </w:r>
    </w:p>
    <w:p w14:paraId="3B4DBAB8" w14:textId="77777777" w:rsidR="008701C9" w:rsidRPr="00933EA2" w:rsidRDefault="008701C9" w:rsidP="00933EA2">
      <w:pPr>
        <w:spacing w:after="240"/>
        <w:jc w:val="both"/>
      </w:pPr>
      <w:r>
        <w:t>1° wyznacza osobę odpowiedzialną za zarządzanie połączonymi pulami, tak, aby zatwierdzone podmioty przestrzegały maksymalnej proporcji kwot wypłacanych średnio graczom zdefiniowanej w art. 3;</w:t>
      </w:r>
    </w:p>
    <w:p w14:paraId="30010068" w14:textId="77777777" w:rsidR="008701C9" w:rsidRPr="00933EA2" w:rsidRDefault="008701C9" w:rsidP="00933EA2">
      <w:pPr>
        <w:spacing w:after="240"/>
        <w:jc w:val="both"/>
      </w:pPr>
      <w:r>
        <w:t>2° w przypadku zakładów konnych wyścig lub serię wyścigów oraz rodzaj wyniku stanowiące przedmiot łączenia;</w:t>
      </w:r>
    </w:p>
    <w:p w14:paraId="31796E46" w14:textId="77777777" w:rsidR="008701C9" w:rsidRPr="00933EA2" w:rsidRDefault="008701C9" w:rsidP="00933EA2">
      <w:pPr>
        <w:spacing w:after="240"/>
        <w:jc w:val="both"/>
      </w:pPr>
      <w:r>
        <w:t>3° w przypadku zakładów sportowych zawody lub imprezę sportową oraz rodzaj wyniku stanowiące przedmiot łączenia;</w:t>
      </w:r>
    </w:p>
    <w:p w14:paraId="1A883AC4" w14:textId="3B68A492" w:rsidR="008701C9" w:rsidRPr="00933EA2" w:rsidRDefault="008701C9" w:rsidP="00933EA2">
      <w:pPr>
        <w:spacing w:after="240"/>
        <w:jc w:val="both"/>
      </w:pPr>
      <w:r>
        <w:t>4° warunki zarządzania premiami, nadwyżkami pul i wygranymi zdefiniowane przez podmiotów w celu przestrzegania współczynnika ustalonego w art. 27;</w:t>
      </w:r>
    </w:p>
    <w:p w14:paraId="774321AE" w14:textId="77777777" w:rsidR="008701C9" w:rsidRPr="00933EA2" w:rsidRDefault="008701C9" w:rsidP="00933EA2">
      <w:pPr>
        <w:spacing w:after="240"/>
        <w:jc w:val="both"/>
      </w:pPr>
      <w:r>
        <w:lastRenderedPageBreak/>
        <w:t>5° warunki techniczne, zgodnie z którymi dokonuje się łączenia pul.</w:t>
      </w:r>
    </w:p>
    <w:p w14:paraId="656FFE0E" w14:textId="77777777" w:rsidR="008701C9" w:rsidRPr="00933EA2" w:rsidRDefault="008701C9" w:rsidP="00933EA2">
      <w:pPr>
        <w:jc w:val="both"/>
        <w:rPr>
          <w:u w:val="single"/>
        </w:rPr>
      </w:pPr>
    </w:p>
    <w:p w14:paraId="14724404" w14:textId="387E552C" w:rsidR="008701C9" w:rsidRPr="00933EA2" w:rsidRDefault="00B705CF" w:rsidP="00933EA2">
      <w:pPr>
        <w:pStyle w:val="BodyText"/>
        <w:keepNext/>
        <w:keepLines/>
        <w:jc w:val="center"/>
        <w:rPr>
          <w:b/>
        </w:rPr>
      </w:pPr>
      <w:r>
        <w:rPr>
          <w:b/>
        </w:rPr>
        <w:t>Artykuł 31</w:t>
      </w:r>
    </w:p>
    <w:p w14:paraId="7EA81AA0" w14:textId="77777777" w:rsidR="008701C9" w:rsidRPr="00933EA2" w:rsidRDefault="008701C9" w:rsidP="00933EA2">
      <w:pPr>
        <w:keepNext/>
        <w:keepLines/>
        <w:rPr>
          <w:b/>
        </w:rPr>
      </w:pPr>
    </w:p>
    <w:p w14:paraId="12126FC7" w14:textId="77777777" w:rsidR="008701C9" w:rsidRPr="00933EA2" w:rsidRDefault="008701C9" w:rsidP="00933EA2">
      <w:pPr>
        <w:jc w:val="both"/>
      </w:pPr>
      <w:r>
        <w:t>Proporcję kwot wypłacanych średnio graczom lub współczynnik wypłat dla graczy (TRJ) ustala się, dla każdego zatwierdzonego podmiotu będącego stroną umowy o łączeniu pul, na podstawie następującego wzoru:</w:t>
      </w:r>
    </w:p>
    <w:p w14:paraId="6856DE50" w14:textId="5415CC7F" w:rsidR="008701C9" w:rsidRPr="00933EA2" w:rsidRDefault="008701C9" w:rsidP="00933EA2">
      <w:pPr>
        <w:spacing w:before="100" w:beforeAutospacing="1" w:after="100" w:afterAutospacing="1"/>
        <w:jc w:val="both"/>
      </w:pPr>
      <w:r>
        <w:t xml:space="preserve">Ze wzorem można zapoznać się w kopii Dziennika Urzędowego nr 0244 z dnia 21.10.2015 r., tekst nr 6, pod następującym adresem: </w:t>
      </w:r>
    </w:p>
    <w:p w14:paraId="679B85AB" w14:textId="77777777" w:rsidR="008701C9" w:rsidRPr="00933EA2" w:rsidRDefault="000B24A0" w:rsidP="00933EA2">
      <w:pPr>
        <w:spacing w:before="100" w:beforeAutospacing="1" w:after="100" w:afterAutospacing="1"/>
        <w:jc w:val="both"/>
      </w:pPr>
      <w:hyperlink r:id="rId7" w:history="1">
        <w:r w:rsidR="00452EF3">
          <w:rPr>
            <w:color w:val="0000FF"/>
            <w:u w:val="single"/>
          </w:rPr>
          <w:t>http://www.legifrance.gouv.fr/jopdf/common/jo_pdf.jsp?numJO=0&amp;dateJO=20151021&amp;numTexte=6&amp;pageDebut=19518&amp;pageFin=19519</w:t>
        </w:r>
      </w:hyperlink>
      <w:r w:rsidR="00452EF3">
        <w:t xml:space="preserve"> </w:t>
      </w:r>
    </w:p>
    <w:p w14:paraId="5463CC75" w14:textId="77777777" w:rsidR="008701C9" w:rsidRPr="00933EA2" w:rsidRDefault="008701C9" w:rsidP="00933EA2">
      <w:pPr>
        <w:spacing w:before="100" w:beforeAutospacing="1" w:after="100" w:afterAutospacing="1"/>
        <w:jc w:val="both"/>
      </w:pPr>
      <w:r>
        <w:t>Mises(Mi) odpowiada całkowitej kwocie stawek wpłaconych przez graczy zatwierdzonemu podmiotowi dla puli Mi.</w:t>
      </w:r>
    </w:p>
    <w:p w14:paraId="13A78E75" w14:textId="77777777" w:rsidR="008701C9" w:rsidRPr="00933EA2" w:rsidRDefault="008701C9" w:rsidP="00933EA2">
      <w:pPr>
        <w:spacing w:before="100" w:beforeAutospacing="1" w:after="100" w:afterAutospacing="1"/>
        <w:jc w:val="both"/>
      </w:pPr>
      <w:r>
        <w:t>M0 odpowiada puli niepołączonej z innymi zatwierdzonymi podmiotami. Pula ta odpowiada, w zależności od przypadku, własnej puli zatwierdzonego podmiotu lub puli połączonej przez ten podmiot z innymi podmiotami nieposiadającymi zatwierdzenia przewidzianego w art. 21 wyżej wspomnianej ustawy z dnia 12 maja 2010 r.</w:t>
      </w:r>
    </w:p>
    <w:p w14:paraId="1E10CBD7" w14:textId="77777777" w:rsidR="008701C9" w:rsidRPr="00933EA2" w:rsidRDefault="008701C9" w:rsidP="00933EA2">
      <w:pPr>
        <w:spacing w:before="100" w:beforeAutospacing="1" w:after="100" w:afterAutospacing="1"/>
        <w:jc w:val="both"/>
      </w:pPr>
      <w:r>
        <w:t>Mi z i≠0 odpowiada puli połączonej z innymi zatwierdzonymi podmiotami na podstawie umowy i.</w:t>
      </w:r>
    </w:p>
    <w:p w14:paraId="0568A677" w14:textId="77777777" w:rsidR="008701C9" w:rsidRPr="00933EA2" w:rsidRDefault="008701C9" w:rsidP="00933EA2">
      <w:pPr>
        <w:spacing w:before="100" w:beforeAutospacing="1" w:after="100" w:afterAutospacing="1"/>
        <w:jc w:val="both"/>
      </w:pPr>
      <w:r>
        <w:t>∑nj = 0 Mises (Mj) odpowiada całkowitej kwocie stawek zatwierdzonego podmiotu wpłaconych przez jego graczy.</w:t>
      </w:r>
    </w:p>
    <w:p w14:paraId="1AC6CEEB" w14:textId="77777777" w:rsidR="008701C9" w:rsidRPr="00933EA2" w:rsidRDefault="008701C9" w:rsidP="00933EA2">
      <w:pPr>
        <w:spacing w:before="100" w:beforeAutospacing="1" w:after="100" w:afterAutospacing="1"/>
        <w:jc w:val="both"/>
      </w:pPr>
      <w:r>
        <w:t>TRJ(M0) odpowiada TRJ puli podmiotu niepołączonej z innymi zatwierdzonymi podmiotami. TRJ(M0) oblicza się według metody ogólnej wskazanej w art. 1 i 2, z uwzględnieniem wyłącznie elementów związanych z operacjami niepołączonymi z zatwierdzonymi podmiotami i wykonanymi wyłącznie przez graczy podmiotu.</w:t>
      </w:r>
    </w:p>
    <w:p w14:paraId="57FCBCE0" w14:textId="77777777" w:rsidR="008701C9" w:rsidRPr="00933EA2" w:rsidRDefault="008701C9" w:rsidP="00933EA2">
      <w:pPr>
        <w:spacing w:before="100" w:beforeAutospacing="1" w:after="100" w:afterAutospacing="1"/>
        <w:jc w:val="both"/>
      </w:pPr>
      <w:r>
        <w:t>TRJ(Mi) z i≠0 odpowiada TRJ połączonej puli Mi.</w:t>
      </w:r>
    </w:p>
    <w:p w14:paraId="15E6BD5C" w14:textId="77777777" w:rsidR="008701C9" w:rsidRPr="00933EA2" w:rsidRDefault="008701C9" w:rsidP="00933EA2">
      <w:pPr>
        <w:spacing w:before="100" w:beforeAutospacing="1" w:after="100" w:afterAutospacing="1"/>
        <w:jc w:val="both"/>
      </w:pPr>
      <w:r>
        <w:t>TRJ(Mi) oblicza się według metody ogólnej wskazanej w art. 1 i 2, z uwzględnieniem wyłącznie elementów związanych z umową o łączeniu pul i dotyczących wszystkich graczy zatwierdzonych podmiotów będących stronami tej umowy o łączeniu pul.</w:t>
      </w:r>
    </w:p>
    <w:p w14:paraId="74D4ED17" w14:textId="42C1DF07" w:rsidR="008701C9" w:rsidRPr="00933EA2" w:rsidRDefault="00B705CF" w:rsidP="00933EA2">
      <w:pPr>
        <w:pStyle w:val="BodyText"/>
        <w:keepNext/>
        <w:keepLines/>
        <w:jc w:val="center"/>
        <w:rPr>
          <w:b/>
        </w:rPr>
      </w:pPr>
      <w:r>
        <w:rPr>
          <w:b/>
        </w:rPr>
        <w:t>Artykuł 32</w:t>
      </w:r>
    </w:p>
    <w:p w14:paraId="2798784E" w14:textId="77777777" w:rsidR="008701C9" w:rsidRPr="00933EA2" w:rsidRDefault="008701C9" w:rsidP="00933EA2">
      <w:pPr>
        <w:keepNext/>
        <w:keepLines/>
        <w:rPr>
          <w:b/>
        </w:rPr>
      </w:pPr>
    </w:p>
    <w:p w14:paraId="1F4C0003" w14:textId="71727D5C" w:rsidR="008701C9" w:rsidRPr="00933EA2" w:rsidRDefault="008701C9" w:rsidP="00933EA2">
      <w:pPr>
        <w:jc w:val="both"/>
      </w:pPr>
      <w:r>
        <w:t xml:space="preserve">Proporcję kwot wypłacanych średnio graczom przez podmiot posiadający zatwierdzenie przewidziane w </w:t>
      </w:r>
      <w:hyperlink r:id="rId8" w:history="1">
        <w:r>
          <w:t>art. 21 wyżej wspomnianej ustawy z dnia 12 maja 2010 r.</w:t>
        </w:r>
      </w:hyperlink>
      <w:r>
        <w:t>, łączący stawki wpłacone przez własnych zakładających się wyłącznie ze stawkami wpłacanymi przez zakładających się podmiotu nieposiadającego takiego zatwierdzenia, określa się na podstawie art. 25–28.</w:t>
      </w:r>
    </w:p>
    <w:p w14:paraId="014ED93E" w14:textId="77777777" w:rsidR="00C342AB" w:rsidRPr="00933EA2" w:rsidRDefault="00C342AB" w:rsidP="00933EA2">
      <w:pPr>
        <w:pStyle w:val="BodyText"/>
        <w:jc w:val="both"/>
      </w:pPr>
    </w:p>
    <w:p w14:paraId="48F0C6DC" w14:textId="02D7A6A2" w:rsidR="00E83532" w:rsidRPr="00933EA2" w:rsidRDefault="00E83532" w:rsidP="007A780D">
      <w:pPr>
        <w:keepNext/>
        <w:keepLines/>
        <w:jc w:val="center"/>
        <w:rPr>
          <w:b/>
        </w:rPr>
      </w:pPr>
      <w:r>
        <w:rPr>
          <w:b/>
        </w:rPr>
        <w:lastRenderedPageBreak/>
        <w:t>TYTUŁ V: WARUNKI WPROWADZANIA DO OBROTU PRAW DOTYCZĄCYCH ORGANIZACJI ZAKŁADÓW W ZWIĄZKU Z IMPREZĄ SPORTOWĄ LUB ZAWODAMI</w:t>
      </w:r>
    </w:p>
    <w:p w14:paraId="5809CD9F" w14:textId="77777777" w:rsidR="00E83532" w:rsidRPr="00933EA2" w:rsidRDefault="00E83532" w:rsidP="007A780D">
      <w:pPr>
        <w:keepNext/>
        <w:keepLines/>
        <w:jc w:val="center"/>
        <w:rPr>
          <w:b/>
        </w:rPr>
      </w:pPr>
    </w:p>
    <w:p w14:paraId="0B22410E" w14:textId="77777777" w:rsidR="00E83532" w:rsidRPr="00933EA2" w:rsidRDefault="00E83532" w:rsidP="007A780D">
      <w:pPr>
        <w:keepNext/>
        <w:keepLines/>
        <w:jc w:val="center"/>
        <w:rPr>
          <w:b/>
        </w:rPr>
      </w:pPr>
    </w:p>
    <w:p w14:paraId="3C2665F7" w14:textId="6BB42B72" w:rsidR="00E83532" w:rsidRPr="00933EA2" w:rsidRDefault="00B705CF" w:rsidP="007A780D">
      <w:pPr>
        <w:pStyle w:val="BodyText"/>
        <w:keepNext/>
        <w:keepLines/>
        <w:jc w:val="center"/>
        <w:rPr>
          <w:b/>
        </w:rPr>
      </w:pPr>
      <w:r>
        <w:rPr>
          <w:b/>
        </w:rPr>
        <w:t>Artykuł 33</w:t>
      </w:r>
    </w:p>
    <w:p w14:paraId="28229132" w14:textId="77777777" w:rsidR="00E83532" w:rsidRPr="00933EA2" w:rsidRDefault="00E83532" w:rsidP="007A780D">
      <w:pPr>
        <w:keepNext/>
        <w:keepLines/>
        <w:rPr>
          <w:b/>
        </w:rPr>
      </w:pPr>
    </w:p>
    <w:p w14:paraId="5128E42F" w14:textId="7AD0B049" w:rsidR="001A748C" w:rsidRPr="00933EA2" w:rsidRDefault="001A748C" w:rsidP="00933EA2">
      <w:pPr>
        <w:jc w:val="both"/>
      </w:pPr>
      <w:r>
        <w:t>Federacje sportowe i organizatorzy imprez sportowych wprowadzają do obrotu wraz ze spółką posiadającą prawa wyłączne wspomniane w wyżej wspomnianej ustawie z dnia 22 maja 2019 r., art. 137, oraz, bez wyłączności, z podmiotami urządzającymi zakłady sportowe online posiadającymi zatwierdzenie przewidziane w wyżej wspomnianej ustawie z dnia 12 maja 2010 r., art. 21, prawo do organizowania zakładów dotyczących imprez sportowych lub zawodów sportowych organizowanych przez nich na warunkach przewidzianych w art. 34–37 niniejszego dekretu.</w:t>
      </w:r>
    </w:p>
    <w:p w14:paraId="28C6C1AE" w14:textId="77777777" w:rsidR="00E83532" w:rsidRPr="00933EA2" w:rsidRDefault="00E83532" w:rsidP="00933EA2">
      <w:pPr>
        <w:jc w:val="both"/>
      </w:pPr>
    </w:p>
    <w:p w14:paraId="6C010B8C" w14:textId="79F39930" w:rsidR="00E83532" w:rsidRPr="00933EA2" w:rsidRDefault="00B705CF" w:rsidP="00933EA2">
      <w:pPr>
        <w:pStyle w:val="BodyText"/>
        <w:keepNext/>
        <w:keepLines/>
        <w:jc w:val="center"/>
        <w:rPr>
          <w:b/>
        </w:rPr>
      </w:pPr>
      <w:r>
        <w:rPr>
          <w:b/>
        </w:rPr>
        <w:t>Artykuł 34</w:t>
      </w:r>
    </w:p>
    <w:p w14:paraId="7F24E3CE" w14:textId="77777777" w:rsidR="00E83532" w:rsidRPr="00933EA2" w:rsidRDefault="00E83532" w:rsidP="00933EA2">
      <w:pPr>
        <w:keepNext/>
        <w:keepLines/>
        <w:rPr>
          <w:b/>
        </w:rPr>
      </w:pPr>
    </w:p>
    <w:p w14:paraId="4544500B" w14:textId="77777777" w:rsidR="00E83532" w:rsidRPr="00933EA2" w:rsidRDefault="00E83532" w:rsidP="00933EA2">
      <w:pPr>
        <w:jc w:val="both"/>
      </w:pPr>
      <w:r>
        <w:t>Wprowadzanie do obrotu przez federacje sportowe i organizatorów imprez sportowych prawa do urządzania zakładów odbywa się według niedyskryminacyjnej procedury konsultacji otwartej dla wszystkich podmiotów, które uzyskały zatwierdzenie jako podmioty urządzające zakłady sportowe przewidziane w wyżej wspomnianej ustawie z dnia 12 maja 2010 r., art. 21.</w:t>
      </w:r>
    </w:p>
    <w:p w14:paraId="68BF99B9" w14:textId="77777777" w:rsidR="00E83532" w:rsidRPr="00933EA2" w:rsidRDefault="00E83532" w:rsidP="00933EA2">
      <w:pPr>
        <w:jc w:val="both"/>
      </w:pPr>
      <w:r>
        <w:t>Prawo to nie może być przedmiotem oddzielnych części procedury.</w:t>
      </w:r>
    </w:p>
    <w:p w14:paraId="19794558" w14:textId="77777777" w:rsidR="00E83532" w:rsidRPr="00933EA2" w:rsidRDefault="00E83532" w:rsidP="00933EA2">
      <w:pPr>
        <w:jc w:val="both"/>
      </w:pPr>
      <w:r>
        <w:t>Na wniosek przekazuje się każdemu podmiotowi specyfikację opracowaną przez federację sportową lub organizatora imprez sportowych.</w:t>
      </w:r>
    </w:p>
    <w:p w14:paraId="5C661377" w14:textId="77777777" w:rsidR="00E83532" w:rsidRPr="00933EA2" w:rsidRDefault="00E83532" w:rsidP="00933EA2">
      <w:pPr>
        <w:jc w:val="both"/>
      </w:pPr>
      <w:r>
        <w:t>Specyfikacja:</w:t>
      </w:r>
    </w:p>
    <w:p w14:paraId="5305958B" w14:textId="77777777" w:rsidR="00E83532" w:rsidRPr="00933EA2" w:rsidRDefault="00E83532" w:rsidP="00933EA2">
      <w:pPr>
        <w:jc w:val="both"/>
      </w:pPr>
      <w:r>
        <w:t>1. określa szczegółowo harmonogram procedury udzielania i zasady konsultacji, w szczególności w odniesieniu do ustalenia ceny według warunków podanych w art. 36;</w:t>
      </w:r>
    </w:p>
    <w:p w14:paraId="1846E31E" w14:textId="77777777" w:rsidR="00E83532" w:rsidRPr="00933EA2" w:rsidRDefault="00E83532" w:rsidP="00933EA2">
      <w:pPr>
        <w:jc w:val="both"/>
      </w:pPr>
      <w:r>
        <w:t>2. określa szczegółowo przedmiot konsultacji, która może dotyczyć jednej lub kilku imprez lub zakładów sportowych, z zachowaniem kategorii imprez i zakładów sportowych zdefiniowanych przez Krajowy Urząd Gier;</w:t>
      </w:r>
    </w:p>
    <w:p w14:paraId="7283C5C5" w14:textId="77777777" w:rsidR="00E83532" w:rsidRPr="00933EA2" w:rsidRDefault="00E83532" w:rsidP="00933EA2">
      <w:pPr>
        <w:jc w:val="both"/>
      </w:pPr>
      <w:r>
        <w:t>3. wyznacza czas obowiązywania prawa do prowadzenia;</w:t>
      </w:r>
    </w:p>
    <w:p w14:paraId="44470888" w14:textId="77777777" w:rsidR="00E83532" w:rsidRPr="00933EA2" w:rsidRDefault="00E83532" w:rsidP="00933EA2">
      <w:pPr>
        <w:jc w:val="both"/>
      </w:pPr>
      <w:r>
        <w:t>4. określa szczegółowo środki w zakresie nadzoru i wykrywania, które federacja sportowa lub organizator imprez sportowych zamierza wdrożyć w dziedzinie zapobiegania ryzyku naruszenia integralności zakładów lub imprez sportowych będących przedmiotem konsultacji;</w:t>
      </w:r>
    </w:p>
    <w:p w14:paraId="741F2DE2" w14:textId="77777777" w:rsidR="00E83532" w:rsidRPr="00933EA2" w:rsidRDefault="00E83532" w:rsidP="00933EA2">
      <w:pPr>
        <w:jc w:val="both"/>
      </w:pPr>
      <w:r>
        <w:t>5. wyznacza obowiązki w zakresie informacji i przejrzystości spoczywające na zatwierdzonym podmiocie pod względem wykrywania oszustw i zapobiegania ryzyku naruszenia integralności imprez i zakładów sportowych.</w:t>
      </w:r>
    </w:p>
    <w:p w14:paraId="6B302731" w14:textId="77777777" w:rsidR="00E83532" w:rsidRPr="00933EA2" w:rsidRDefault="00E83532" w:rsidP="00933EA2">
      <w:pPr>
        <w:jc w:val="both"/>
      </w:pPr>
    </w:p>
    <w:p w14:paraId="315C78D0" w14:textId="1148D27B" w:rsidR="00E83532" w:rsidRPr="00933EA2" w:rsidRDefault="00B705CF" w:rsidP="00933EA2">
      <w:pPr>
        <w:pStyle w:val="BodyText"/>
        <w:keepNext/>
        <w:keepLines/>
        <w:jc w:val="center"/>
        <w:rPr>
          <w:b/>
        </w:rPr>
      </w:pPr>
      <w:r>
        <w:rPr>
          <w:b/>
        </w:rPr>
        <w:t>Artykuł 35</w:t>
      </w:r>
    </w:p>
    <w:p w14:paraId="4393A0B3" w14:textId="77777777" w:rsidR="00E83532" w:rsidRPr="00933EA2" w:rsidRDefault="00E83532" w:rsidP="00933EA2">
      <w:pPr>
        <w:keepNext/>
        <w:keepLines/>
        <w:rPr>
          <w:b/>
        </w:rPr>
      </w:pPr>
    </w:p>
    <w:p w14:paraId="1188C467" w14:textId="3F4FD285" w:rsidR="00116832" w:rsidRPr="00933EA2" w:rsidRDefault="00E83532" w:rsidP="00933EA2">
      <w:pPr>
        <w:jc w:val="both"/>
      </w:pPr>
      <w:r>
        <w:t>W umowie o organizacji zakładów zawartej, zgodnie z art. L. 333-1-2 kodeksu sportu, między federacją sportową lub organizatorem imprez sportowych i spółką posiadającą prawa wyłączne do urządzania zakładów sportowych na podstawie przepisów przewidzianych w wyżej wspomnianej ustawie z dnia 22 maja 2019 r., art. 137 ust. I, określa się w szczególności:</w:t>
      </w:r>
    </w:p>
    <w:p w14:paraId="46E360EF" w14:textId="77777777" w:rsidR="00E83532" w:rsidRPr="00933EA2" w:rsidRDefault="00E83532" w:rsidP="00933EA2">
      <w:pPr>
        <w:jc w:val="both"/>
      </w:pPr>
      <w:r>
        <w:t>1. środki w zakresie nadzoru i wykrywania, które federacja sportowa lub organizator imprez sportowych zamierza wdrożyć w dziedzinie zapobiegania ryzyku naruszenia integralności zakładów lub imprez sportowych będących przedmiotem umowy;</w:t>
      </w:r>
    </w:p>
    <w:p w14:paraId="1C0A8F89" w14:textId="77777777" w:rsidR="00E83532" w:rsidRPr="00933EA2" w:rsidRDefault="00E83532" w:rsidP="00933EA2">
      <w:pPr>
        <w:jc w:val="both"/>
      </w:pPr>
      <w:r>
        <w:t>2. obowiązki w zakresie informacji i przejrzystości spoczywające na spółce posiadającej prawa wyłączne w dziedzinie wykrywania oszustw i zapobiegania ryzyku naruszenia integralności imprez i zakładów sportowych.</w:t>
      </w:r>
    </w:p>
    <w:p w14:paraId="5C314506" w14:textId="77777777" w:rsidR="00E83532" w:rsidRPr="00933EA2" w:rsidRDefault="00E83532" w:rsidP="00933EA2">
      <w:pPr>
        <w:jc w:val="both"/>
        <w:rPr>
          <w:b/>
        </w:rPr>
      </w:pPr>
    </w:p>
    <w:p w14:paraId="6931D13E" w14:textId="31BF7EE5" w:rsidR="00E83532" w:rsidRPr="00933EA2" w:rsidRDefault="00B705CF" w:rsidP="00933EA2">
      <w:pPr>
        <w:pStyle w:val="BodyText"/>
        <w:keepNext/>
        <w:keepLines/>
        <w:jc w:val="center"/>
        <w:rPr>
          <w:b/>
        </w:rPr>
      </w:pPr>
      <w:r>
        <w:rPr>
          <w:b/>
        </w:rPr>
        <w:t>Artykuł 36</w:t>
      </w:r>
    </w:p>
    <w:p w14:paraId="37351E1A" w14:textId="77777777" w:rsidR="00E83532" w:rsidRPr="00933EA2" w:rsidRDefault="00E83532" w:rsidP="00933EA2">
      <w:pPr>
        <w:keepNext/>
        <w:keepLines/>
        <w:rPr>
          <w:b/>
        </w:rPr>
      </w:pPr>
    </w:p>
    <w:p w14:paraId="0BD0987A" w14:textId="77777777" w:rsidR="00E83532" w:rsidRPr="00933EA2" w:rsidRDefault="00E83532" w:rsidP="00933EA2">
      <w:r>
        <w:t>Cenę za udzielenie prawa do organizowania zakładów wyraża się jako proporcję stawek.</w:t>
      </w:r>
    </w:p>
    <w:p w14:paraId="5C76294E" w14:textId="77777777" w:rsidR="00E83532" w:rsidRPr="00933EA2" w:rsidRDefault="00E83532" w:rsidP="00933EA2">
      <w:pPr>
        <w:jc w:val="both"/>
        <w:rPr>
          <w:b/>
        </w:rPr>
      </w:pPr>
    </w:p>
    <w:p w14:paraId="3C1B7CE3" w14:textId="1A73D23D" w:rsidR="00E83532" w:rsidRPr="00933EA2" w:rsidRDefault="00E83532" w:rsidP="00933EA2">
      <w:pPr>
        <w:pStyle w:val="BodyText"/>
        <w:keepNext/>
        <w:keepLines/>
        <w:jc w:val="center"/>
        <w:rPr>
          <w:b/>
        </w:rPr>
      </w:pPr>
      <w:r>
        <w:rPr>
          <w:b/>
        </w:rPr>
        <w:t>Artykuł 37</w:t>
      </w:r>
    </w:p>
    <w:p w14:paraId="0592EB5B" w14:textId="77777777" w:rsidR="00E83532" w:rsidRPr="00933EA2" w:rsidRDefault="00E83532" w:rsidP="00933EA2">
      <w:pPr>
        <w:keepNext/>
        <w:keepLines/>
        <w:rPr>
          <w:b/>
        </w:rPr>
      </w:pPr>
    </w:p>
    <w:p w14:paraId="705BC232" w14:textId="6647C347" w:rsidR="00E83532" w:rsidRPr="00933EA2" w:rsidRDefault="00E83532" w:rsidP="00933EA2">
      <w:pPr>
        <w:jc w:val="both"/>
      </w:pPr>
      <w:r>
        <w:t>Prawa do organizowania zakładów należy udzielić każdemu zatwierdzonemu podmiotowi, który złoży stosowny wniosek w okresie wspomnianym w art. 34 pkt 3 na pozostały czas tego okresu, jeśli spełnia on wszystkie warunki wyszczególnione w specyfikacji i akceptuje cenę wynikającą z konsultacji przewidzianej w art. 34.</w:t>
      </w:r>
    </w:p>
    <w:p w14:paraId="0B35E497" w14:textId="77777777" w:rsidR="00E83532" w:rsidRPr="00933EA2" w:rsidRDefault="00E83532" w:rsidP="00933EA2">
      <w:pPr>
        <w:jc w:val="both"/>
      </w:pPr>
    </w:p>
    <w:p w14:paraId="2D8F220A" w14:textId="685526BB" w:rsidR="00E83532" w:rsidRPr="00933EA2" w:rsidRDefault="000546D5" w:rsidP="00933EA2">
      <w:pPr>
        <w:pStyle w:val="BodyText"/>
        <w:keepNext/>
        <w:keepLines/>
        <w:jc w:val="center"/>
        <w:rPr>
          <w:b/>
        </w:rPr>
      </w:pPr>
      <w:r>
        <w:rPr>
          <w:b/>
        </w:rPr>
        <w:t>Artykuł 38</w:t>
      </w:r>
    </w:p>
    <w:p w14:paraId="6719A169" w14:textId="77777777" w:rsidR="00E83532" w:rsidRPr="00933EA2" w:rsidRDefault="00E83532" w:rsidP="00933EA2">
      <w:pPr>
        <w:keepNext/>
        <w:keepLines/>
        <w:rPr>
          <w:b/>
        </w:rPr>
      </w:pPr>
    </w:p>
    <w:p w14:paraId="5D5239CC" w14:textId="77777777" w:rsidR="00E83532" w:rsidRPr="00933EA2" w:rsidRDefault="00E83532" w:rsidP="00933EA2">
      <w:pPr>
        <w:jc w:val="both"/>
      </w:pPr>
      <w:r>
        <w:t>Umowa o organizacji zakładów zawarta, zgodnie z art. L. 333-1-2 kodeksu sportu, między federacją sportową lub organizatorem imprez sportowych i zatwierdzonym podmiotem traci z mocy prawa ważność w przypadku utraty przez tego ostatniego zatwierdzenia, o którym mowa w wyżej wspomnianej ustawie z dnia 12 maja 2010 r., art. 21.</w:t>
      </w:r>
    </w:p>
    <w:p w14:paraId="36801C3B" w14:textId="77777777" w:rsidR="00757561" w:rsidRPr="00933EA2" w:rsidRDefault="00757561" w:rsidP="00933EA2">
      <w:pPr>
        <w:jc w:val="both"/>
      </w:pPr>
    </w:p>
    <w:p w14:paraId="6BC7C418" w14:textId="22A119E4" w:rsidR="00E83532" w:rsidRPr="00933EA2" w:rsidRDefault="00E83532" w:rsidP="00933EA2">
      <w:pPr>
        <w:jc w:val="center"/>
        <w:rPr>
          <w:b/>
        </w:rPr>
      </w:pPr>
      <w:r>
        <w:rPr>
          <w:b/>
        </w:rPr>
        <w:t>TYTUŁ VI: ZAKŁADY SPORTOWE I TYPY WYNIKÓW SPORTOWYCH ZDEFINIOWANE PRZEZ KRAJOWY URZĄD GIER</w:t>
      </w:r>
    </w:p>
    <w:p w14:paraId="69BAC38E" w14:textId="77777777" w:rsidR="00E83532" w:rsidRPr="00933EA2" w:rsidRDefault="00E83532" w:rsidP="00933EA2">
      <w:pPr>
        <w:jc w:val="center"/>
        <w:rPr>
          <w:b/>
        </w:rPr>
      </w:pPr>
    </w:p>
    <w:p w14:paraId="3CECFBB9" w14:textId="25BBB318" w:rsidR="00E83532" w:rsidRPr="00933EA2" w:rsidRDefault="000546D5" w:rsidP="00933EA2">
      <w:pPr>
        <w:pStyle w:val="BodyText"/>
        <w:keepNext/>
        <w:keepLines/>
        <w:jc w:val="center"/>
        <w:rPr>
          <w:b/>
        </w:rPr>
      </w:pPr>
      <w:r>
        <w:rPr>
          <w:b/>
        </w:rPr>
        <w:t>Artykuł 39</w:t>
      </w:r>
    </w:p>
    <w:p w14:paraId="6A81B994" w14:textId="77777777" w:rsidR="00E83532" w:rsidRPr="00933EA2" w:rsidRDefault="00E83532" w:rsidP="00933EA2">
      <w:pPr>
        <w:keepNext/>
        <w:keepLines/>
        <w:rPr>
          <w:b/>
        </w:rPr>
      </w:pPr>
    </w:p>
    <w:p w14:paraId="0DB946A6" w14:textId="77777777" w:rsidR="00E83532" w:rsidRPr="00933EA2" w:rsidRDefault="00E83532" w:rsidP="00933EA2">
      <w:pPr>
        <w:jc w:val="both"/>
      </w:pPr>
      <w:r>
        <w:t>Każdy podmiot urządzający zakłady sportowe posiadający zatwierdzenie, o którym mowa w wyżej wspomnianej ustawie z dnia 12 maja 2010 r., art. 21, lub spółka posiadająca prawa wyłączne określone w wyżej wspomnianej ustawie z dnia 22 maja 2019 r., art. 137, może organizować przyjmowanie zakładów sportowych, jeżeli dotyczą one:</w:t>
      </w:r>
    </w:p>
    <w:p w14:paraId="17D806A7" w14:textId="10AEBFC3" w:rsidR="00E83532" w:rsidRPr="00933EA2" w:rsidRDefault="001D2F2A" w:rsidP="00933EA2">
      <w:pPr>
        <w:jc w:val="both"/>
      </w:pPr>
      <w:r>
        <w:t>1. zawodów lub imprez sportowych określonych przez Krajowy Urząd Gier zgodnie z zasadami określonymi w art. 40 niniejszego dekretu;</w:t>
      </w:r>
    </w:p>
    <w:p w14:paraId="5583FEEC" w14:textId="31F4AAB1" w:rsidR="00E83532" w:rsidRPr="00933EA2" w:rsidRDefault="001D2F2A" w:rsidP="00933EA2">
      <w:pPr>
        <w:jc w:val="both"/>
      </w:pPr>
      <w:r>
        <w:t>2. typów wyników zdefiniowanych przez Krajowy Urząd Gier zgodnie z zasadami określonymi w art. 41 niniejszego dekretu.</w:t>
      </w:r>
    </w:p>
    <w:p w14:paraId="43D77DCC" w14:textId="77777777" w:rsidR="00E83532" w:rsidRPr="00933EA2" w:rsidRDefault="00E83532" w:rsidP="00933EA2">
      <w:pPr>
        <w:jc w:val="both"/>
      </w:pPr>
    </w:p>
    <w:p w14:paraId="3D01E1B0" w14:textId="2CD26D6C" w:rsidR="00E83532" w:rsidRPr="00933EA2" w:rsidRDefault="000546D5" w:rsidP="00933EA2">
      <w:pPr>
        <w:pStyle w:val="BodyText"/>
        <w:keepNext/>
        <w:keepLines/>
        <w:jc w:val="center"/>
        <w:rPr>
          <w:b/>
        </w:rPr>
      </w:pPr>
      <w:r>
        <w:rPr>
          <w:b/>
        </w:rPr>
        <w:t>Artykuł 40</w:t>
      </w:r>
    </w:p>
    <w:p w14:paraId="0C3BE9F8" w14:textId="77777777" w:rsidR="00E83532" w:rsidRPr="00933EA2" w:rsidRDefault="00E83532" w:rsidP="00933EA2">
      <w:pPr>
        <w:keepNext/>
        <w:keepLines/>
        <w:rPr>
          <w:b/>
        </w:rPr>
      </w:pPr>
    </w:p>
    <w:p w14:paraId="718B7814" w14:textId="77777777" w:rsidR="00E83532" w:rsidRPr="00933EA2" w:rsidRDefault="00E83532" w:rsidP="00933EA2">
      <w:pPr>
        <w:jc w:val="both"/>
      </w:pPr>
      <w:r>
        <w:t>I. – W odniesieniu do każdej dyscypliny sportowej Krajowy Urząd Gier definiuje zawody lub imprezy sportowe, które mogą stanowić podstawę dla urządzania zakładów sportowych, w stosownych przypadkach wprowadzając rozróżnienie między zakładami objętymi prawami wyłącznymi i zakładami online.</w:t>
      </w:r>
    </w:p>
    <w:p w14:paraId="0E8A7ED2" w14:textId="77777777" w:rsidR="00E83532" w:rsidRPr="00933EA2" w:rsidRDefault="000546D5" w:rsidP="00933EA2">
      <w:pPr>
        <w:jc w:val="both"/>
      </w:pPr>
      <w:r>
        <w:t>II. – Zakłady lub imprezy sportowe stanowiące podstawę do zakładów definiuje się, na podstawie opinii delegacji właściwej federacji, w koordynacji z ligą zawodową, jeśli taka powstała, lub, w przypadku ich braku, ministra właściwego do spraw sportu, przede wszystkim według:</w:t>
      </w:r>
    </w:p>
    <w:p w14:paraId="722FF2F6" w14:textId="5172B280" w:rsidR="00E83532" w:rsidRPr="00933EA2" w:rsidRDefault="00E83532" w:rsidP="00933EA2">
      <w:pPr>
        <w:jc w:val="both"/>
      </w:pPr>
      <w:r>
        <w:t>1. statusu organizatora zawodów lub imprezy sportowej, który musi być:</w:t>
      </w:r>
    </w:p>
    <w:p w14:paraId="3488BBCF" w14:textId="25AC620C" w:rsidR="00E83532" w:rsidRPr="00933EA2" w:rsidRDefault="001D2F2A" w:rsidP="00933EA2">
      <w:pPr>
        <w:jc w:val="both"/>
      </w:pPr>
      <w:r>
        <w:t>a) federacją sportową wymienioną w art. L. 131-1 kodeksu sportu;</w:t>
      </w:r>
    </w:p>
    <w:p w14:paraId="7C99B229" w14:textId="0EBB845F" w:rsidR="00E83532" w:rsidRPr="00933EA2" w:rsidRDefault="001D2F2A" w:rsidP="00933EA2">
      <w:pPr>
        <w:jc w:val="both"/>
      </w:pPr>
      <w:r>
        <w:t>b) międzynarodową federacją sportową;</w:t>
      </w:r>
    </w:p>
    <w:p w14:paraId="2F54D76A" w14:textId="73157C35" w:rsidR="00E83532" w:rsidRPr="00933EA2" w:rsidRDefault="001D2F2A" w:rsidP="00933EA2">
      <w:pPr>
        <w:jc w:val="both"/>
      </w:pPr>
      <w:r>
        <w:t>c) międzynarodową organizacją sportową;</w:t>
      </w:r>
    </w:p>
    <w:p w14:paraId="64D8D58C" w14:textId="467D8AC5" w:rsidR="00E83532" w:rsidRPr="00933EA2" w:rsidRDefault="001D2F2A" w:rsidP="00933EA2">
      <w:pPr>
        <w:jc w:val="both"/>
      </w:pPr>
      <w:r>
        <w:t>d) organizatorem imprezy sportowej wymienionej w art. L. 331-5 lub R. 331-4-1 kodeksu sportu;</w:t>
      </w:r>
    </w:p>
    <w:p w14:paraId="6D85461B" w14:textId="41B7DCD3" w:rsidR="00E83532" w:rsidRPr="00933EA2" w:rsidRDefault="001D2F2A" w:rsidP="00933EA2">
      <w:pPr>
        <w:jc w:val="both"/>
      </w:pPr>
      <w:r>
        <w:lastRenderedPageBreak/>
        <w:t>e) organizatorem imprezy sportowej legalnie organizowanej za granicą;</w:t>
      </w:r>
    </w:p>
    <w:p w14:paraId="2CDF6961" w14:textId="38CAF493" w:rsidR="00E83532" w:rsidRPr="00933EA2" w:rsidRDefault="001D2F2A" w:rsidP="00933EA2">
      <w:pPr>
        <w:jc w:val="both"/>
      </w:pPr>
      <w:r>
        <w:t xml:space="preserve">2. przepisów mających zastosowanie do tych zawodów lub imprez sportowych; </w:t>
      </w:r>
    </w:p>
    <w:p w14:paraId="11DA738D" w14:textId="1DBC6C2A" w:rsidR="00E83532" w:rsidRPr="00933EA2" w:rsidRDefault="001D2F2A" w:rsidP="00933EA2">
      <w:pPr>
        <w:jc w:val="both"/>
      </w:pPr>
      <w:r>
        <w:t>3. dostępności wyników zawodów lub imprezy sportowej;</w:t>
      </w:r>
    </w:p>
    <w:p w14:paraId="048F9C60" w14:textId="0BDBD468" w:rsidR="00E83532" w:rsidRPr="00933EA2" w:rsidRDefault="001D2F2A" w:rsidP="00933EA2">
      <w:pPr>
        <w:jc w:val="both"/>
      </w:pPr>
      <w:r>
        <w:t>4. wieku zawodników dopuszczonych do udziału w zawodach lub imprezie sportowej;</w:t>
      </w:r>
    </w:p>
    <w:p w14:paraId="146ED28A" w14:textId="4C2DC76F" w:rsidR="00E83532" w:rsidRPr="00933EA2" w:rsidRDefault="001D2F2A" w:rsidP="00933EA2">
      <w:pPr>
        <w:jc w:val="both"/>
      </w:pPr>
      <w:r>
        <w:t xml:space="preserve">5. popularności i stawki w zawodach lub imprezie sportowej; </w:t>
      </w:r>
    </w:p>
    <w:p w14:paraId="7A8FAC6E" w14:textId="6EB98374" w:rsidR="00E83532" w:rsidRPr="00933EA2" w:rsidRDefault="001D2F2A" w:rsidP="00933EA2">
      <w:pPr>
        <w:jc w:val="both"/>
      </w:pPr>
      <w:r>
        <w:t>6. ryzyka manipulacji zawodami lub imprezą sportową.</w:t>
      </w:r>
    </w:p>
    <w:p w14:paraId="74D6EFEB" w14:textId="77777777" w:rsidR="00E83532" w:rsidRPr="00933EA2" w:rsidRDefault="00E83532" w:rsidP="00933EA2">
      <w:pPr>
        <w:jc w:val="both"/>
      </w:pPr>
    </w:p>
    <w:p w14:paraId="74BF033A" w14:textId="1A8A113B" w:rsidR="00E83532" w:rsidRPr="00933EA2" w:rsidRDefault="000546D5" w:rsidP="00933EA2">
      <w:pPr>
        <w:jc w:val="both"/>
      </w:pPr>
      <w:r>
        <w:t>III. – Krajowy Urząd Gier może wpisać do wykazu tylko część zawodów lub imprez sportowych na podstawie kryteriów zdefiniowanych w ust. II niniejszego artykułu.</w:t>
      </w:r>
    </w:p>
    <w:p w14:paraId="165DB7F5" w14:textId="77777777" w:rsidR="00E83532" w:rsidRPr="00933EA2" w:rsidRDefault="00E83532" w:rsidP="00933EA2">
      <w:pPr>
        <w:jc w:val="both"/>
      </w:pPr>
    </w:p>
    <w:p w14:paraId="2466DE5D" w14:textId="1FBC8993" w:rsidR="00E83532" w:rsidRPr="00933EA2" w:rsidRDefault="000546D5" w:rsidP="00933EA2">
      <w:pPr>
        <w:jc w:val="center"/>
        <w:rPr>
          <w:b/>
        </w:rPr>
      </w:pPr>
      <w:r>
        <w:rPr>
          <w:b/>
        </w:rPr>
        <w:t>Artykuł 41</w:t>
      </w:r>
    </w:p>
    <w:p w14:paraId="196D5DA5" w14:textId="77777777" w:rsidR="00E83532" w:rsidRPr="00933EA2" w:rsidRDefault="00E83532" w:rsidP="00933EA2">
      <w:pPr>
        <w:keepNext/>
        <w:keepLines/>
        <w:rPr>
          <w:b/>
        </w:rPr>
      </w:pPr>
    </w:p>
    <w:p w14:paraId="13AE3DD7" w14:textId="2172B9F8" w:rsidR="00E83532" w:rsidRPr="00933EA2" w:rsidRDefault="00E83532" w:rsidP="00933EA2">
      <w:pPr>
        <w:jc w:val="both"/>
      </w:pPr>
      <w:r>
        <w:t>I. – Dla każdej dyscypliny sportu i w stosownych przypadkach dla każdych zawodów lub imprezy sportowej zdefiniowanej zgodnie z zasadami art. 40 Krajowy Urząd Gier, po uzyskaniu opinii delegacji właściwej federacji, w koordynacji z ligą zawodową, jeśli taka powstała, lub w przypadku jej braku, ministra właściwego do spraw sportu, określa typy wyników i etapy odpowiednich gier, które mogą być przedmiotem zakładów sportowych, w stosownych przypadkach wprowadzając rozróżnienie między zakładami objętymi prawami wyłącznymi i zakładami online.</w:t>
      </w:r>
    </w:p>
    <w:p w14:paraId="52F1E19B" w14:textId="77777777" w:rsidR="00933EA2" w:rsidRDefault="00933EA2" w:rsidP="00933EA2">
      <w:pPr>
        <w:jc w:val="both"/>
      </w:pPr>
    </w:p>
    <w:p w14:paraId="1E870BBE" w14:textId="69770689" w:rsidR="00E83532" w:rsidRPr="00933EA2" w:rsidRDefault="000546D5" w:rsidP="00933EA2">
      <w:pPr>
        <w:jc w:val="both"/>
      </w:pPr>
      <w:r>
        <w:t>II. – Typy wyników definiuje się z uwzględnieniem ryzyka manipulowania wynikiem, jakie jest z nimi związane, i specyficznego charakteru danej dyscypliny sportowej.</w:t>
      </w:r>
    </w:p>
    <w:p w14:paraId="3DDA3910" w14:textId="77777777" w:rsidR="00E83532" w:rsidRPr="00933EA2" w:rsidRDefault="00E83532" w:rsidP="00933EA2">
      <w:pPr>
        <w:jc w:val="both"/>
      </w:pPr>
    </w:p>
    <w:p w14:paraId="77CBE7C3" w14:textId="77777777" w:rsidR="00E83532" w:rsidRPr="00933EA2" w:rsidRDefault="00E83532" w:rsidP="00933EA2">
      <w:pPr>
        <w:jc w:val="both"/>
      </w:pPr>
      <w:r>
        <w:t xml:space="preserve">Typami wyników mogą być: </w:t>
      </w:r>
    </w:p>
    <w:p w14:paraId="64871295" w14:textId="77777777" w:rsidR="00E83532" w:rsidRPr="00933EA2" w:rsidRDefault="00E83532" w:rsidP="00933EA2">
      <w:pPr>
        <w:jc w:val="both"/>
      </w:pPr>
    </w:p>
    <w:p w14:paraId="46B057BA" w14:textId="767E0100" w:rsidR="00E83532" w:rsidRPr="00933EA2" w:rsidRDefault="001D2F2A" w:rsidP="00933EA2">
      <w:pPr>
        <w:jc w:val="both"/>
      </w:pPr>
      <w:r>
        <w:t>1. ostateczne wyniki zawodów lub imprez sportowych;</w:t>
      </w:r>
    </w:p>
    <w:p w14:paraId="76225C59" w14:textId="499CFFB9" w:rsidR="00E83532" w:rsidRPr="00933EA2" w:rsidRDefault="001D2F2A" w:rsidP="00933EA2">
      <w:pPr>
        <w:jc w:val="both"/>
      </w:pPr>
      <w:r>
        <w:t>2. wyniki etapów rozrywek zawodów lub imprez sportowych;</w:t>
      </w:r>
    </w:p>
    <w:p w14:paraId="1F3DC41C" w14:textId="4063A425" w:rsidR="00E83532" w:rsidRPr="00933EA2" w:rsidRDefault="001D2F2A" w:rsidP="00933EA2">
      <w:pPr>
        <w:jc w:val="both"/>
      </w:pPr>
      <w:r>
        <w:t>3. dowolne wydarzenie sportowe zawierające element wyzwania sportowego, odbywające się w trakcie zawodów, imprezy sportowej lub etapu rozgrywek.</w:t>
      </w:r>
    </w:p>
    <w:p w14:paraId="1F9930BA" w14:textId="77777777" w:rsidR="00E83532" w:rsidRPr="00933EA2" w:rsidRDefault="00E83532" w:rsidP="00933EA2">
      <w:pPr>
        <w:jc w:val="both"/>
      </w:pPr>
    </w:p>
    <w:p w14:paraId="52EF1F25" w14:textId="77777777" w:rsidR="00E83532" w:rsidRPr="00933EA2" w:rsidRDefault="00E83532" w:rsidP="00933EA2">
      <w:pPr>
        <w:jc w:val="both"/>
      </w:pPr>
      <w:r>
        <w:t xml:space="preserve">Wymienione typy wyników odpowiadają obiektywnym i mierzalnym osiągnięciom sportowym uczestników zawodów lub imprezy sportowej. </w:t>
      </w:r>
    </w:p>
    <w:p w14:paraId="3A8AA489" w14:textId="77777777" w:rsidR="00E83532" w:rsidRPr="00933EA2" w:rsidRDefault="00E83532" w:rsidP="00933EA2">
      <w:pPr>
        <w:jc w:val="both"/>
      </w:pPr>
    </w:p>
    <w:p w14:paraId="73D6EA4B" w14:textId="77777777" w:rsidR="00E83532" w:rsidRPr="00933EA2" w:rsidRDefault="00E83532" w:rsidP="00933EA2">
      <w:pPr>
        <w:jc w:val="both"/>
      </w:pPr>
      <w:r>
        <w:t>Krajowy Urząd Gier może zadecydować, że dany typ wyniku może stanowić podstawę dla zakładu tylko w odniesieniu do części zawodów lub imprezy sportowej z uwagi na ryzyko manipulowania z nim związane.</w:t>
      </w:r>
    </w:p>
    <w:p w14:paraId="16E726E0" w14:textId="19901B18" w:rsidR="00E83532" w:rsidRDefault="00E83532" w:rsidP="00933EA2">
      <w:pPr>
        <w:jc w:val="both"/>
      </w:pPr>
    </w:p>
    <w:p w14:paraId="486C3665" w14:textId="77777777" w:rsidR="00933EA2" w:rsidRPr="00933EA2" w:rsidRDefault="00933EA2" w:rsidP="00933EA2">
      <w:pPr>
        <w:jc w:val="both"/>
      </w:pPr>
    </w:p>
    <w:p w14:paraId="3CCB1AF2" w14:textId="77777777" w:rsidR="00E83532" w:rsidRPr="00933EA2" w:rsidRDefault="00E83532" w:rsidP="00933EA2">
      <w:pPr>
        <w:jc w:val="both"/>
      </w:pPr>
      <w:r>
        <w:t>III. – Zakłady realizuje się na podstawie wyników zawodów lub imprezy sportowej ogłaszanych przez organizatora zawodów sportowych.</w:t>
      </w:r>
    </w:p>
    <w:p w14:paraId="24EFF772" w14:textId="77777777" w:rsidR="00933EA2" w:rsidRDefault="00933EA2" w:rsidP="00933EA2">
      <w:pPr>
        <w:jc w:val="both"/>
      </w:pPr>
    </w:p>
    <w:p w14:paraId="56D578E6" w14:textId="7A6F8FE3" w:rsidR="00E83532" w:rsidRPr="00933EA2" w:rsidRDefault="00E83532" w:rsidP="00933EA2">
      <w:pPr>
        <w:jc w:val="both"/>
      </w:pPr>
      <w:r>
        <w:t>Realizacja zakładów następuje ostatecznie w momencie pierwszego ogłoszenia wyników przez organizatora zawodów lub imprezy sportowej, nawet jeżeli wyniki te miałyby później ulec zmianie zgodnie z przepisami mającymi zastosowanie do tych zawodów.</w:t>
      </w:r>
    </w:p>
    <w:p w14:paraId="52BEBFC2" w14:textId="77777777" w:rsidR="00E83532" w:rsidRPr="00933EA2" w:rsidRDefault="00E83532" w:rsidP="00933EA2">
      <w:pPr>
        <w:jc w:val="both"/>
      </w:pPr>
    </w:p>
    <w:p w14:paraId="7ACF4486" w14:textId="1EF68EDE" w:rsidR="00E83532" w:rsidRPr="00933EA2" w:rsidRDefault="000546D5" w:rsidP="00933EA2">
      <w:pPr>
        <w:pStyle w:val="BodyText"/>
        <w:keepNext/>
        <w:keepLines/>
        <w:jc w:val="center"/>
        <w:rPr>
          <w:b/>
        </w:rPr>
      </w:pPr>
      <w:r>
        <w:rPr>
          <w:b/>
        </w:rPr>
        <w:t>Artykuł 42</w:t>
      </w:r>
    </w:p>
    <w:p w14:paraId="7C84BAB8" w14:textId="77777777" w:rsidR="00E83532" w:rsidRPr="00933EA2" w:rsidRDefault="00E83532" w:rsidP="00933EA2">
      <w:pPr>
        <w:keepNext/>
        <w:keepLines/>
        <w:rPr>
          <w:b/>
        </w:rPr>
      </w:pPr>
    </w:p>
    <w:p w14:paraId="030CB2CE" w14:textId="5AF94B71" w:rsidR="00E83532" w:rsidRPr="00933EA2" w:rsidRDefault="00E83532" w:rsidP="00933EA2">
      <w:pPr>
        <w:jc w:val="both"/>
      </w:pPr>
      <w:r>
        <w:t>I. – Każdy podmiot urządzający zakłady sportowe posiadający zatwierdzenie, o którym mowa w wyżej wspomnianej ustawie z dnia 12 maja 2010 r., art. 21, lub spółka posiadająca prawa wyłączne określona w wyżej wspomnianej ustawie z dnia 22 maja 2019 r., art. 137, może zwrócić się do Krajowego Urzędu Gier:</w:t>
      </w:r>
    </w:p>
    <w:p w14:paraId="19343559" w14:textId="35AB4324" w:rsidR="00E83532" w:rsidRPr="00933EA2" w:rsidRDefault="001D2F2A" w:rsidP="00933EA2">
      <w:pPr>
        <w:jc w:val="both"/>
      </w:pPr>
      <w:r>
        <w:lastRenderedPageBreak/>
        <w:t>1. o wpisanie danych zawodów lub imprezy sportowej do wykazu zawodów mogących stanowić podstawę zakładów sportowych;</w:t>
      </w:r>
    </w:p>
    <w:p w14:paraId="02EF46C5" w14:textId="143E50B7" w:rsidR="00E83532" w:rsidRPr="00933EA2" w:rsidRDefault="001D2F2A" w:rsidP="00933EA2">
      <w:pPr>
        <w:jc w:val="both"/>
      </w:pPr>
      <w:r>
        <w:t>2. o wpisanie danego typu wyniku do wykazu typów wyników mogących stanowić podstawę zakładów sportowych.</w:t>
      </w:r>
    </w:p>
    <w:p w14:paraId="307A96DC" w14:textId="130F35FA" w:rsidR="00E83532" w:rsidRPr="00933EA2" w:rsidRDefault="001D2F2A" w:rsidP="00933EA2">
      <w:pPr>
        <w:jc w:val="both"/>
      </w:pPr>
      <w:r>
        <w:t>II. – Wraz z uzasadnionym wnioskiem do Krajowego Urzędu Gier należy dostarczyć dokumentację przedstawiającą charakter zawodów lub imprez sportowych i typów wyników będących przedmiotem wniosku.</w:t>
      </w:r>
    </w:p>
    <w:p w14:paraId="69FA3E9A" w14:textId="217460B5" w:rsidR="00E83532" w:rsidRPr="00933EA2" w:rsidRDefault="001D2F2A" w:rsidP="00933EA2">
      <w:pPr>
        <w:jc w:val="both"/>
      </w:pPr>
      <w:r>
        <w:t>III. – Po otrzymaniu dokumentów określonych w pkt II Krajowy Urząd Gier w terminie trzech miesięcy zajmuje stanowisko w sprawie wniosku, o którym mowa w pkt I.</w:t>
      </w:r>
    </w:p>
    <w:p w14:paraId="40409221" w14:textId="77777777" w:rsidR="00E83532" w:rsidRPr="00933EA2" w:rsidRDefault="00E83532" w:rsidP="00933EA2">
      <w:pPr>
        <w:jc w:val="both"/>
      </w:pPr>
      <w:r>
        <w:t>Krajowy Urząd Gier zwraca się do delegacji właściwej federacji, która dysponuje terminem miesiąca na wydanie opinii na temat wniosku wspomnianego w pkt I. Kopię opinii przekazuje się do ministerstwa właściwego do spraw sportu.</w:t>
      </w:r>
    </w:p>
    <w:p w14:paraId="0832E351" w14:textId="77777777" w:rsidR="00E83532" w:rsidRPr="00933EA2" w:rsidRDefault="00E83532" w:rsidP="00933EA2">
      <w:pPr>
        <w:jc w:val="both"/>
      </w:pPr>
      <w:r>
        <w:t>W przypadku niewydania opinii przez federację Urząd zwraca się o opinię do ministerstwa właściwego do spraw sportu, które dysponuje terminem miesiąca na jej wydanie.</w:t>
      </w:r>
    </w:p>
    <w:p w14:paraId="23476069" w14:textId="77777777" w:rsidR="00E83532" w:rsidRPr="00933EA2" w:rsidRDefault="00E83532" w:rsidP="00933EA2">
      <w:pPr>
        <w:jc w:val="both"/>
      </w:pPr>
    </w:p>
    <w:p w14:paraId="044A68A6" w14:textId="73D3928B" w:rsidR="00E83532" w:rsidRPr="00933EA2" w:rsidRDefault="000546D5" w:rsidP="00933EA2">
      <w:pPr>
        <w:pStyle w:val="BodyText"/>
        <w:keepNext/>
        <w:keepLines/>
        <w:jc w:val="center"/>
        <w:rPr>
          <w:b/>
        </w:rPr>
      </w:pPr>
      <w:r>
        <w:rPr>
          <w:b/>
        </w:rPr>
        <w:t>Artykuł 43</w:t>
      </w:r>
    </w:p>
    <w:p w14:paraId="359D6D3D" w14:textId="77777777" w:rsidR="00E83532" w:rsidRPr="00933EA2" w:rsidRDefault="00E83532" w:rsidP="00933EA2">
      <w:pPr>
        <w:keepNext/>
        <w:keepLines/>
        <w:rPr>
          <w:b/>
        </w:rPr>
      </w:pPr>
    </w:p>
    <w:p w14:paraId="73749B31" w14:textId="538D2E7B" w:rsidR="00E83532" w:rsidRPr="00933EA2" w:rsidRDefault="00E83532" w:rsidP="00933EA2">
      <w:pPr>
        <w:jc w:val="both"/>
      </w:pPr>
      <w:r>
        <w:t>I. – Delegacja właściwej federacji, w koordynacji z ligą zawodową, jeżeli taka powstała, może zwrócić się do Krajowego Urzędu Gier:</w:t>
      </w:r>
    </w:p>
    <w:p w14:paraId="5B72A56E" w14:textId="77777777" w:rsidR="00E83532" w:rsidRPr="00933EA2" w:rsidRDefault="00E83532" w:rsidP="00933EA2">
      <w:pPr>
        <w:jc w:val="both"/>
      </w:pPr>
    </w:p>
    <w:p w14:paraId="584145E6" w14:textId="77777777" w:rsidR="00E83532" w:rsidRPr="00933EA2" w:rsidRDefault="00E83532" w:rsidP="00933EA2">
      <w:pPr>
        <w:jc w:val="both"/>
      </w:pPr>
      <w:r>
        <w:t>1. o wpisanie organizowanych przez siebie zawodów lub imprezy sportowej do wykazu zawodów mogących stanowić podstawę zakładów sportowych lub ich wykreślenie;</w:t>
      </w:r>
    </w:p>
    <w:p w14:paraId="5B2379B2" w14:textId="77777777" w:rsidR="00E83532" w:rsidRPr="00933EA2" w:rsidRDefault="00E83532" w:rsidP="00933EA2">
      <w:pPr>
        <w:jc w:val="both"/>
      </w:pPr>
      <w:r>
        <w:t>2. o wpisanie lub wykreślenie typów wyników organizowanych przez siebie zawodów lub imprez sportowych lub tylko w odniesieniu do części tych zawodów.</w:t>
      </w:r>
    </w:p>
    <w:p w14:paraId="7B008624" w14:textId="77777777" w:rsidR="00E83532" w:rsidRPr="00933EA2" w:rsidRDefault="00E83532" w:rsidP="00933EA2">
      <w:pPr>
        <w:jc w:val="both"/>
      </w:pPr>
    </w:p>
    <w:p w14:paraId="5E27032B" w14:textId="6C334152" w:rsidR="00E83532" w:rsidRPr="00933EA2" w:rsidRDefault="00E83532" w:rsidP="00933EA2">
      <w:pPr>
        <w:jc w:val="both"/>
      </w:pPr>
      <w:r>
        <w:t>II. – Wraz z uzasadnionym wnioskiem do Krajowego Urzędu Gier należy dostarczyć dokumentację przedstawiającą charakter zawodów i typów wyników będących przedmiotem wniosku.</w:t>
      </w:r>
    </w:p>
    <w:p w14:paraId="19B17EA3" w14:textId="77777777" w:rsidR="00E83532" w:rsidRPr="00933EA2" w:rsidRDefault="00E83532" w:rsidP="00933EA2">
      <w:pPr>
        <w:jc w:val="both"/>
      </w:pPr>
    </w:p>
    <w:p w14:paraId="4953E9EA" w14:textId="734C9153" w:rsidR="00E83532" w:rsidRPr="00933EA2" w:rsidRDefault="00E83532" w:rsidP="00933EA2">
      <w:pPr>
        <w:jc w:val="both"/>
      </w:pPr>
      <w:r>
        <w:t>III. – Po otrzymaniu dokumentów określonych w pkt II Krajowy Urząd Gier w terminie miesiąca zajmuje stanowisko w sprawie wniosku, o którym mowa w pkt I.</w:t>
      </w:r>
    </w:p>
    <w:p w14:paraId="3341806A" w14:textId="77777777" w:rsidR="00834E0B" w:rsidRPr="00933EA2" w:rsidRDefault="00834E0B" w:rsidP="00933EA2">
      <w:pPr>
        <w:jc w:val="both"/>
      </w:pPr>
    </w:p>
    <w:p w14:paraId="72E82424" w14:textId="16A9CBAB" w:rsidR="00834E0B" w:rsidRPr="00933EA2" w:rsidRDefault="000546D5" w:rsidP="00933EA2">
      <w:pPr>
        <w:pStyle w:val="BodyText"/>
        <w:keepNext/>
        <w:keepLines/>
        <w:jc w:val="center"/>
        <w:rPr>
          <w:b/>
        </w:rPr>
      </w:pPr>
      <w:r>
        <w:rPr>
          <w:b/>
        </w:rPr>
        <w:t>Artykuł 44</w:t>
      </w:r>
    </w:p>
    <w:p w14:paraId="4EBF7DC7" w14:textId="77777777" w:rsidR="00834E0B" w:rsidRPr="00933EA2" w:rsidRDefault="00834E0B" w:rsidP="00933EA2">
      <w:pPr>
        <w:keepNext/>
        <w:keepLines/>
        <w:rPr>
          <w:b/>
        </w:rPr>
      </w:pPr>
    </w:p>
    <w:p w14:paraId="23490925" w14:textId="3CD7655A" w:rsidR="00834E0B" w:rsidRPr="00933EA2" w:rsidRDefault="00834E0B" w:rsidP="00933EA2">
      <w:r>
        <w:t xml:space="preserve">1. W art. D. 561-53 pkt 2 kodeksu monetarnego i finansowego wyrażenie „dyrektor generalny Urzędu Regulacji Gier Online lub jego przedstawiciel” zastępuje się wyrażeniem „dyrektor generalny Krajowego Urzędu Gier”. </w:t>
      </w:r>
    </w:p>
    <w:p w14:paraId="43F09FB7" w14:textId="77777777" w:rsidR="00E83532" w:rsidRPr="00933EA2" w:rsidRDefault="00E83532" w:rsidP="00933EA2">
      <w:pPr>
        <w:jc w:val="both"/>
        <w:rPr>
          <w:b/>
        </w:rPr>
      </w:pPr>
    </w:p>
    <w:p w14:paraId="012C1011" w14:textId="0AF72BA0" w:rsidR="00BD5FA1" w:rsidRPr="00933EA2" w:rsidRDefault="000546D5" w:rsidP="00933EA2">
      <w:pPr>
        <w:pStyle w:val="BodyText"/>
        <w:keepNext/>
        <w:keepLines/>
        <w:jc w:val="center"/>
        <w:rPr>
          <w:b/>
        </w:rPr>
      </w:pPr>
      <w:r>
        <w:rPr>
          <w:b/>
        </w:rPr>
        <w:t>Artykuł 45</w:t>
      </w:r>
    </w:p>
    <w:p w14:paraId="1738A26C" w14:textId="77777777" w:rsidR="008701C9" w:rsidRPr="00933EA2" w:rsidRDefault="008701C9" w:rsidP="00933EA2">
      <w:pPr>
        <w:keepNext/>
        <w:keepLines/>
        <w:rPr>
          <w:b/>
        </w:rPr>
      </w:pPr>
    </w:p>
    <w:p w14:paraId="72BBB7F3" w14:textId="02F1FBE2" w:rsidR="008701C9" w:rsidRPr="00933EA2" w:rsidRDefault="00BC35EB" w:rsidP="00933EA2">
      <w:pPr>
        <w:pStyle w:val="BodyText"/>
        <w:jc w:val="both"/>
      </w:pPr>
      <w:r>
        <w:t>1. W wyżej wspomnianym dekrecie nr 2019-1061 z dnia 17 października 2019 r. art. 8 ostatni akapit wyrażenie „wyżej wspomniany dekret z dnia 12 maja 2010 r.” zastępuje się wyrażeniem „dekret nr XXXX-XXXX z dnia XXXXX w sprawie zasad regulacji Krajowego Urzędu Gier (CPAB1930945D)”.</w:t>
      </w:r>
    </w:p>
    <w:p w14:paraId="3D08313E" w14:textId="77777777" w:rsidR="00C342AB" w:rsidRPr="00933EA2" w:rsidRDefault="00C342AB" w:rsidP="00933EA2">
      <w:pPr>
        <w:pStyle w:val="BodyText"/>
        <w:jc w:val="both"/>
      </w:pPr>
    </w:p>
    <w:p w14:paraId="7E55EF43" w14:textId="77777777" w:rsidR="00142531" w:rsidRPr="00933EA2" w:rsidRDefault="00834E0B" w:rsidP="00933EA2">
      <w:pPr>
        <w:keepNext/>
        <w:keepLines/>
        <w:spacing w:after="200" w:line="276" w:lineRule="auto"/>
        <w:jc w:val="center"/>
        <w:rPr>
          <w:rFonts w:eastAsiaTheme="minorHAnsi"/>
          <w:b/>
        </w:rPr>
      </w:pPr>
      <w:r>
        <w:rPr>
          <w:b/>
        </w:rPr>
        <w:lastRenderedPageBreak/>
        <w:t>TYTUŁ VII: PRZEPISY REGULUJĄCE INFORMACJE HANDLOWE NA RZECZ PODMIOTÓW URZĄDZAJĄCYCH GRY PIENIĘŻNE I HAZARDOWE ORAZ INFORMACJE DLA GRACZY DOTYCZĄCE RYZYKA ZWIĄZANEGO Z GRĄ</w:t>
      </w:r>
    </w:p>
    <w:p w14:paraId="41C8D214" w14:textId="47515E0F" w:rsidR="00142531" w:rsidRDefault="00C342AB" w:rsidP="00933EA2">
      <w:pPr>
        <w:pStyle w:val="BodyText"/>
        <w:keepNext/>
        <w:keepLines/>
        <w:jc w:val="center"/>
        <w:rPr>
          <w:b/>
        </w:rPr>
      </w:pPr>
      <w:r>
        <w:rPr>
          <w:b/>
        </w:rPr>
        <w:t>Artykuł 46</w:t>
      </w:r>
    </w:p>
    <w:p w14:paraId="4DE26176" w14:textId="77777777" w:rsidR="00933EA2" w:rsidRPr="00933EA2" w:rsidRDefault="00933EA2" w:rsidP="00933EA2">
      <w:pPr>
        <w:keepNext/>
        <w:keepLines/>
        <w:rPr>
          <w:b/>
        </w:rPr>
      </w:pPr>
    </w:p>
    <w:p w14:paraId="5030231B" w14:textId="20E653AC" w:rsidR="00142531" w:rsidRPr="00933EA2" w:rsidRDefault="00142531" w:rsidP="00933EA2">
      <w:pPr>
        <w:pStyle w:val="BodyText"/>
        <w:jc w:val="both"/>
      </w:pPr>
      <w:r>
        <w:t xml:space="preserve">Na początku tytułu II księgi III kodeksu bezpieczeństwa wewnętrznego wprowadza się rozdział wstępny o następującej treści: </w:t>
      </w:r>
    </w:p>
    <w:p w14:paraId="61BF947B" w14:textId="7FEB993C" w:rsidR="00142531" w:rsidRPr="00933EA2" w:rsidRDefault="00142531" w:rsidP="00933EA2">
      <w:pPr>
        <w:pStyle w:val="BodyText"/>
      </w:pPr>
      <w:r>
        <w:t>„Rozdział wstępny</w:t>
      </w:r>
      <w:r>
        <w:rPr>
          <w:i/>
        </w:rPr>
        <w:t xml:space="preserve"> </w:t>
      </w:r>
    </w:p>
    <w:p w14:paraId="0DB00C14" w14:textId="3E68E4D5" w:rsidR="00142531" w:rsidRPr="00933EA2" w:rsidRDefault="00142531" w:rsidP="00933EA2">
      <w:pPr>
        <w:pStyle w:val="BodyText"/>
      </w:pPr>
      <w:r>
        <w:rPr>
          <w:i/>
        </w:rPr>
        <w:t>Przepisy wspólne</w:t>
      </w:r>
      <w:r>
        <w:t xml:space="preserve"> </w:t>
      </w:r>
    </w:p>
    <w:p w14:paraId="35CC0321" w14:textId="2A20C3B8" w:rsidR="00142531" w:rsidRPr="00933EA2" w:rsidRDefault="00142531" w:rsidP="00933EA2">
      <w:pPr>
        <w:pStyle w:val="BodyText"/>
        <w:tabs>
          <w:tab w:val="left" w:pos="1659"/>
        </w:tabs>
      </w:pPr>
      <w:r>
        <w:rPr>
          <w:i/>
        </w:rPr>
        <w:t>Sekcja 1</w:t>
      </w:r>
      <w:r>
        <w:rPr>
          <w:i/>
        </w:rPr>
        <w:tab/>
      </w:r>
    </w:p>
    <w:p w14:paraId="6EA0D4BD" w14:textId="36B722F7" w:rsidR="00142531" w:rsidRPr="00933EA2" w:rsidRDefault="00142531" w:rsidP="00933EA2">
      <w:pPr>
        <w:pStyle w:val="BodyText"/>
      </w:pPr>
      <w:r>
        <w:rPr>
          <w:i/>
        </w:rPr>
        <w:t>Zakaz sprzedaży gier pieniężnych i hazardowych osobom nieletnim</w:t>
      </w:r>
    </w:p>
    <w:p w14:paraId="2B0E4901" w14:textId="6BE602B7" w:rsidR="00142531" w:rsidRPr="00933EA2" w:rsidRDefault="00142531" w:rsidP="00933EA2">
      <w:pPr>
        <w:pStyle w:val="BodyText"/>
        <w:jc w:val="both"/>
      </w:pPr>
      <w:r>
        <w:t>Artykuł D. 320-1.</w:t>
      </w:r>
      <w:r>
        <w:rPr>
          <w:i/>
        </w:rPr>
        <w:t xml:space="preserve"> </w:t>
      </w:r>
      <w:r>
        <w:t>- W punktach rejestracji gier loteryjnych, zakładów sportowych lub zakładów konnych umieszcza się widoczny publicznie afisz przypominający przepisy art. L. 320-8 i L. 320-9. Wzory i miejsca umieszczania takich afiszów określa rozporządzenie ministra właściwego do spraw zdrowia.</w:t>
      </w:r>
    </w:p>
    <w:p w14:paraId="5E136608" w14:textId="7D1E02AF" w:rsidR="00142531" w:rsidRPr="00933EA2" w:rsidRDefault="00142531" w:rsidP="00933EA2">
      <w:pPr>
        <w:pStyle w:val="BodyText"/>
        <w:spacing w:before="120"/>
      </w:pPr>
      <w:r>
        <w:rPr>
          <w:i/>
        </w:rPr>
        <w:t xml:space="preserve">Sekcja 2 </w:t>
      </w:r>
    </w:p>
    <w:p w14:paraId="293E235D" w14:textId="2BF2B62A" w:rsidR="00142531" w:rsidRPr="00933EA2" w:rsidRDefault="00142531" w:rsidP="00933EA2">
      <w:pPr>
        <w:pStyle w:val="BodyText"/>
        <w:spacing w:before="120"/>
      </w:pPr>
      <w:r>
        <w:rPr>
          <w:i/>
        </w:rPr>
        <w:t>Informacja handlowa na rzecz podmiotu urządzającego gry pieniężne i hazardowe</w:t>
      </w:r>
    </w:p>
    <w:p w14:paraId="4FDF742F" w14:textId="733125A6" w:rsidR="00142531" w:rsidRPr="00933EA2" w:rsidRDefault="00142531" w:rsidP="00933EA2">
      <w:pPr>
        <w:spacing w:before="120" w:after="120"/>
        <w:jc w:val="both"/>
      </w:pPr>
      <w:r>
        <w:t xml:space="preserve">„Artykuł D. 320-2. - Wszystkim informacjom handlowym na rzecz podmiotu urządzającego gry pieniężne i hazardowe musi towarzyszyć komunikat ostrzegawczy o ryzyku związanym z grą. Komunikat ten, który musi być umieszczony na każdym nośniku reklamowym lub promocyjnym, zawiera w szczególności numer internetowego serwisu komunikacyjnego publicznego systemu pomocy dla graczy wdrożonego pod nadzorem Krajowego Urzędu Zdrowia Publicznego. </w:t>
      </w:r>
    </w:p>
    <w:p w14:paraId="4A792144" w14:textId="68DC3E7F" w:rsidR="00142531" w:rsidRPr="00933EA2" w:rsidRDefault="00142531" w:rsidP="00933EA2">
      <w:pPr>
        <w:spacing w:before="120" w:after="120"/>
        <w:jc w:val="both"/>
      </w:pPr>
      <w:r>
        <w:t>Numer ten prezentuje się w dostępny i łatwo czytelny sposób, zgodnie z jego zadaniem z zakresu zdrowia publicznego; musi być on wyraźnie oddzielony od informacji reklamowej lub promocyjnej, której towarzyszy.</w:t>
      </w:r>
    </w:p>
    <w:p w14:paraId="23FE00A7" w14:textId="641BB9C1" w:rsidR="00142531" w:rsidRPr="00933EA2" w:rsidRDefault="00142531" w:rsidP="00933EA2">
      <w:pPr>
        <w:spacing w:before="120" w:after="120"/>
        <w:jc w:val="both"/>
      </w:pPr>
      <w:r>
        <w:t>Zawartość, warunki wyświetlania i rozpowszechniania tego komunikatu określa szczegółowo rozporządzenie ministra właściwego do spraw zdrowia.</w:t>
      </w:r>
    </w:p>
    <w:p w14:paraId="626BBD10" w14:textId="4878EBD5" w:rsidR="00142531" w:rsidRPr="00933EA2" w:rsidRDefault="00142531" w:rsidP="00933EA2">
      <w:pPr>
        <w:spacing w:before="120" w:after="120"/>
        <w:jc w:val="both"/>
      </w:pPr>
      <w:r>
        <w:t>Artykuł D. 320-3. - W przypadku rozpowszechniania informacji reklamowych, sponsorowanych lub promocyjnych w salach kinowych lub za pośrednictwem usług komunikacji audiowizualnej komunikaty ostrzegawcze wspomniane w art. D. 320-2:</w:t>
      </w:r>
    </w:p>
    <w:p w14:paraId="5A410A11" w14:textId="231FD1D5" w:rsidR="00142531" w:rsidRPr="00933EA2" w:rsidRDefault="001D2F2A" w:rsidP="00933EA2">
      <w:pPr>
        <w:spacing w:before="120" w:after="120"/>
        <w:jc w:val="both"/>
      </w:pPr>
      <w:r>
        <w:t>1° wyświetla się na pasku, nieruchomym lub przewijanym, przez cały czas trwania informacji reklamowej; pasek pokrywa co najmniej 7 % wysokości ekranu;</w:t>
      </w:r>
    </w:p>
    <w:p w14:paraId="0C2C26AA" w14:textId="1F4C469D" w:rsidR="00142531" w:rsidRPr="00933EA2" w:rsidRDefault="001D2F2A" w:rsidP="00933EA2">
      <w:pPr>
        <w:spacing w:before="120" w:after="120"/>
        <w:jc w:val="both"/>
      </w:pPr>
      <w:r>
        <w:t>2° lub wyświetla się na ekranie następującym bezpośrednio po informacji reklamowej.</w:t>
      </w:r>
    </w:p>
    <w:p w14:paraId="14D3FE3C" w14:textId="77257C5A" w:rsidR="00142531" w:rsidRPr="00933EA2" w:rsidRDefault="00142531" w:rsidP="00933EA2">
      <w:pPr>
        <w:spacing w:before="120" w:after="120"/>
        <w:jc w:val="both"/>
      </w:pPr>
      <w:r>
        <w:t>Artykuł D. 320-4. - W przypadku gdy informacje reklamowe lub promocyjne są rozpowszechniane przez radio, komunikat ostrzegawczy wspomniany w art. D. 320-2 emituje się bezpośrednio po informacji reklamowej.</w:t>
      </w:r>
    </w:p>
    <w:p w14:paraId="23CCF94C" w14:textId="1B3FBE9F" w:rsidR="00142531" w:rsidRPr="00933EA2" w:rsidRDefault="00142531" w:rsidP="00933EA2">
      <w:pPr>
        <w:spacing w:before="120" w:after="120"/>
        <w:jc w:val="both"/>
      </w:pPr>
      <w:r>
        <w:t>Artykuł D. 320-5. - Prezentacja komunikatu ostrzegawczego wspomnianego w art. D. 320-2 jest zgodna z zasadami ustalonymi w art. D. 320-8 i D. 320-9 oraz dobrymi praktykami zdefiniowanymi przez organy branżowe i Najwyższą Radę Audiowizualną.</w:t>
      </w:r>
    </w:p>
    <w:p w14:paraId="0984A69D" w14:textId="1DB680CB" w:rsidR="00142531" w:rsidRPr="00933EA2" w:rsidRDefault="00142531" w:rsidP="00933EA2">
      <w:pPr>
        <w:spacing w:before="120" w:after="120"/>
        <w:jc w:val="both"/>
      </w:pPr>
      <w:r>
        <w:t xml:space="preserve">Artykuł D. 320-6. - W przypadku rozpowszechniania informacji reklamowych lub promocyjnych na nośniku drukowanym komunikat ostrzegawczy wspomniany w art. D. 320-2 </w:t>
      </w:r>
      <w:r>
        <w:lastRenderedPageBreak/>
        <w:t xml:space="preserve">umieszcza się w tekstowej przestrzeni poziomej zajmującej co najmniej 7 % powierzchni reklamowej. </w:t>
      </w:r>
    </w:p>
    <w:p w14:paraId="40F88BE2" w14:textId="11C28D40" w:rsidR="00142531" w:rsidRPr="00933EA2" w:rsidRDefault="00142531" w:rsidP="00933EA2">
      <w:pPr>
        <w:spacing w:before="120" w:after="120"/>
        <w:jc w:val="both"/>
      </w:pPr>
      <w:r>
        <w:t xml:space="preserve">W przypadku gdy na tym samym nośniku pojawia się kilka informacji reklamowych lub promocyjnych na rzecz tego samego podmiotu, komunikat ostrzegawczy wspomniany w art. D. 320-2 może pojawić się tylko raz na pasku zajmującym co najmniej 7 % powierzchni nośnika. </w:t>
      </w:r>
    </w:p>
    <w:p w14:paraId="1A1B3572" w14:textId="77777777" w:rsidR="00142531" w:rsidRPr="00933EA2" w:rsidRDefault="00142531" w:rsidP="00933EA2">
      <w:pPr>
        <w:spacing w:before="120" w:after="120"/>
        <w:jc w:val="both"/>
      </w:pPr>
      <w:r>
        <w:t xml:space="preserve"> Artykuł D. 320-7. – Przepisy art. D. 320-6 nie mają zastosowania do artykułów sportowych wprowadzanych do obrotu lub udostępnianych przez federacje sportowe, organizatorów imprez sportowych wymienionych w art. L. 331 -5 kodeksu sportu, akapit pierwszy, lub stowarzyszenia i towarzystwa sportowe wymienione odpowiednio w art. L. 122-1 i L. 122-2 tego samego kodeksu.</w:t>
      </w:r>
    </w:p>
    <w:p w14:paraId="20DE0FD0" w14:textId="06A478EE" w:rsidR="00142531" w:rsidRPr="00933EA2" w:rsidRDefault="00142531" w:rsidP="00933EA2">
      <w:pPr>
        <w:spacing w:before="120" w:after="120"/>
        <w:jc w:val="both"/>
      </w:pPr>
      <w:r>
        <w:t>Artykuł D. 320-8.</w:t>
      </w:r>
      <w:r>
        <w:rPr>
          <w:i/>
        </w:rPr>
        <w:t xml:space="preserve"> </w:t>
      </w:r>
      <w:r>
        <w:t>– W przypadku gdy informacje reklamowe, sponsorowane lub promocyjne rozpowszechnia się za pomocą usług ogólnodostępnej komunikacji online, komunikat ostrzegawczy wspomniany w art. D. 320-2 pojawia się jednocześnie z informacją reklamową lub promocyjną, której towarzyszy. Komunikat ten wyświetla się w taki sposób, aby gracz po jego kliknięciu został przekierowany do internetowego serwisu komunikacyjnego publicznego systemu pomocy dla graczy wdrożonego pod nadzorem Krajowego Urzędu Zdrowia Publicznego.</w:t>
      </w:r>
    </w:p>
    <w:p w14:paraId="0211574A" w14:textId="6BA01978" w:rsidR="00142531" w:rsidRPr="00933EA2" w:rsidRDefault="00142531" w:rsidP="00933EA2">
      <w:pPr>
        <w:spacing w:before="120" w:after="120"/>
        <w:jc w:val="both"/>
      </w:pPr>
      <w:r>
        <w:t>Komunikat ten prezentuje się w dostępny i łatwo czytelny sposób, zgodnie z jego zadaniem z zakresu zdrowia publicznego; musi być on wyraźnie oddzielony od informacji reklamowej, której towarzyszy.</w:t>
      </w:r>
    </w:p>
    <w:p w14:paraId="20AB5999" w14:textId="77777777" w:rsidR="001D2F2A" w:rsidRPr="00933EA2" w:rsidRDefault="001D2F2A" w:rsidP="00933EA2">
      <w:pPr>
        <w:spacing w:before="120" w:after="120"/>
        <w:jc w:val="both"/>
        <w:rPr>
          <w:i/>
        </w:rPr>
      </w:pPr>
    </w:p>
    <w:p w14:paraId="6E4E5240" w14:textId="67A68190" w:rsidR="00142531" w:rsidRPr="00933EA2" w:rsidRDefault="00142531" w:rsidP="00933EA2">
      <w:pPr>
        <w:spacing w:before="120" w:after="120"/>
        <w:jc w:val="both"/>
      </w:pPr>
      <w:r>
        <w:rPr>
          <w:i/>
        </w:rPr>
        <w:t>Sekcja 3</w:t>
      </w:r>
    </w:p>
    <w:p w14:paraId="4DB64D13" w14:textId="241703DB" w:rsidR="00142531" w:rsidRPr="00933EA2" w:rsidRDefault="00142531" w:rsidP="00933EA2">
      <w:pPr>
        <w:spacing w:before="120" w:after="120"/>
        <w:jc w:val="both"/>
      </w:pPr>
      <w:r>
        <w:rPr>
          <w:i/>
        </w:rPr>
        <w:t>Zakaz informacji handlowej na rzecz podmiotów urządzających gry pieniężne i hazardowe w niektórych środkach przekazu</w:t>
      </w:r>
    </w:p>
    <w:p w14:paraId="65B7AAFD" w14:textId="4E24C55A" w:rsidR="00142531" w:rsidRPr="00933EA2" w:rsidRDefault="00142531" w:rsidP="00933EA2">
      <w:pPr>
        <w:spacing w:before="120" w:after="120"/>
        <w:jc w:val="both"/>
      </w:pPr>
      <w:r>
        <w:rPr>
          <w:i/>
        </w:rPr>
        <w:t xml:space="preserve">Artykuł D. 320-9. </w:t>
      </w:r>
      <w:r>
        <w:t>- Zakazuje się wszystkich informacji handlowych na rzecz podmiotu urządzającego gry pieniężne i hazardowe w przypadku, gdy:</w:t>
      </w:r>
    </w:p>
    <w:p w14:paraId="5227AAFD" w14:textId="59F3EB5A" w:rsidR="00142531" w:rsidRPr="00933EA2" w:rsidRDefault="001D2F2A" w:rsidP="00933EA2">
      <w:pPr>
        <w:spacing w:before="120" w:after="120"/>
        <w:jc w:val="both"/>
      </w:pPr>
      <w:r>
        <w:t>1° zachęcają one do nadmiernej gry, banalizują lub gloryfikują tego rodzaju praktyki;</w:t>
      </w:r>
    </w:p>
    <w:p w14:paraId="56D78825" w14:textId="6753909C" w:rsidR="00142531" w:rsidRPr="00933EA2" w:rsidRDefault="001D2F2A" w:rsidP="00933EA2">
      <w:pPr>
        <w:spacing w:before="120" w:after="120"/>
        <w:jc w:val="both"/>
      </w:pPr>
      <w:r>
        <w:t>2° sugerują, że granie przyczynia się do sukcesu społecznego;</w:t>
      </w:r>
    </w:p>
    <w:p w14:paraId="258EE449" w14:textId="1E8E9EB0" w:rsidR="00142531" w:rsidRPr="00933EA2" w:rsidRDefault="001D2F2A" w:rsidP="00933EA2">
      <w:pPr>
        <w:spacing w:before="120" w:after="120"/>
        <w:jc w:val="both"/>
      </w:pPr>
      <w:r>
        <w:t xml:space="preserve">3° zawierają niemające podstaw oświadczenia o szansach wygranej, jakie mają gracze, lub wygranych, których mogą się spodziewać; </w:t>
      </w:r>
    </w:p>
    <w:p w14:paraId="75D88D1F" w14:textId="45A3AEE0" w:rsidR="00142531" w:rsidRPr="00933EA2" w:rsidRDefault="001D2F2A" w:rsidP="00933EA2">
      <w:pPr>
        <w:spacing w:before="120" w:after="120"/>
        <w:jc w:val="both"/>
      </w:pPr>
      <w:r>
        <w:t>4° sugerują, że gra może stanowić rozwiązanie w przypadku problemów osobistych, zawodowych, społecznych lub psychologicznych;</w:t>
      </w:r>
    </w:p>
    <w:p w14:paraId="0FAADED8" w14:textId="35A26E98" w:rsidR="0096792E" w:rsidRPr="00933EA2" w:rsidRDefault="001D2F2A" w:rsidP="00933EA2">
      <w:pPr>
        <w:spacing w:before="120" w:after="120"/>
        <w:jc w:val="both"/>
      </w:pPr>
      <w:r>
        <w:t xml:space="preserve">5° prezentują grę jako aktywność pozwalającą na zarabianie na życie lub alternatywę dla pracy zarobkowej. </w:t>
      </w:r>
    </w:p>
    <w:p w14:paraId="2933AC42" w14:textId="5857A6A2" w:rsidR="00142531" w:rsidRPr="00933EA2" w:rsidRDefault="00142531" w:rsidP="00933EA2">
      <w:pPr>
        <w:spacing w:before="120" w:after="120"/>
        <w:jc w:val="both"/>
      </w:pPr>
      <w:r>
        <w:t>Artykuł D. 320-10. Zakazuje się w informacjach handlowych na temat gier pieniężnych i hazardowych:</w:t>
      </w:r>
    </w:p>
    <w:p w14:paraId="3E6424C3" w14:textId="1E87439B" w:rsidR="00142531" w:rsidRPr="00933EA2" w:rsidRDefault="001D2F2A" w:rsidP="00933EA2">
      <w:pPr>
        <w:spacing w:before="120" w:after="120"/>
        <w:jc w:val="both"/>
      </w:pPr>
      <w:r>
        <w:t>1° pokazywania osób nieletnich lub przedstawiania nieletnich w sytuacji zakupu;</w:t>
      </w:r>
    </w:p>
    <w:p w14:paraId="22E31CF1" w14:textId="21F617D1" w:rsidR="00142531" w:rsidRPr="00933EA2" w:rsidRDefault="001D2F2A" w:rsidP="00933EA2">
      <w:pPr>
        <w:spacing w:before="120" w:after="120"/>
        <w:jc w:val="both"/>
      </w:pPr>
      <w:r>
        <w:t>2° reklamy zachęcającej osoby nieletnie do traktowania gier pieniężnych i hazardowych jako naturalnego sposobu spędzania czasu;</w:t>
      </w:r>
    </w:p>
    <w:p w14:paraId="7DDA03B1" w14:textId="092451E4" w:rsidR="00142531" w:rsidRPr="00933EA2" w:rsidRDefault="001D2F2A" w:rsidP="00933EA2">
      <w:pPr>
        <w:spacing w:before="120" w:after="120"/>
        <w:jc w:val="both"/>
      </w:pPr>
      <w:r>
        <w:t>3° przedstawiania bohaterów lub postaci należących do uniwersum osób nieletnich;</w:t>
      </w:r>
    </w:p>
    <w:p w14:paraId="2FCC9BB5" w14:textId="66D1AD53" w:rsidR="00142531" w:rsidRPr="00933EA2" w:rsidRDefault="001D2F2A" w:rsidP="00933EA2">
      <w:pPr>
        <w:spacing w:before="120" w:after="120"/>
        <w:jc w:val="both"/>
      </w:pPr>
      <w:r>
        <w:t xml:space="preserve">4° reklamy skierowanej do dzieci lub nastolatków lub szczególnie dla nich atrakcyjnej przede wszystkim z uwagi na elementy wizualne, dźwiękowe, werbalne lub pisane. </w:t>
      </w:r>
    </w:p>
    <w:p w14:paraId="577E32B6" w14:textId="77777777" w:rsidR="00142531" w:rsidRPr="00933EA2" w:rsidRDefault="00142531" w:rsidP="00933EA2">
      <w:pPr>
        <w:spacing w:after="200" w:line="276" w:lineRule="auto"/>
        <w:jc w:val="both"/>
        <w:rPr>
          <w:rFonts w:eastAsiaTheme="minorHAnsi"/>
          <w:b/>
          <w:lang w:eastAsia="en-US"/>
        </w:rPr>
      </w:pPr>
    </w:p>
    <w:p w14:paraId="1F6C66A8" w14:textId="512A3E12" w:rsidR="00142531" w:rsidRPr="00933EA2" w:rsidRDefault="00142531" w:rsidP="00933EA2">
      <w:pPr>
        <w:keepNext/>
        <w:keepLines/>
        <w:spacing w:after="200" w:line="276" w:lineRule="auto"/>
        <w:jc w:val="center"/>
        <w:rPr>
          <w:rFonts w:eastAsiaTheme="minorHAnsi"/>
          <w:b/>
        </w:rPr>
      </w:pPr>
      <w:r>
        <w:rPr>
          <w:b/>
        </w:rPr>
        <w:lastRenderedPageBreak/>
        <w:t>TYTUŁ VIII: PRZEPISY DOTYCZĄCE UREGULOWANIA OFERTY LOTERII I ZAKŁADÓW SPORTOWYCH W FIZYCZNEJ SIECI DYSTRYBUCJI</w:t>
      </w:r>
    </w:p>
    <w:p w14:paraId="1CAAFC25" w14:textId="1792437D" w:rsidR="00142531" w:rsidRDefault="00C342AB" w:rsidP="00933EA2">
      <w:pPr>
        <w:pStyle w:val="BodyText"/>
        <w:keepNext/>
        <w:keepLines/>
        <w:jc w:val="center"/>
        <w:rPr>
          <w:b/>
        </w:rPr>
      </w:pPr>
      <w:r>
        <w:rPr>
          <w:b/>
        </w:rPr>
        <w:t>Artykuł 47</w:t>
      </w:r>
    </w:p>
    <w:p w14:paraId="3659547E" w14:textId="77777777" w:rsidR="00933EA2" w:rsidRPr="00933EA2" w:rsidRDefault="00933EA2" w:rsidP="00933EA2">
      <w:pPr>
        <w:keepNext/>
        <w:keepLines/>
        <w:rPr>
          <w:b/>
        </w:rPr>
      </w:pPr>
    </w:p>
    <w:p w14:paraId="6697EB5C" w14:textId="77777777" w:rsidR="00142531" w:rsidRPr="00933EA2" w:rsidRDefault="00142531" w:rsidP="00933EA2">
      <w:pPr>
        <w:spacing w:after="200" w:line="276" w:lineRule="auto"/>
        <w:jc w:val="both"/>
        <w:rPr>
          <w:rFonts w:eastAsiaTheme="minorHAnsi"/>
        </w:rPr>
      </w:pPr>
      <w:r>
        <w:t xml:space="preserve">W księdze III tytuł II tego samego kodeksu po rozdziale II dodaje się rozdziały II </w:t>
      </w:r>
      <w:r>
        <w:rPr>
          <w:i/>
        </w:rPr>
        <w:t>ter</w:t>
      </w:r>
      <w:r>
        <w:t xml:space="preserve"> i II </w:t>
      </w:r>
      <w:r>
        <w:rPr>
          <w:i/>
        </w:rPr>
        <w:t>quater</w:t>
      </w:r>
      <w:r>
        <w:t xml:space="preserve"> w następującym brzmieniu: </w:t>
      </w:r>
    </w:p>
    <w:p w14:paraId="6D2D130B" w14:textId="77777777" w:rsidR="00142531" w:rsidRPr="00933EA2" w:rsidRDefault="00142531" w:rsidP="00933EA2">
      <w:pPr>
        <w:spacing w:after="200" w:line="276" w:lineRule="auto"/>
        <w:jc w:val="both"/>
        <w:rPr>
          <w:rFonts w:eastAsiaTheme="minorHAnsi"/>
        </w:rPr>
      </w:pPr>
      <w:r>
        <w:t xml:space="preserve">„Rozdział II </w:t>
      </w:r>
      <w:r>
        <w:rPr>
          <w:i/>
        </w:rPr>
        <w:t>ter</w:t>
      </w:r>
      <w:r>
        <w:t xml:space="preserve"> </w:t>
      </w:r>
    </w:p>
    <w:p w14:paraId="7540790A" w14:textId="77777777" w:rsidR="00142531" w:rsidRPr="00933EA2" w:rsidRDefault="00142531" w:rsidP="00933EA2">
      <w:pPr>
        <w:spacing w:after="200" w:line="276" w:lineRule="auto"/>
        <w:jc w:val="both"/>
        <w:rPr>
          <w:rFonts w:eastAsiaTheme="minorHAnsi"/>
        </w:rPr>
      </w:pPr>
      <w:r>
        <w:t xml:space="preserve">Loterie objęte systemem praw wyłącznych </w:t>
      </w:r>
    </w:p>
    <w:p w14:paraId="45707223" w14:textId="77777777" w:rsidR="00142531" w:rsidRPr="00933EA2" w:rsidRDefault="00142531" w:rsidP="00933EA2">
      <w:pPr>
        <w:spacing w:after="200" w:line="276" w:lineRule="auto"/>
        <w:jc w:val="both"/>
        <w:rPr>
          <w:rFonts w:eastAsiaTheme="minorHAnsi"/>
        </w:rPr>
      </w:pPr>
      <w:r>
        <w:t>Artykuł D. 322-9. – Stawki są to kwoty wpłacane przez graczy na rzecz spółki La Française des jeux i przeznaczone bezpośrednio na grę.</w:t>
      </w:r>
    </w:p>
    <w:p w14:paraId="05D78C26" w14:textId="77777777" w:rsidR="00142531" w:rsidRPr="00933EA2" w:rsidRDefault="00142531" w:rsidP="00933EA2">
      <w:pPr>
        <w:spacing w:after="200" w:line="276" w:lineRule="auto"/>
        <w:jc w:val="both"/>
        <w:rPr>
          <w:rFonts w:eastAsiaTheme="minorHAnsi"/>
        </w:rPr>
      </w:pPr>
      <w:r>
        <w:t>Artykuł D. 322-10. – Średnie matematyczne prawdopodobieństwo wygranej dla graczy w odniesieniu do wszystkich loterii łącznie oraz poszczególnych gier muszą mieścić się w zakresie między 45 % a 75 % całkowitej wartości stawek.</w:t>
      </w:r>
    </w:p>
    <w:p w14:paraId="392842B4" w14:textId="77777777" w:rsidR="00142531" w:rsidRPr="00933EA2" w:rsidRDefault="00142531" w:rsidP="00933EA2">
      <w:pPr>
        <w:spacing w:after="200" w:line="276" w:lineRule="auto"/>
        <w:jc w:val="both"/>
        <w:rPr>
          <w:rFonts w:eastAsiaTheme="minorHAnsi"/>
        </w:rPr>
      </w:pPr>
      <w:r>
        <w:t>Proporcje stawek w loteriach przeznaczone na wygrane są następujące:</w:t>
      </w:r>
    </w:p>
    <w:p w14:paraId="5893D65F" w14:textId="1FE88D6B" w:rsidR="00142531" w:rsidRPr="00933EA2" w:rsidRDefault="001D2F2A" w:rsidP="00933EA2">
      <w:pPr>
        <w:spacing w:after="200" w:line="276" w:lineRule="auto"/>
        <w:jc w:val="both"/>
        <w:rPr>
          <w:rFonts w:eastAsiaTheme="minorHAnsi"/>
        </w:rPr>
      </w:pPr>
      <w:r>
        <w:t>1° w przypadku gier opartych na losowaniu część przeznaczona dla osób wygrywających mieści się w zakresie od 50 % do 60 % dla każdego tradycyjnego losowania, między 59 % a 70 % dla każdego dodatkowego losowania i między 65 % a 72 % dla każdej gry polegającej na serii losowań;</w:t>
      </w:r>
    </w:p>
    <w:p w14:paraId="3A93D254" w14:textId="28A3AEB2" w:rsidR="00142531" w:rsidRPr="00933EA2" w:rsidRDefault="001D2F2A" w:rsidP="00933EA2">
      <w:pPr>
        <w:spacing w:after="200" w:line="276" w:lineRule="auto"/>
        <w:jc w:val="both"/>
        <w:rPr>
          <w:rFonts w:eastAsiaTheme="minorHAnsi"/>
        </w:rPr>
      </w:pPr>
      <w:r>
        <w:t>2° w przypadku gier natychmiastowych część przeznaczona dla osób wygrywających mieści się w zakresie od 62 % do 75 % dla każdej gry typu zdrapka, między 65 % a 75 % dla każdej gry losowej z wynikiem natychmiastowym i między 60 % a 70 % dla każdej dodatkowej gry natychmiastowej;</w:t>
      </w:r>
    </w:p>
    <w:p w14:paraId="53F8B5DC" w14:textId="66B5C56A" w:rsidR="00142531" w:rsidRPr="00933EA2" w:rsidRDefault="001D2F2A" w:rsidP="00933EA2">
      <w:pPr>
        <w:spacing w:after="200" w:line="276" w:lineRule="auto"/>
        <w:jc w:val="both"/>
        <w:rPr>
          <w:rFonts w:eastAsiaTheme="minorHAnsi"/>
        </w:rPr>
      </w:pPr>
      <w:r>
        <w:t>3° w przypadku wszystkich gier typu zdrapka, online i w fizycznej sieci dystrybucji oraz w odniesieniu do znacznej liczby emisji średnia część przeznaczona dla wygrywających wynosi co najmniej 50 % i maksymalnie 70,5 % nominalnej wartości emisji.</w:t>
      </w:r>
    </w:p>
    <w:p w14:paraId="07658E7E" w14:textId="77777777" w:rsidR="00142531" w:rsidRPr="00933EA2" w:rsidRDefault="00142531" w:rsidP="00933EA2">
      <w:pPr>
        <w:spacing w:after="200" w:line="276" w:lineRule="auto"/>
        <w:jc w:val="both"/>
        <w:rPr>
          <w:rFonts w:eastAsiaTheme="minorHAnsi"/>
        </w:rPr>
      </w:pPr>
      <w:r>
        <w:t>Artykuł D. 322-11.</w:t>
      </w:r>
      <w:r>
        <w:rPr>
          <w:i/>
        </w:rPr>
        <w:t xml:space="preserve"> </w:t>
      </w:r>
      <w:r>
        <w:t>– Gier losowych z wynikiem natychmiastowym, zdefiniowanych w art. L. 322-9-2, nie można oferować w terminalach samoobsługowych udostępnianych graczom w punktach rejestracji gier loteryjnych wspomnianych w art. L. 320-5, akapit drugi.</w:t>
      </w:r>
    </w:p>
    <w:p w14:paraId="5E183BE2" w14:textId="77777777" w:rsidR="00142531" w:rsidRPr="00933EA2" w:rsidRDefault="00142531" w:rsidP="00933EA2">
      <w:pPr>
        <w:spacing w:after="200" w:line="276" w:lineRule="auto"/>
        <w:jc w:val="both"/>
        <w:rPr>
          <w:rFonts w:eastAsiaTheme="minorHAnsi"/>
        </w:rPr>
      </w:pPr>
      <w:r>
        <w:t>Artykuł D. 322-12. – Gry loteryjne, na których urządzanie posiada zezwolenie spółka la Française des jeux, opierają się na wydarzeniach, wynikach losowego przypisania lub losowaniach, które mogą w szczególności dotyczyć liczb, liter, kolorów, znaków lub symboli bądź sekwencji liczb, liter, kolorów, znaków lub symboli. Ich funkcjonowanie może pozwalać na udział indywidualny lub grupowy kilku graczy. Ich mechanika może pozwalać graczom na wykonywanie działań lub dokonywanie wyborów mogącym wpływać na parametry gry, takie jak częstotliwość lub kwota wygranych lub część stawek przydzielanych na wygrane.</w:t>
      </w:r>
    </w:p>
    <w:p w14:paraId="62BE2B36" w14:textId="77777777" w:rsidR="00142531" w:rsidRPr="00933EA2" w:rsidRDefault="00142531" w:rsidP="00933EA2">
      <w:pPr>
        <w:spacing w:after="200" w:line="276" w:lineRule="auto"/>
        <w:jc w:val="both"/>
        <w:rPr>
          <w:rFonts w:eastAsiaTheme="minorHAnsi"/>
        </w:rPr>
      </w:pPr>
      <w:r>
        <w:lastRenderedPageBreak/>
        <w:t>Gry te mogą być oferowane w formule dla wielu graczy, która pozwala na udział wielu graczy, grup lub wspólnot graczy w zależności od mechaniki konfrontacji lub współpracy lub połączenia obu tych czynników.</w:t>
      </w:r>
    </w:p>
    <w:p w14:paraId="348C95DA" w14:textId="77777777" w:rsidR="00142531" w:rsidRPr="00933EA2" w:rsidRDefault="00142531" w:rsidP="00933EA2">
      <w:pPr>
        <w:spacing w:after="200" w:line="276" w:lineRule="auto"/>
        <w:jc w:val="both"/>
        <w:rPr>
          <w:rFonts w:eastAsiaTheme="minorHAnsi"/>
        </w:rPr>
      </w:pPr>
      <w:r>
        <w:t>Artykuł D. 322-13. – Uczestnictwo w grach wymienionych w art. D. 322-12 odbywa się za pośrednictwem fizycznej sieci dystrybucji spółki La Française des jeux i osób przez nią upoważnionych zgodnie z warunkami zdefiniowanymi w art. R. 322-18-1 lub ogólnodostępnych usług komunikacji elektronicznej.</w:t>
      </w:r>
    </w:p>
    <w:p w14:paraId="105DA0DE" w14:textId="45720C17" w:rsidR="00142531" w:rsidRPr="00933EA2" w:rsidRDefault="00142531" w:rsidP="00933EA2">
      <w:pPr>
        <w:spacing w:after="200" w:line="276" w:lineRule="auto"/>
        <w:jc w:val="both"/>
        <w:rPr>
          <w:rFonts w:eastAsiaTheme="minorHAnsi"/>
        </w:rPr>
      </w:pPr>
      <w:r>
        <w:t>Artykuł D. 322-14. – Ofertę gier loteryjnych spółki La Française des jeux reguluje się w następujący sposób:</w:t>
      </w:r>
    </w:p>
    <w:p w14:paraId="72F121DD" w14:textId="08FFD438" w:rsidR="00142531" w:rsidRPr="00933EA2" w:rsidRDefault="001D2F2A" w:rsidP="00933EA2">
      <w:pPr>
        <w:spacing w:after="200" w:line="276" w:lineRule="auto"/>
        <w:jc w:val="both"/>
        <w:rPr>
          <w:rFonts w:eastAsiaTheme="minorHAnsi"/>
        </w:rPr>
      </w:pPr>
      <w:r>
        <w:t>1° liczbę gier loteryjnych ze wszystkich asortymentów, eksploatowanych jednocześnie w fizycznej sieci dystrybucji, ogranicza się do maksymalnie 40 gier;</w:t>
      </w:r>
    </w:p>
    <w:p w14:paraId="27AD047C" w14:textId="2F845A41" w:rsidR="00142531" w:rsidRPr="00933EA2" w:rsidRDefault="001D2F2A" w:rsidP="00933EA2">
      <w:pPr>
        <w:spacing w:after="200" w:line="276" w:lineRule="auto"/>
        <w:jc w:val="both"/>
        <w:rPr>
          <w:rFonts w:eastAsiaTheme="minorHAnsi"/>
        </w:rPr>
      </w:pPr>
      <w:r>
        <w:t>2° liczbę gier loteryjnych ze wszystkich kategorii gier, eksploatowanych jednocześnie online, ogranicza się do maksymalnie 100 gier;</w:t>
      </w:r>
    </w:p>
    <w:p w14:paraId="3391E3C9" w14:textId="7875B4AC" w:rsidR="00142531" w:rsidRPr="00933EA2" w:rsidRDefault="001D2F2A" w:rsidP="00933EA2">
      <w:pPr>
        <w:spacing w:after="200" w:line="276" w:lineRule="auto"/>
        <w:jc w:val="both"/>
        <w:rPr>
          <w:rFonts w:eastAsiaTheme="minorHAnsi"/>
        </w:rPr>
      </w:pPr>
      <w:r>
        <w:t>3° regulamin gry ustala limit całkowitej kwoty wygranych rzeczywiście przekazywanych wygrywającym w ramach każdego decydującego zdarzenia losowego na 250 000 000 EUR w przypadku wygranych pierwszego rzędu w każdej grze loteryjnej i 100 000 000 EUR w przypadku gier loteryjnych opartych na zasadzie wzajemności.</w:t>
      </w:r>
    </w:p>
    <w:p w14:paraId="7EDC6E95" w14:textId="77777777" w:rsidR="00142531" w:rsidRPr="00933EA2" w:rsidRDefault="00142531" w:rsidP="00933EA2">
      <w:pPr>
        <w:spacing w:after="200" w:line="276" w:lineRule="auto"/>
        <w:jc w:val="both"/>
        <w:rPr>
          <w:rFonts w:eastAsiaTheme="minorHAnsi"/>
        </w:rPr>
      </w:pPr>
      <w:r>
        <w:t>„Artykuł D. 322-15. – O przydzielaniu wygranych lub nagród wygrywającym decyduje przypadek lub zdarzenie takie, jak działanie gracza. W jednej grze loteryjnej można połączyć różne sposoby ustalania wygranych lub nagród i ich przydzielania wygrywającym.</w:t>
      </w:r>
    </w:p>
    <w:p w14:paraId="698B3ECA" w14:textId="77777777" w:rsidR="00142531" w:rsidRPr="00933EA2" w:rsidRDefault="00142531" w:rsidP="00933EA2">
      <w:pPr>
        <w:spacing w:after="200" w:line="276" w:lineRule="auto"/>
        <w:jc w:val="both"/>
        <w:rPr>
          <w:rFonts w:eastAsiaTheme="minorHAnsi"/>
        </w:rPr>
      </w:pPr>
      <w:r>
        <w:t>Artykuł D. 322-16. – Decydujące zdarzenie losowe określa się jako „uprzednie”, jeśli wygrane lub nagrody są przypisywane losowo do wygrywających nośników gry za pomocą ukrytego napisu przed ich udostępnieniem odbiorcom.</w:t>
      </w:r>
    </w:p>
    <w:p w14:paraId="1DF4C48B" w14:textId="77777777" w:rsidR="00142531" w:rsidRPr="00933EA2" w:rsidRDefault="00142531" w:rsidP="00933EA2">
      <w:pPr>
        <w:spacing w:after="200" w:line="276" w:lineRule="auto"/>
        <w:jc w:val="both"/>
        <w:rPr>
          <w:rFonts w:eastAsiaTheme="minorHAnsi"/>
        </w:rPr>
      </w:pPr>
      <w:r>
        <w:t>„Jednoczesne” zdarzenie losowe jest uruchamiane poprzez takie zdarzenie jak działanie gracza na nośniku wyposażonym w odpowiedni system lub proces.</w:t>
      </w:r>
    </w:p>
    <w:p w14:paraId="5224D752" w14:textId="77777777" w:rsidR="00142531" w:rsidRPr="00933EA2" w:rsidRDefault="00142531" w:rsidP="00933EA2">
      <w:pPr>
        <w:spacing w:after="200" w:line="276" w:lineRule="auto"/>
        <w:jc w:val="both"/>
        <w:rPr>
          <w:rFonts w:eastAsiaTheme="minorHAnsi"/>
        </w:rPr>
      </w:pPr>
      <w:r>
        <w:t>Zdarzenie określane jako „następcze” opiera się na wynikach jednego lub kilku losowań lub losowych przypisań, które mogą dotyczyć liczb, liter, kolorów, znaków lub symboli bądź sekwencji liczb, liter, kolorów, znaków lub symboli.</w:t>
      </w:r>
    </w:p>
    <w:p w14:paraId="6A6541EC" w14:textId="77777777" w:rsidR="00142531" w:rsidRPr="00933EA2" w:rsidRDefault="00142531" w:rsidP="00933EA2">
      <w:pPr>
        <w:spacing w:after="200" w:line="276" w:lineRule="auto"/>
        <w:jc w:val="both"/>
        <w:rPr>
          <w:rFonts w:eastAsiaTheme="minorHAnsi"/>
        </w:rPr>
      </w:pPr>
      <w:r>
        <w:t xml:space="preserve"> Artykuł D. 322-17. – Wygrane lub nagrody przydzielane wygrywającym mogą mieć postać gotówkową lub rzeczową. Wygrane przydzielane w postaci rzeczowej rozlicza się według ich wartości rynkowej.</w:t>
      </w:r>
    </w:p>
    <w:p w14:paraId="499EF278" w14:textId="77777777" w:rsidR="00142531" w:rsidRPr="00933EA2" w:rsidRDefault="00142531" w:rsidP="00933EA2">
      <w:pPr>
        <w:spacing w:after="200" w:line="276" w:lineRule="auto"/>
        <w:jc w:val="both"/>
        <w:rPr>
          <w:rFonts w:eastAsiaTheme="minorHAnsi"/>
        </w:rPr>
      </w:pPr>
      <w:r>
        <w:t>Artykuł D. 322-18. – Jeżeli gra loteryjna opiera się jednocześnie na zasadzie dystrybucji i wzajemności, każda część gry podlega wymogom przestrzegania odpowiednich zasad.</w:t>
      </w:r>
    </w:p>
    <w:p w14:paraId="71C8C978" w14:textId="77777777" w:rsidR="00142531" w:rsidRPr="00933EA2" w:rsidRDefault="00142531" w:rsidP="00933EA2">
      <w:pPr>
        <w:spacing w:after="200" w:line="276" w:lineRule="auto"/>
        <w:jc w:val="both"/>
        <w:rPr>
          <w:rFonts w:eastAsiaTheme="minorHAnsi"/>
        </w:rPr>
      </w:pPr>
      <w:r>
        <w:t xml:space="preserve">Rozdział II </w:t>
      </w:r>
      <w:r>
        <w:rPr>
          <w:i/>
        </w:rPr>
        <w:t>quater</w:t>
      </w:r>
    </w:p>
    <w:p w14:paraId="3EE605AB" w14:textId="77777777" w:rsidR="00142531" w:rsidRPr="00933EA2" w:rsidRDefault="00142531" w:rsidP="00933EA2">
      <w:pPr>
        <w:spacing w:after="200" w:line="276" w:lineRule="auto"/>
        <w:jc w:val="both"/>
        <w:rPr>
          <w:rFonts w:eastAsiaTheme="minorHAnsi"/>
        </w:rPr>
      </w:pPr>
      <w:r>
        <w:t>Zakłady sportowe i zakłady konne</w:t>
      </w:r>
    </w:p>
    <w:p w14:paraId="19743B61" w14:textId="77777777" w:rsidR="00142531" w:rsidRPr="00933EA2" w:rsidRDefault="00142531" w:rsidP="00933EA2">
      <w:pPr>
        <w:spacing w:after="200" w:line="276" w:lineRule="auto"/>
        <w:jc w:val="both"/>
        <w:rPr>
          <w:rFonts w:eastAsiaTheme="minorHAnsi"/>
        </w:rPr>
      </w:pPr>
      <w:r>
        <w:lastRenderedPageBreak/>
        <w:t>„Artykuł D. 322-19. – W przypadku wszystkich zakładów sportowych wymienionych w art. L. 322-13 i wprowadzanych do obrotu w fizycznej sieci dystrybucji spółki La Française des jeux część stawek przeznaczona na wygrane nie może przekroczyć średnio 76,5 % w roku kalendarzowym.</w:t>
      </w:r>
    </w:p>
    <w:p w14:paraId="1B16ABF1" w14:textId="77777777" w:rsidR="00142531" w:rsidRPr="00933EA2" w:rsidRDefault="00142531" w:rsidP="00933EA2">
      <w:pPr>
        <w:spacing w:after="200" w:line="276" w:lineRule="auto"/>
        <w:jc w:val="both"/>
        <w:rPr>
          <w:rFonts w:eastAsiaTheme="minorHAnsi"/>
        </w:rPr>
      </w:pPr>
      <w:r>
        <w:t>Artykuł D. 322-20. – O przydzielaniu wygranych lub nagród wygrywającym decydują wyniki imprez sportowych. W jednej grze zakładu sportowego można połączyć różne sposoby ustalania wygranych lub nagród i ich przydzielania wygrywającym.</w:t>
      </w:r>
    </w:p>
    <w:p w14:paraId="4FCEFCC4" w14:textId="77777777" w:rsidR="00142531" w:rsidRPr="00933EA2" w:rsidRDefault="00142531" w:rsidP="00933EA2">
      <w:pPr>
        <w:spacing w:after="200" w:line="276" w:lineRule="auto"/>
        <w:jc w:val="both"/>
        <w:rPr>
          <w:rFonts w:eastAsiaTheme="minorHAnsi"/>
        </w:rPr>
      </w:pPr>
      <w:r>
        <w:t>Artykuł D. 322-21. – Wygrane lub nagrody przydzielane wygrywającym mogą mieć postać gotówkową lub rzeczową. Wygrane przydzielane w postaci rzeczowej rozlicza się według ich wartości rynkowej.</w:t>
      </w:r>
    </w:p>
    <w:p w14:paraId="52C3B83B" w14:textId="77777777" w:rsidR="00142531" w:rsidRPr="00933EA2" w:rsidRDefault="00142531" w:rsidP="00933EA2">
      <w:pPr>
        <w:spacing w:after="200" w:line="276" w:lineRule="auto"/>
        <w:jc w:val="both"/>
        <w:rPr>
          <w:rFonts w:eastAsiaTheme="minorHAnsi"/>
        </w:rPr>
      </w:pPr>
      <w:r>
        <w:t>Artykuł D. 322-22. – Jeżeli gra zakładu sportowego opiera się jednocześnie na zasadzie dystrybucji i wzajemności, każda część gry podlega wymogom przestrzegania odpowiednich zasad.”</w:t>
      </w:r>
    </w:p>
    <w:p w14:paraId="397F7EC9" w14:textId="6B79B966" w:rsidR="00142531" w:rsidRPr="00933EA2" w:rsidRDefault="00142531" w:rsidP="00933EA2">
      <w:pPr>
        <w:keepNext/>
        <w:keepLines/>
        <w:spacing w:after="200" w:line="276" w:lineRule="auto"/>
        <w:jc w:val="center"/>
        <w:rPr>
          <w:rFonts w:eastAsiaTheme="minorHAnsi"/>
          <w:b/>
        </w:rPr>
      </w:pPr>
      <w:r>
        <w:rPr>
          <w:b/>
        </w:rPr>
        <w:t>Tytuł IX: PRZEPISY RÓŻNE</w:t>
      </w:r>
    </w:p>
    <w:p w14:paraId="6B2FA634" w14:textId="6133C450" w:rsidR="00142531" w:rsidRPr="00933EA2" w:rsidRDefault="00142531" w:rsidP="00933EA2">
      <w:pPr>
        <w:pStyle w:val="BodyText"/>
        <w:keepNext/>
        <w:keepLines/>
        <w:jc w:val="center"/>
        <w:rPr>
          <w:b/>
        </w:rPr>
      </w:pPr>
      <w:r>
        <w:rPr>
          <w:b/>
        </w:rPr>
        <w:t>Artykuł 48</w:t>
      </w:r>
    </w:p>
    <w:p w14:paraId="1E081A25" w14:textId="77777777" w:rsidR="00142531" w:rsidRPr="00933EA2" w:rsidRDefault="00142531" w:rsidP="00933EA2">
      <w:pPr>
        <w:keepNext/>
        <w:keepLines/>
        <w:rPr>
          <w:b/>
        </w:rPr>
      </w:pPr>
    </w:p>
    <w:p w14:paraId="37DFBDA8" w14:textId="6B10418A" w:rsidR="00142531" w:rsidRPr="00933EA2" w:rsidRDefault="00142531" w:rsidP="00933EA2">
      <w:pPr>
        <w:pStyle w:val="BodyText"/>
        <w:jc w:val="both"/>
      </w:pPr>
      <w:r>
        <w:t>W dekrecie nr 2019-1061 z dnia 17 października 2019 r. wprowadza się następujące zmiany:</w:t>
      </w:r>
    </w:p>
    <w:p w14:paraId="1D7BA30F" w14:textId="01D3777C" w:rsidR="00142531" w:rsidRPr="00933EA2" w:rsidRDefault="00B84182" w:rsidP="00933EA2">
      <w:pPr>
        <w:pStyle w:val="BodyText"/>
        <w:jc w:val="both"/>
        <w:rPr>
          <w:rFonts w:eastAsia="Calibri"/>
        </w:rPr>
      </w:pPr>
      <w:r>
        <w:t xml:space="preserve">1. w art. 8 wprowadza się następujące zmiany: </w:t>
      </w:r>
    </w:p>
    <w:p w14:paraId="2B2B45CD" w14:textId="6E5CBC85" w:rsidR="00142531" w:rsidRPr="00933EA2" w:rsidRDefault="00F77C81" w:rsidP="00933EA2">
      <w:pPr>
        <w:pStyle w:val="BodyText"/>
        <w:jc w:val="both"/>
      </w:pPr>
      <w:r>
        <w:t>a) skreśla się akapit pierwszy, akapity od trzeciego do siódmego, od dziewiątego do szesnastego oraz ust. II akapit pierwszy;</w:t>
      </w:r>
    </w:p>
    <w:p w14:paraId="36218AA9" w14:textId="7EC300FB" w:rsidR="00142531" w:rsidRPr="00933EA2" w:rsidRDefault="00F77C81" w:rsidP="00933EA2">
      <w:pPr>
        <w:pStyle w:val="BodyText"/>
        <w:jc w:val="both"/>
      </w:pPr>
      <w:r>
        <w:t>b) w akapicie drugim dodaje się wyrażenie: „wspomniana w art. L. 322-9-1 i L. 322-9-2 kodeksu bezpieczeństwa wewnętrznego”;</w:t>
      </w:r>
    </w:p>
    <w:p w14:paraId="3FD15048" w14:textId="5FCE4042" w:rsidR="00142531" w:rsidRPr="00933EA2" w:rsidRDefault="00F77C81" w:rsidP="00933EA2">
      <w:pPr>
        <w:pStyle w:val="BodyText"/>
        <w:jc w:val="both"/>
      </w:pPr>
      <w:r>
        <w:t xml:space="preserve">c) w akapicie ósmym wyrazy: „w niniejszym artykule” zastępuje się wyrażeniem: „w art. D. 322-10 i D. 322-19 kodeksu bezpieczeństwa wewnętrznego”; </w:t>
      </w:r>
    </w:p>
    <w:p w14:paraId="5C01C0A8" w14:textId="08EE0C3D" w:rsidR="00142531" w:rsidRPr="00933EA2" w:rsidRDefault="00F77C81" w:rsidP="00933EA2">
      <w:pPr>
        <w:pStyle w:val="BodyText"/>
        <w:jc w:val="both"/>
      </w:pPr>
      <w:r>
        <w:t>d) w akapicie siedemnastym wyrazy: „w niniejszym ust. I pkt 2” zastępuje się wyrażeniem: „w art. D. 322-14”;</w:t>
      </w:r>
    </w:p>
    <w:p w14:paraId="4A48D974" w14:textId="6354E1D2" w:rsidR="00142531" w:rsidRPr="00933EA2" w:rsidRDefault="003A7FAA" w:rsidP="00933EA2">
      <w:pPr>
        <w:pStyle w:val="BodyText"/>
        <w:jc w:val="both"/>
      </w:pPr>
      <w:r>
        <w:t xml:space="preserve">2. w art. 9 wprowadza się następujące zmiany: </w:t>
      </w:r>
    </w:p>
    <w:p w14:paraId="67CB0A9C" w14:textId="0B61CF64" w:rsidR="00142531" w:rsidRPr="00933EA2" w:rsidRDefault="00F77C81" w:rsidP="00933EA2">
      <w:pPr>
        <w:pStyle w:val="BodyText"/>
        <w:jc w:val="both"/>
      </w:pPr>
      <w:r>
        <w:t>a) w akapicie pierwszym skreśla się oznaczenie: „I. – ”;</w:t>
      </w:r>
    </w:p>
    <w:p w14:paraId="7362E9D8" w14:textId="26A4CC94" w:rsidR="00142531" w:rsidRPr="00933EA2" w:rsidRDefault="00F77C81" w:rsidP="00933EA2">
      <w:pPr>
        <w:pStyle w:val="BodyText"/>
        <w:jc w:val="both"/>
      </w:pPr>
      <w:r>
        <w:t>b) uchyla się ust. II;</w:t>
      </w:r>
    </w:p>
    <w:p w14:paraId="34B2083E" w14:textId="5E389661" w:rsidR="00142531" w:rsidRPr="00933EA2" w:rsidRDefault="003A7FAA" w:rsidP="00933EA2">
      <w:pPr>
        <w:pStyle w:val="BodyText"/>
        <w:jc w:val="both"/>
      </w:pPr>
      <w:r>
        <w:t>3. skreśla się art. 11 akapit pierwszy;</w:t>
      </w:r>
    </w:p>
    <w:p w14:paraId="2CF30745" w14:textId="77777777" w:rsidR="00142531" w:rsidRPr="00933EA2" w:rsidRDefault="003A7FAA" w:rsidP="00933EA2">
      <w:pPr>
        <w:pStyle w:val="BodyText"/>
        <w:jc w:val="both"/>
      </w:pPr>
      <w:r>
        <w:t>4. uchyla się art. 10 i 16.</w:t>
      </w:r>
    </w:p>
    <w:p w14:paraId="026AA641" w14:textId="19FF09DB" w:rsidR="00142531" w:rsidRDefault="00C342AB" w:rsidP="00933EA2">
      <w:pPr>
        <w:pStyle w:val="BodyText"/>
        <w:jc w:val="center"/>
        <w:rPr>
          <w:b/>
        </w:rPr>
      </w:pPr>
      <w:r>
        <w:rPr>
          <w:b/>
        </w:rPr>
        <w:t>Artykuł 49</w:t>
      </w:r>
    </w:p>
    <w:p w14:paraId="20CC2A42" w14:textId="77777777" w:rsidR="00933EA2" w:rsidRPr="00933EA2" w:rsidRDefault="00933EA2" w:rsidP="00933EA2">
      <w:pPr>
        <w:keepNext/>
        <w:keepLines/>
        <w:rPr>
          <w:b/>
        </w:rPr>
      </w:pPr>
    </w:p>
    <w:p w14:paraId="5078CA54" w14:textId="77777777" w:rsidR="003A46B9" w:rsidRPr="00933EA2" w:rsidRDefault="00142531" w:rsidP="00933EA2">
      <w:pPr>
        <w:pStyle w:val="BodyText"/>
        <w:jc w:val="both"/>
      </w:pPr>
      <w:r>
        <w:t>Uchyla się dekret nr 2010-624 z dnia 8 czerwca 2010 r. w sprawie przepisów regulujących informacje handlowe na rzecz podmiotów urządzających gry pieniężne i hazardowe oraz informacji dla graczy dotyczących ryzyka związanego z grą, z wyjątkiem art. 1.</w:t>
      </w:r>
    </w:p>
    <w:p w14:paraId="44F6D3A1" w14:textId="77777777" w:rsidR="003A46B9" w:rsidRPr="00933EA2" w:rsidRDefault="003A46B9" w:rsidP="00933EA2">
      <w:pPr>
        <w:pStyle w:val="BodyText"/>
        <w:jc w:val="both"/>
      </w:pPr>
      <w:r>
        <w:t>Art. 1 wspomnianego dekretu z dnia 8 czerwca 2010 r. uchyla się z dniem wejścia w życie rozporządzenia przewidzianego w art. D. 320-2 kodeksu bezpieczeństwa wewnętrznego.</w:t>
      </w:r>
    </w:p>
    <w:p w14:paraId="43F165C3" w14:textId="77777777" w:rsidR="00142531" w:rsidRPr="00933EA2" w:rsidRDefault="00142531" w:rsidP="00933EA2">
      <w:pPr>
        <w:pStyle w:val="BodyText"/>
        <w:jc w:val="both"/>
      </w:pPr>
    </w:p>
    <w:p w14:paraId="1ED9BF43" w14:textId="30760737" w:rsidR="00142531" w:rsidRPr="00933EA2" w:rsidRDefault="00142531" w:rsidP="00933EA2">
      <w:pPr>
        <w:keepNext/>
        <w:keepLines/>
        <w:pageBreakBefore/>
        <w:spacing w:after="200" w:line="276" w:lineRule="auto"/>
        <w:jc w:val="center"/>
        <w:rPr>
          <w:rFonts w:eastAsiaTheme="minorHAnsi"/>
          <w:b/>
        </w:rPr>
      </w:pPr>
      <w:r>
        <w:rPr>
          <w:b/>
        </w:rPr>
        <w:lastRenderedPageBreak/>
        <w:t>TYTUŁ X: PRZEPISY DOTYCZĄCE TERYTORIÓW ZAMORSKICH</w:t>
      </w:r>
    </w:p>
    <w:p w14:paraId="228B2384" w14:textId="6829D366" w:rsidR="00142531" w:rsidRDefault="00C342AB" w:rsidP="00933EA2">
      <w:pPr>
        <w:pStyle w:val="BodyText"/>
        <w:keepNext/>
        <w:keepLines/>
        <w:jc w:val="center"/>
        <w:rPr>
          <w:b/>
        </w:rPr>
      </w:pPr>
      <w:r>
        <w:rPr>
          <w:b/>
        </w:rPr>
        <w:t>Artykuł 50</w:t>
      </w:r>
    </w:p>
    <w:p w14:paraId="64A668A0" w14:textId="77777777" w:rsidR="00933EA2" w:rsidRPr="00933EA2" w:rsidRDefault="00933EA2" w:rsidP="00933EA2">
      <w:pPr>
        <w:pStyle w:val="BodyText"/>
        <w:keepNext/>
        <w:keepLines/>
        <w:jc w:val="center"/>
        <w:rPr>
          <w:b/>
        </w:rPr>
      </w:pPr>
    </w:p>
    <w:p w14:paraId="4EDE3EF1" w14:textId="78A68B88" w:rsidR="00142531" w:rsidRPr="00933EA2" w:rsidRDefault="00142531" w:rsidP="00933EA2">
      <w:pPr>
        <w:spacing w:before="120" w:after="120"/>
        <w:jc w:val="both"/>
      </w:pPr>
      <w:r>
        <w:t xml:space="preserve">W tytule VI księgi III kodeksu bezpieczeństwa wewnętrznego wprowadza się następujące zmiany: </w:t>
      </w:r>
    </w:p>
    <w:p w14:paraId="3F218209" w14:textId="4E3D9BBB" w:rsidR="00142531" w:rsidRPr="00933EA2" w:rsidRDefault="00142531" w:rsidP="00933EA2">
      <w:pPr>
        <w:spacing w:before="120" w:after="120"/>
        <w:jc w:val="both"/>
      </w:pPr>
      <w:r>
        <w:t xml:space="preserve">1. po art. R. 344-1 dodaje się art. D. 344-1-1 w brzmieniu: </w:t>
      </w:r>
    </w:p>
    <w:p w14:paraId="03866EFC" w14:textId="4280BBD7" w:rsidR="00142531" w:rsidRPr="00933EA2" w:rsidRDefault="00142531" w:rsidP="00933EA2">
      <w:pPr>
        <w:spacing w:before="120" w:after="120"/>
        <w:jc w:val="both"/>
      </w:pPr>
      <w:r>
        <w:t xml:space="preserve">„Artykuł D. 344-1-1. – W Polinezji Francuskiej mają zastosowanie przepisy niniejszej księgi wymienione w lewej kolumnie poniższej tabeli w brzmieniu podanym w prawej kolumnie tej samej tabeli: </w:t>
      </w:r>
    </w:p>
    <w:p w14:paraId="575C799C" w14:textId="77777777" w:rsidR="00142531" w:rsidRPr="00933EA2" w:rsidRDefault="00142531" w:rsidP="00933EA2">
      <w:pPr>
        <w:spacing w:before="120" w:after="120"/>
      </w:pPr>
      <w:r>
        <w:t>”</w:t>
      </w:r>
    </w:p>
    <w:tbl>
      <w:tblPr>
        <w:tblW w:w="0" w:type="auto"/>
        <w:tblInd w:w="-15" w:type="dxa"/>
        <w:tblLayout w:type="fixed"/>
        <w:tblLook w:val="0000" w:firstRow="0" w:lastRow="0" w:firstColumn="0" w:lastColumn="0" w:noHBand="0" w:noVBand="0"/>
      </w:tblPr>
      <w:tblGrid>
        <w:gridCol w:w="4747"/>
        <w:gridCol w:w="4777"/>
      </w:tblGrid>
      <w:tr w:rsidR="00142531" w:rsidRPr="00933EA2" w14:paraId="0E2EAEC9"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11B23B21" w14:textId="77777777" w:rsidR="00142531" w:rsidRPr="00933EA2" w:rsidRDefault="00142531" w:rsidP="00933EA2">
            <w:pPr>
              <w:spacing w:before="120" w:after="120"/>
              <w:jc w:val="center"/>
            </w:pPr>
            <w:r>
              <w:t>PRZEPISY MAJĄCE ZASTOSOWANIE</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7D931236" w14:textId="77777777" w:rsidR="00142531" w:rsidRPr="00933EA2" w:rsidRDefault="00142531" w:rsidP="00933EA2">
            <w:pPr>
              <w:spacing w:before="120" w:after="120"/>
              <w:jc w:val="center"/>
            </w:pPr>
            <w:r>
              <w:t>W BRZMIENIU</w:t>
            </w:r>
          </w:p>
        </w:tc>
      </w:tr>
      <w:tr w:rsidR="00142531" w:rsidRPr="00933EA2" w14:paraId="412D33D7" w14:textId="77777777" w:rsidTr="00933EA2">
        <w:trPr>
          <w:cantSplit/>
        </w:trPr>
        <w:tc>
          <w:tcPr>
            <w:tcW w:w="9524" w:type="dxa"/>
            <w:gridSpan w:val="2"/>
            <w:tcBorders>
              <w:top w:val="single" w:sz="4" w:space="0" w:color="000000"/>
              <w:left w:val="single" w:sz="4" w:space="0" w:color="000000"/>
              <w:bottom w:val="single" w:sz="4" w:space="0" w:color="000000"/>
              <w:right w:val="single" w:sz="4" w:space="0" w:color="000000"/>
            </w:tcBorders>
            <w:shd w:val="clear" w:color="auto" w:fill="auto"/>
          </w:tcPr>
          <w:p w14:paraId="2FF41097" w14:textId="77777777" w:rsidR="00142531" w:rsidRPr="00933EA2" w:rsidRDefault="00142531" w:rsidP="00933EA2">
            <w:pPr>
              <w:spacing w:before="120" w:after="120"/>
              <w:jc w:val="both"/>
            </w:pPr>
            <w:r>
              <w:t>W tytule II</w:t>
            </w:r>
          </w:p>
        </w:tc>
      </w:tr>
      <w:tr w:rsidR="00142531" w:rsidRPr="00933EA2" w14:paraId="7935333B"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7E2AA7C7" w14:textId="77777777" w:rsidR="00142531" w:rsidRPr="00933EA2" w:rsidRDefault="00142531" w:rsidP="00933EA2">
            <w:pPr>
              <w:spacing w:before="120" w:after="120"/>
              <w:jc w:val="both"/>
            </w:pPr>
            <w:r>
              <w:t>D. 320-1 do D. 320-10</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457373FB" w14:textId="77777777" w:rsidR="00142531" w:rsidRPr="00933EA2" w:rsidRDefault="00142531" w:rsidP="00933EA2">
            <w:pPr>
              <w:spacing w:before="120" w:after="120"/>
              <w:jc w:val="both"/>
            </w:pPr>
            <w:r>
              <w:t>nadanym dekretem nr XXX z dnia XXX r.</w:t>
            </w:r>
          </w:p>
        </w:tc>
      </w:tr>
      <w:tr w:rsidR="00142531" w:rsidRPr="00933EA2" w14:paraId="58B6C442"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08FB507A" w14:textId="77777777" w:rsidR="00142531" w:rsidRPr="00933EA2" w:rsidRDefault="00142531" w:rsidP="00933EA2">
            <w:pPr>
              <w:spacing w:before="120" w:after="120"/>
              <w:jc w:val="both"/>
              <w:rPr>
                <w:bCs/>
                <w:iCs/>
              </w:rPr>
            </w:pPr>
            <w:r>
              <w:t>D. 322-9 do D. 322-22</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2C4B1D7B" w14:textId="77777777" w:rsidR="00142531" w:rsidRPr="00933EA2" w:rsidRDefault="00142531" w:rsidP="00933EA2">
            <w:pPr>
              <w:spacing w:before="120" w:after="120"/>
              <w:jc w:val="both"/>
            </w:pPr>
            <w:r>
              <w:t>nadanym dekretem nr XXX z dnia XXX r.</w:t>
            </w:r>
          </w:p>
        </w:tc>
      </w:tr>
    </w:tbl>
    <w:p w14:paraId="76940A3D" w14:textId="70749E61" w:rsidR="00142531" w:rsidRPr="00933EA2" w:rsidRDefault="00142531" w:rsidP="00933EA2">
      <w:pPr>
        <w:spacing w:before="120" w:after="120"/>
        <w:jc w:val="right"/>
      </w:pPr>
      <w:r>
        <w:t>”;</w:t>
      </w:r>
    </w:p>
    <w:p w14:paraId="2859C670" w14:textId="4C9A029D" w:rsidR="00142531" w:rsidRPr="00933EA2" w:rsidRDefault="00F77C81" w:rsidP="00933EA2">
      <w:pPr>
        <w:spacing w:before="120" w:after="120"/>
        <w:jc w:val="both"/>
      </w:pPr>
      <w:r>
        <w:t xml:space="preserve">2. W art. D. 345-2 wprowadza się następujące zmiany: </w:t>
      </w:r>
    </w:p>
    <w:p w14:paraId="171E8F55" w14:textId="345E314C" w:rsidR="00142531" w:rsidRPr="00933EA2" w:rsidRDefault="00142531" w:rsidP="00933EA2">
      <w:pPr>
        <w:spacing w:before="120" w:after="120"/>
        <w:jc w:val="both"/>
      </w:pPr>
      <w:r>
        <w:t xml:space="preserve">a) po wierszu </w:t>
      </w:r>
    </w:p>
    <w:p w14:paraId="0A6D5ECA" w14:textId="4260D7DB" w:rsidR="00142531" w:rsidRPr="00933EA2" w:rsidRDefault="00142531" w:rsidP="00933EA2">
      <w:pPr>
        <w:spacing w:before="120" w:after="120"/>
        <w:jc w:val="both"/>
      </w:pPr>
      <w:r>
        <w:t xml:space="preserve">”. </w:t>
      </w:r>
    </w:p>
    <w:tbl>
      <w:tblPr>
        <w:tblW w:w="0" w:type="auto"/>
        <w:tblInd w:w="-15" w:type="dxa"/>
        <w:tblLayout w:type="fixed"/>
        <w:tblLook w:val="0000" w:firstRow="0" w:lastRow="0" w:firstColumn="0" w:lastColumn="0" w:noHBand="0" w:noVBand="0"/>
      </w:tblPr>
      <w:tblGrid>
        <w:gridCol w:w="9524"/>
      </w:tblGrid>
      <w:tr w:rsidR="00142531" w:rsidRPr="00933EA2" w14:paraId="692F82FE" w14:textId="77777777" w:rsidTr="00933EA2">
        <w:trPr>
          <w:cantSplit/>
        </w:trPr>
        <w:tc>
          <w:tcPr>
            <w:tcW w:w="9524" w:type="dxa"/>
            <w:tcBorders>
              <w:top w:val="single" w:sz="4" w:space="0" w:color="000000"/>
              <w:left w:val="single" w:sz="4" w:space="0" w:color="000000"/>
              <w:bottom w:val="single" w:sz="4" w:space="0" w:color="000000"/>
              <w:right w:val="single" w:sz="4" w:space="0" w:color="000000"/>
            </w:tcBorders>
            <w:shd w:val="clear" w:color="auto" w:fill="auto"/>
          </w:tcPr>
          <w:p w14:paraId="20DA139F" w14:textId="77777777" w:rsidR="00142531" w:rsidRPr="00933EA2" w:rsidRDefault="00142531" w:rsidP="00933EA2">
            <w:pPr>
              <w:spacing w:before="120" w:after="120"/>
              <w:jc w:val="both"/>
            </w:pPr>
            <w:r>
              <w:t>W tytule II</w:t>
            </w:r>
          </w:p>
        </w:tc>
      </w:tr>
    </w:tbl>
    <w:p w14:paraId="5EC12802" w14:textId="77777777" w:rsidR="00142531" w:rsidRPr="00933EA2" w:rsidRDefault="00142531" w:rsidP="00933EA2">
      <w:pPr>
        <w:spacing w:before="120" w:after="120"/>
        <w:jc w:val="right"/>
      </w:pPr>
      <w:r>
        <w:t>”.</w:t>
      </w:r>
    </w:p>
    <w:p w14:paraId="3328B77C" w14:textId="47ADEAAB" w:rsidR="00142531" w:rsidRPr="00933EA2" w:rsidRDefault="00142531" w:rsidP="00933EA2">
      <w:pPr>
        <w:spacing w:before="120" w:after="120"/>
        <w:jc w:val="both"/>
      </w:pPr>
      <w:r>
        <w:t xml:space="preserve">dodaje się wiersz o następującej treści: </w:t>
      </w:r>
    </w:p>
    <w:p w14:paraId="3C13D2F5" w14:textId="6F23188C" w:rsidR="00142531" w:rsidRPr="00933EA2" w:rsidRDefault="00142531" w:rsidP="00933EA2">
      <w:pPr>
        <w:spacing w:before="120" w:after="120"/>
        <w:jc w:val="both"/>
      </w:pPr>
      <w:r>
        <w:t xml:space="preserve">”. </w:t>
      </w:r>
    </w:p>
    <w:tbl>
      <w:tblPr>
        <w:tblW w:w="0" w:type="auto"/>
        <w:tblInd w:w="-15" w:type="dxa"/>
        <w:tblLayout w:type="fixed"/>
        <w:tblLook w:val="0000" w:firstRow="0" w:lastRow="0" w:firstColumn="0" w:lastColumn="0" w:noHBand="0" w:noVBand="0"/>
      </w:tblPr>
      <w:tblGrid>
        <w:gridCol w:w="4747"/>
        <w:gridCol w:w="4777"/>
      </w:tblGrid>
      <w:tr w:rsidR="00142531" w:rsidRPr="00933EA2" w14:paraId="0A2B46FE"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5F90E2B5" w14:textId="77777777" w:rsidR="00142531" w:rsidRPr="00933EA2" w:rsidRDefault="00142531" w:rsidP="00933EA2">
            <w:pPr>
              <w:spacing w:before="120" w:after="120"/>
              <w:jc w:val="both"/>
            </w:pPr>
            <w:r>
              <w:t>D. 320-1 do D. 320-10</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5456348F" w14:textId="77777777" w:rsidR="00142531" w:rsidRPr="00933EA2" w:rsidRDefault="00142531" w:rsidP="00933EA2">
            <w:pPr>
              <w:spacing w:before="120" w:after="120"/>
              <w:jc w:val="both"/>
            </w:pPr>
            <w:r>
              <w:t>nadanym dekretem nr XXX z dnia XXX r.</w:t>
            </w:r>
          </w:p>
        </w:tc>
      </w:tr>
    </w:tbl>
    <w:p w14:paraId="394F271C" w14:textId="15007DC9" w:rsidR="00142531" w:rsidRPr="00933EA2" w:rsidRDefault="00142531" w:rsidP="00933EA2">
      <w:pPr>
        <w:spacing w:before="120" w:after="120"/>
        <w:jc w:val="right"/>
      </w:pPr>
      <w:r>
        <w:t>”;</w:t>
      </w:r>
    </w:p>
    <w:p w14:paraId="2C9C36CA" w14:textId="748A8604" w:rsidR="00142531" w:rsidRPr="00933EA2" w:rsidRDefault="00142531" w:rsidP="00933EA2">
      <w:pPr>
        <w:spacing w:before="120" w:after="120"/>
        <w:jc w:val="both"/>
      </w:pPr>
      <w:r>
        <w:t xml:space="preserve">a) po wierszu </w:t>
      </w:r>
    </w:p>
    <w:p w14:paraId="7FEEA025" w14:textId="3404E3A0" w:rsidR="00142531" w:rsidRPr="00933EA2" w:rsidRDefault="00142531" w:rsidP="00933EA2">
      <w:pPr>
        <w:spacing w:before="120" w:after="120"/>
        <w:jc w:val="both"/>
      </w:pPr>
      <w:r>
        <w:t xml:space="preserve">”. </w:t>
      </w:r>
    </w:p>
    <w:tbl>
      <w:tblPr>
        <w:tblW w:w="0" w:type="auto"/>
        <w:tblInd w:w="-15" w:type="dxa"/>
        <w:tblLayout w:type="fixed"/>
        <w:tblLook w:val="0000" w:firstRow="0" w:lastRow="0" w:firstColumn="0" w:lastColumn="0" w:noHBand="0" w:noVBand="0"/>
      </w:tblPr>
      <w:tblGrid>
        <w:gridCol w:w="4747"/>
        <w:gridCol w:w="4777"/>
      </w:tblGrid>
      <w:tr w:rsidR="00142531" w:rsidRPr="00933EA2" w14:paraId="7C02A6C7"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0082B790" w14:textId="77777777" w:rsidR="00142531" w:rsidRPr="00933EA2" w:rsidRDefault="00142531" w:rsidP="00933EA2">
            <w:pPr>
              <w:spacing w:before="120" w:after="120"/>
              <w:jc w:val="both"/>
            </w:pPr>
            <w:r>
              <w:t>D. 322-4.</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31C8B634" w14:textId="77777777" w:rsidR="00142531" w:rsidRPr="00933EA2" w:rsidRDefault="00142531" w:rsidP="00933EA2">
            <w:pPr>
              <w:spacing w:before="120" w:after="120"/>
              <w:jc w:val="both"/>
            </w:pPr>
            <w:r>
              <w:t>nadanym dekretem nr 2014-1253 z dnia 27 października 2014 r. w sprawie przepisów księgi III, VI i VII części wykonawczej kodeksu bezpieczeństwa wewnętrznego (dekrety Rady Stanu i dekrety zwykłe)</w:t>
            </w:r>
          </w:p>
        </w:tc>
      </w:tr>
    </w:tbl>
    <w:p w14:paraId="0CC52D59" w14:textId="77777777" w:rsidR="00142531" w:rsidRPr="00933EA2" w:rsidRDefault="00142531" w:rsidP="00933EA2">
      <w:pPr>
        <w:spacing w:before="120" w:after="120"/>
        <w:jc w:val="right"/>
      </w:pPr>
      <w:r>
        <w:t>”.</w:t>
      </w:r>
    </w:p>
    <w:p w14:paraId="036973BF" w14:textId="3EF8A6EA" w:rsidR="00142531" w:rsidRPr="00933EA2" w:rsidRDefault="00142531" w:rsidP="00933EA2">
      <w:pPr>
        <w:spacing w:before="120" w:after="120"/>
        <w:jc w:val="both"/>
      </w:pPr>
      <w:r>
        <w:t xml:space="preserve">dodaje się wiersz o następującej treści: </w:t>
      </w:r>
    </w:p>
    <w:p w14:paraId="7F8A13A4" w14:textId="7461E24A" w:rsidR="00142531" w:rsidRPr="00933EA2" w:rsidRDefault="00142531" w:rsidP="00933EA2">
      <w:pPr>
        <w:spacing w:before="120" w:after="120"/>
        <w:jc w:val="both"/>
      </w:pPr>
      <w:r>
        <w:t xml:space="preserve">”. </w:t>
      </w:r>
    </w:p>
    <w:tbl>
      <w:tblPr>
        <w:tblW w:w="0" w:type="auto"/>
        <w:tblInd w:w="-15" w:type="dxa"/>
        <w:tblLayout w:type="fixed"/>
        <w:tblLook w:val="0000" w:firstRow="0" w:lastRow="0" w:firstColumn="0" w:lastColumn="0" w:noHBand="0" w:noVBand="0"/>
      </w:tblPr>
      <w:tblGrid>
        <w:gridCol w:w="4747"/>
        <w:gridCol w:w="4777"/>
      </w:tblGrid>
      <w:tr w:rsidR="00142531" w:rsidRPr="00933EA2" w14:paraId="53804408"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6F206FB0" w14:textId="77777777" w:rsidR="00142531" w:rsidRPr="00933EA2" w:rsidRDefault="00142531" w:rsidP="00933EA2">
            <w:pPr>
              <w:spacing w:before="120" w:after="120"/>
              <w:jc w:val="both"/>
            </w:pPr>
            <w:r>
              <w:lastRenderedPageBreak/>
              <w:t>D. 322-9 do D. 322-22</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4A69AF8B" w14:textId="77777777" w:rsidR="00142531" w:rsidRPr="00933EA2" w:rsidRDefault="00142531" w:rsidP="00933EA2">
            <w:pPr>
              <w:spacing w:before="120" w:after="120"/>
              <w:jc w:val="both"/>
            </w:pPr>
            <w:r>
              <w:t>nadanym dekretem nr XXX z dnia XXX r.</w:t>
            </w:r>
          </w:p>
        </w:tc>
      </w:tr>
    </w:tbl>
    <w:p w14:paraId="7ABECD41" w14:textId="459EF0D1" w:rsidR="00142531" w:rsidRPr="00933EA2" w:rsidRDefault="00142531" w:rsidP="00933EA2">
      <w:pPr>
        <w:spacing w:before="120" w:after="120"/>
        <w:jc w:val="right"/>
      </w:pPr>
      <w:r>
        <w:t>”;</w:t>
      </w:r>
    </w:p>
    <w:p w14:paraId="04D53B77" w14:textId="17B7F537" w:rsidR="00142531" w:rsidRPr="00933EA2" w:rsidRDefault="00142531" w:rsidP="00933EA2">
      <w:pPr>
        <w:spacing w:before="120" w:after="120"/>
        <w:jc w:val="both"/>
      </w:pPr>
      <w:r>
        <w:t xml:space="preserve">3. po art. R. 346-1-1 dodaje się art. D. 346-1-2 w brzmieniu: </w:t>
      </w:r>
    </w:p>
    <w:p w14:paraId="0356F9A9" w14:textId="36D1FF27" w:rsidR="00142531" w:rsidRPr="00933EA2" w:rsidRDefault="00142531" w:rsidP="00933EA2">
      <w:pPr>
        <w:spacing w:before="120" w:after="120"/>
        <w:jc w:val="both"/>
      </w:pPr>
      <w:r>
        <w:t xml:space="preserve">„Artykuł D. 346-1-2. – W Wallis i Futunie mają zastosowanie przepisy niniejszej księgi wymienione w lewej kolumnie poniższej tabeli w brzmieniu podanym w prawej kolumnie tej samej tabeli: </w:t>
      </w:r>
    </w:p>
    <w:p w14:paraId="3AB46910" w14:textId="77777777" w:rsidR="00142531" w:rsidRPr="00933EA2" w:rsidRDefault="00142531" w:rsidP="00933EA2">
      <w:pPr>
        <w:spacing w:before="120" w:after="120"/>
      </w:pPr>
      <w:r>
        <w:t>”.</w:t>
      </w:r>
    </w:p>
    <w:tbl>
      <w:tblPr>
        <w:tblW w:w="0" w:type="auto"/>
        <w:tblInd w:w="-15" w:type="dxa"/>
        <w:tblLayout w:type="fixed"/>
        <w:tblLook w:val="0000" w:firstRow="0" w:lastRow="0" w:firstColumn="0" w:lastColumn="0" w:noHBand="0" w:noVBand="0"/>
      </w:tblPr>
      <w:tblGrid>
        <w:gridCol w:w="4747"/>
        <w:gridCol w:w="4777"/>
      </w:tblGrid>
      <w:tr w:rsidR="00142531" w:rsidRPr="00933EA2" w14:paraId="4D743C10"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362F6C25" w14:textId="77777777" w:rsidR="00142531" w:rsidRPr="00933EA2" w:rsidRDefault="00142531" w:rsidP="00933EA2">
            <w:pPr>
              <w:spacing w:before="120" w:after="120"/>
              <w:jc w:val="center"/>
            </w:pPr>
            <w:r>
              <w:t>PRZEPISY MAJĄCE ZASTOSOWANIE</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54549F68" w14:textId="77777777" w:rsidR="00142531" w:rsidRPr="00933EA2" w:rsidRDefault="00142531" w:rsidP="00933EA2">
            <w:pPr>
              <w:spacing w:before="120" w:after="120"/>
              <w:jc w:val="center"/>
            </w:pPr>
            <w:r>
              <w:t>W BRZMIENIU</w:t>
            </w:r>
          </w:p>
        </w:tc>
      </w:tr>
      <w:tr w:rsidR="00142531" w:rsidRPr="00933EA2" w14:paraId="15B8CCF1" w14:textId="77777777" w:rsidTr="00933EA2">
        <w:trPr>
          <w:cantSplit/>
        </w:trPr>
        <w:tc>
          <w:tcPr>
            <w:tcW w:w="9524" w:type="dxa"/>
            <w:gridSpan w:val="2"/>
            <w:tcBorders>
              <w:top w:val="single" w:sz="4" w:space="0" w:color="000000"/>
              <w:left w:val="single" w:sz="4" w:space="0" w:color="000000"/>
              <w:bottom w:val="single" w:sz="4" w:space="0" w:color="000000"/>
              <w:right w:val="single" w:sz="4" w:space="0" w:color="000000"/>
            </w:tcBorders>
            <w:shd w:val="clear" w:color="auto" w:fill="auto"/>
          </w:tcPr>
          <w:p w14:paraId="7F30FF23" w14:textId="77777777" w:rsidR="00142531" w:rsidRPr="00933EA2" w:rsidRDefault="00142531" w:rsidP="00933EA2">
            <w:pPr>
              <w:spacing w:before="120" w:after="120"/>
              <w:jc w:val="both"/>
            </w:pPr>
            <w:r>
              <w:t>W tytule II</w:t>
            </w:r>
          </w:p>
        </w:tc>
      </w:tr>
      <w:tr w:rsidR="00142531" w:rsidRPr="00933EA2" w14:paraId="3EC8EE75"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6D9AEA54" w14:textId="77777777" w:rsidR="00142531" w:rsidRPr="00933EA2" w:rsidRDefault="00142531" w:rsidP="00933EA2">
            <w:pPr>
              <w:spacing w:before="120" w:after="120"/>
              <w:jc w:val="both"/>
            </w:pPr>
            <w:r>
              <w:t>D. 320-1 do D. 320-10</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6B1C7BDE" w14:textId="77777777" w:rsidR="00142531" w:rsidRPr="00933EA2" w:rsidRDefault="00142531" w:rsidP="00933EA2">
            <w:pPr>
              <w:spacing w:before="120" w:after="120"/>
              <w:jc w:val="both"/>
            </w:pPr>
            <w:r>
              <w:t>nadanym dekretem nr XXX z dnia XXX r.</w:t>
            </w:r>
          </w:p>
        </w:tc>
      </w:tr>
      <w:tr w:rsidR="00142531" w:rsidRPr="00933EA2" w14:paraId="441A2A26"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3D70CD41" w14:textId="77777777" w:rsidR="00142531" w:rsidRPr="00933EA2" w:rsidRDefault="00142531" w:rsidP="00933EA2">
            <w:pPr>
              <w:spacing w:before="120" w:after="120"/>
              <w:jc w:val="both"/>
            </w:pPr>
            <w:r>
              <w:t>D. 322-9 do D. 322-22</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2B7F0CC8" w14:textId="77777777" w:rsidR="00142531" w:rsidRPr="00933EA2" w:rsidRDefault="00142531" w:rsidP="00933EA2">
            <w:pPr>
              <w:spacing w:before="120" w:after="120"/>
              <w:jc w:val="both"/>
            </w:pPr>
            <w:r>
              <w:t>nadanym dekretem nr XXX z dnia XXX r.</w:t>
            </w:r>
          </w:p>
        </w:tc>
      </w:tr>
    </w:tbl>
    <w:p w14:paraId="3ACFD74F" w14:textId="0DC3CFC1" w:rsidR="00142531" w:rsidRPr="00933EA2" w:rsidRDefault="00142531" w:rsidP="00933EA2">
      <w:pPr>
        <w:spacing w:before="120" w:after="120"/>
        <w:jc w:val="right"/>
      </w:pPr>
      <w:r>
        <w:t>”;</w:t>
      </w:r>
    </w:p>
    <w:p w14:paraId="5283D3EE" w14:textId="765E5D2C" w:rsidR="00142531" w:rsidRPr="00933EA2" w:rsidRDefault="00142531" w:rsidP="00933EA2">
      <w:pPr>
        <w:spacing w:before="120" w:after="120"/>
        <w:jc w:val="both"/>
      </w:pPr>
      <w:r>
        <w:t xml:space="preserve">4. w rozdziale VII dodaje się art. D. 347-1 w brzmieniu: </w:t>
      </w:r>
    </w:p>
    <w:p w14:paraId="26663052" w14:textId="4598AC2D" w:rsidR="00142531" w:rsidRPr="00933EA2" w:rsidRDefault="00142531" w:rsidP="00933EA2">
      <w:pPr>
        <w:spacing w:before="120" w:after="120"/>
        <w:jc w:val="both"/>
      </w:pPr>
      <w:r>
        <w:t xml:space="preserve">„Artykuł D. 347-1. – We Francuskich Terytoriach Południowych i Antarktycznych mają zastosowanie przepisy niniejszej księgi wymienione w lewej kolumnie poniższej tabeli w brzmieniu podanym w prawej kolumnie tej samej tabeli: </w:t>
      </w:r>
    </w:p>
    <w:p w14:paraId="395891FB" w14:textId="77777777" w:rsidR="00142531" w:rsidRPr="00933EA2" w:rsidRDefault="00142531" w:rsidP="00933EA2">
      <w:pPr>
        <w:spacing w:before="120" w:after="120"/>
      </w:pPr>
      <w:r>
        <w:t>”.</w:t>
      </w:r>
    </w:p>
    <w:tbl>
      <w:tblPr>
        <w:tblW w:w="0" w:type="auto"/>
        <w:tblInd w:w="-15" w:type="dxa"/>
        <w:tblLayout w:type="fixed"/>
        <w:tblLook w:val="0000" w:firstRow="0" w:lastRow="0" w:firstColumn="0" w:lastColumn="0" w:noHBand="0" w:noVBand="0"/>
      </w:tblPr>
      <w:tblGrid>
        <w:gridCol w:w="4747"/>
        <w:gridCol w:w="4777"/>
      </w:tblGrid>
      <w:tr w:rsidR="00142531" w:rsidRPr="00933EA2" w14:paraId="19620149"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15E51C02" w14:textId="77777777" w:rsidR="00142531" w:rsidRPr="00933EA2" w:rsidRDefault="00142531" w:rsidP="00933EA2">
            <w:pPr>
              <w:spacing w:before="120" w:after="120"/>
              <w:jc w:val="center"/>
            </w:pPr>
            <w:r>
              <w:t>PRZEPISY MAJĄCE ZASTOSOWANIE</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117039B1" w14:textId="77777777" w:rsidR="00142531" w:rsidRPr="00933EA2" w:rsidRDefault="00142531" w:rsidP="00933EA2">
            <w:pPr>
              <w:spacing w:before="120" w:after="120"/>
              <w:jc w:val="center"/>
            </w:pPr>
            <w:r>
              <w:t>W BRZMIENIU</w:t>
            </w:r>
          </w:p>
        </w:tc>
      </w:tr>
      <w:tr w:rsidR="00142531" w:rsidRPr="00933EA2" w14:paraId="006B1D1E" w14:textId="77777777" w:rsidTr="00933EA2">
        <w:trPr>
          <w:cantSplit/>
        </w:trPr>
        <w:tc>
          <w:tcPr>
            <w:tcW w:w="9524" w:type="dxa"/>
            <w:gridSpan w:val="2"/>
            <w:tcBorders>
              <w:top w:val="single" w:sz="4" w:space="0" w:color="000000"/>
              <w:left w:val="single" w:sz="4" w:space="0" w:color="000000"/>
              <w:bottom w:val="single" w:sz="4" w:space="0" w:color="000000"/>
              <w:right w:val="single" w:sz="4" w:space="0" w:color="000000"/>
            </w:tcBorders>
            <w:shd w:val="clear" w:color="auto" w:fill="auto"/>
          </w:tcPr>
          <w:p w14:paraId="5FD81A05" w14:textId="77777777" w:rsidR="00142531" w:rsidRPr="00933EA2" w:rsidRDefault="00142531" w:rsidP="00933EA2">
            <w:pPr>
              <w:spacing w:before="120" w:after="120"/>
              <w:jc w:val="both"/>
            </w:pPr>
            <w:r>
              <w:t>W tytule II</w:t>
            </w:r>
          </w:p>
        </w:tc>
      </w:tr>
      <w:tr w:rsidR="00142531" w:rsidRPr="00933EA2" w14:paraId="754CC0A0"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2848BF92" w14:textId="77777777" w:rsidR="00142531" w:rsidRPr="00933EA2" w:rsidRDefault="00142531" w:rsidP="00933EA2">
            <w:pPr>
              <w:spacing w:before="120" w:after="120"/>
              <w:jc w:val="both"/>
            </w:pPr>
            <w:r>
              <w:t>D. 320-1 do D. 320-10</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09EA1C4F" w14:textId="77777777" w:rsidR="00142531" w:rsidRPr="00933EA2" w:rsidRDefault="00142531" w:rsidP="00933EA2">
            <w:pPr>
              <w:spacing w:before="120" w:after="120"/>
              <w:jc w:val="both"/>
            </w:pPr>
            <w:r>
              <w:t>nadanym dekretem nr XXX z dnia XXX r.</w:t>
            </w:r>
          </w:p>
        </w:tc>
      </w:tr>
      <w:tr w:rsidR="00142531" w:rsidRPr="00933EA2" w14:paraId="5E2E16B3"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1C86ABFB" w14:textId="77777777" w:rsidR="00142531" w:rsidRPr="00933EA2" w:rsidRDefault="00142531" w:rsidP="00933EA2">
            <w:pPr>
              <w:spacing w:before="120" w:after="120"/>
              <w:jc w:val="both"/>
            </w:pPr>
            <w:r>
              <w:t>D. 322-9 do D. 322-22</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758082FD" w14:textId="77777777" w:rsidR="00142531" w:rsidRPr="00933EA2" w:rsidRDefault="00142531" w:rsidP="00933EA2">
            <w:pPr>
              <w:spacing w:before="120" w:after="120"/>
              <w:jc w:val="both"/>
            </w:pPr>
            <w:r>
              <w:t>nadanym dekretem nr XXX z dnia XXX r.</w:t>
            </w:r>
          </w:p>
        </w:tc>
      </w:tr>
    </w:tbl>
    <w:p w14:paraId="2929B55C" w14:textId="77777777" w:rsidR="00142531" w:rsidRPr="00933EA2" w:rsidRDefault="00142531" w:rsidP="00933EA2">
      <w:pPr>
        <w:spacing w:after="200" w:line="276" w:lineRule="auto"/>
        <w:jc w:val="both"/>
        <w:rPr>
          <w:rFonts w:eastAsiaTheme="minorHAnsi"/>
          <w:b/>
          <w:lang w:eastAsia="en-US"/>
        </w:rPr>
      </w:pPr>
    </w:p>
    <w:p w14:paraId="401F4637" w14:textId="0B71D208" w:rsidR="00834E0B" w:rsidRPr="00933EA2" w:rsidRDefault="00142531" w:rsidP="00933EA2">
      <w:pPr>
        <w:keepNext/>
        <w:keepLines/>
        <w:spacing w:after="200" w:line="276" w:lineRule="auto"/>
        <w:jc w:val="center"/>
        <w:rPr>
          <w:rFonts w:eastAsiaTheme="minorHAnsi"/>
          <w:b/>
        </w:rPr>
      </w:pPr>
      <w:r>
        <w:rPr>
          <w:b/>
        </w:rPr>
        <w:t>TYTUŁ XI: PRZEPISY PRZEJŚCIOWE I KOŃCOWE</w:t>
      </w:r>
    </w:p>
    <w:p w14:paraId="0AD583E0" w14:textId="279FDCC7" w:rsidR="00834E0B" w:rsidRDefault="00C342AB" w:rsidP="00933EA2">
      <w:pPr>
        <w:pStyle w:val="BodyText"/>
        <w:keepNext/>
        <w:keepLines/>
        <w:jc w:val="center"/>
        <w:rPr>
          <w:b/>
        </w:rPr>
      </w:pPr>
      <w:r>
        <w:rPr>
          <w:b/>
        </w:rPr>
        <w:t>Artykuł 51</w:t>
      </w:r>
    </w:p>
    <w:p w14:paraId="537DEBBC" w14:textId="77777777" w:rsidR="00933EA2" w:rsidRPr="00933EA2" w:rsidRDefault="00933EA2" w:rsidP="00933EA2">
      <w:pPr>
        <w:keepNext/>
        <w:keepLines/>
        <w:rPr>
          <w:b/>
        </w:rPr>
      </w:pPr>
    </w:p>
    <w:p w14:paraId="3C30DE53" w14:textId="77777777" w:rsidR="00834E0B" w:rsidRPr="00933EA2" w:rsidRDefault="00834E0B" w:rsidP="00933EA2">
      <w:pPr>
        <w:spacing w:after="200" w:line="276" w:lineRule="auto"/>
        <w:jc w:val="both"/>
        <w:rPr>
          <w:rFonts w:eastAsiaTheme="minorHAnsi"/>
        </w:rPr>
      </w:pPr>
      <w:r>
        <w:t>Uchyla się:</w:t>
      </w:r>
    </w:p>
    <w:p w14:paraId="39CDE79A" w14:textId="34743197" w:rsidR="00834E0B" w:rsidRPr="00933EA2" w:rsidRDefault="00834E0B" w:rsidP="00933EA2">
      <w:pPr>
        <w:spacing w:after="200" w:line="276" w:lineRule="auto"/>
        <w:jc w:val="both"/>
        <w:rPr>
          <w:rFonts w:eastAsiaTheme="minorHAnsi"/>
        </w:rPr>
      </w:pPr>
      <w:r>
        <w:t>– dekret nr 2010-605 z dnia 4 czerwca 2010 r. w sprawie maksymalnej proporcji kwot wypłacanych średnio graczom przez zatwierdzone podmioty urządzające zakłady konne i zakłady sportowe online;</w:t>
      </w:r>
    </w:p>
    <w:p w14:paraId="2B3AC36E" w14:textId="3FA87F31" w:rsidR="00834E0B" w:rsidRPr="00933EA2" w:rsidRDefault="00834E0B" w:rsidP="00933EA2">
      <w:pPr>
        <w:spacing w:after="200" w:line="276" w:lineRule="auto"/>
        <w:jc w:val="both"/>
        <w:rPr>
          <w:rFonts w:eastAsiaTheme="minorHAnsi"/>
        </w:rPr>
      </w:pPr>
      <w:r>
        <w:t xml:space="preserve">– dekret nr 2010-614 z dnia 7 czerwca 2010 r. w sprawie warunków wprowadzania do obrotu praw dotyczących organizacji zakładów w związku z imprezą sportową lub zawodami sportowymi; </w:t>
      </w:r>
    </w:p>
    <w:p w14:paraId="08682D8E" w14:textId="77777777" w:rsidR="00834E0B" w:rsidRPr="00933EA2" w:rsidRDefault="00834E0B" w:rsidP="00933EA2">
      <w:pPr>
        <w:spacing w:after="200" w:line="276" w:lineRule="auto"/>
        <w:jc w:val="both"/>
        <w:rPr>
          <w:rFonts w:eastAsiaTheme="minorHAnsi"/>
        </w:rPr>
      </w:pPr>
      <w:r>
        <w:lastRenderedPageBreak/>
        <w:t xml:space="preserve">– dekret nr 2010-483 z dnia 12 maja 2010 r. w sprawie zawodów sportowych i rodzajów wyników sportowych definiowanych przez Urząd Regulacji Gier Online. </w:t>
      </w:r>
    </w:p>
    <w:p w14:paraId="1FA844DB" w14:textId="77777777" w:rsidR="004A5445" w:rsidRPr="00933EA2" w:rsidRDefault="004A5445" w:rsidP="00933EA2">
      <w:pPr>
        <w:pStyle w:val="BodyText"/>
      </w:pPr>
    </w:p>
    <w:p w14:paraId="156635BE" w14:textId="3AE58746" w:rsidR="00045126" w:rsidRPr="00933EA2" w:rsidRDefault="004A5445" w:rsidP="00933EA2">
      <w:pPr>
        <w:pStyle w:val="BodyText"/>
        <w:keepNext/>
        <w:keepLines/>
        <w:jc w:val="center"/>
        <w:rPr>
          <w:b/>
        </w:rPr>
      </w:pPr>
      <w:r>
        <w:rPr>
          <w:b/>
        </w:rPr>
        <w:t>Artykuł 52</w:t>
      </w:r>
    </w:p>
    <w:p w14:paraId="0D2865A3" w14:textId="77777777" w:rsidR="004A5445" w:rsidRPr="00933EA2" w:rsidRDefault="004A5445" w:rsidP="00933EA2">
      <w:pPr>
        <w:keepNext/>
        <w:keepLines/>
        <w:rPr>
          <w:b/>
        </w:rPr>
      </w:pPr>
    </w:p>
    <w:p w14:paraId="61CFC6C0" w14:textId="7C347B30" w:rsidR="00F77C81" w:rsidRPr="00933EA2" w:rsidRDefault="00F77C81" w:rsidP="00933EA2">
      <w:pPr>
        <w:spacing w:after="200" w:line="276" w:lineRule="auto"/>
        <w:jc w:val="both"/>
        <w:rPr>
          <w:rFonts w:eastAsiaTheme="minorHAnsi"/>
        </w:rPr>
      </w:pPr>
      <w:r>
        <w:t xml:space="preserve">Niniejszy dekret wchodzi w życie w dniu 15 marca 2020 r., z wyjątkiem art. 45 i 46, które wchodzą w życie wraz z pierwszym zebraniem kolegium Krajowego Urzędu Gier, i art. D. 320-10 i D. 320-12 kodeksu bezpieczeństwa wewnętrznego w brzmieniu nadanym niniejszym dekretem, które wchodzą w życie w dniu 1 kwietnia 2020 r. </w:t>
      </w:r>
    </w:p>
    <w:p w14:paraId="7B0897DA" w14:textId="12835F20" w:rsidR="00F77C81" w:rsidRDefault="00C342AB" w:rsidP="00933EA2">
      <w:pPr>
        <w:pStyle w:val="BodyText"/>
        <w:keepNext/>
        <w:keepLines/>
        <w:jc w:val="center"/>
        <w:rPr>
          <w:b/>
        </w:rPr>
      </w:pPr>
      <w:r>
        <w:rPr>
          <w:b/>
        </w:rPr>
        <w:t>Artykuł 53</w:t>
      </w:r>
    </w:p>
    <w:p w14:paraId="1C294652" w14:textId="77777777" w:rsidR="00933EA2" w:rsidRPr="00933EA2" w:rsidRDefault="00933EA2" w:rsidP="00933EA2">
      <w:pPr>
        <w:keepNext/>
        <w:keepLines/>
        <w:rPr>
          <w:b/>
        </w:rPr>
      </w:pPr>
    </w:p>
    <w:p w14:paraId="13B679D0" w14:textId="77777777" w:rsidR="00045126" w:rsidRPr="00933EA2" w:rsidRDefault="00E47B2C" w:rsidP="00933EA2">
      <w:pPr>
        <w:spacing w:after="200" w:line="276" w:lineRule="auto"/>
        <w:jc w:val="both"/>
        <w:rPr>
          <w:rFonts w:eastAsiaTheme="minorHAnsi"/>
        </w:rPr>
      </w:pPr>
      <w:r>
        <w:t xml:space="preserve">Za wykonanie niniejszego dekretu, który zostanie opublikowany w </w:t>
      </w:r>
      <w:r>
        <w:rPr>
          <w:i/>
        </w:rPr>
        <w:t>Dzienniku Urzędowym</w:t>
      </w:r>
      <w:r>
        <w:t xml:space="preserve"> Republiki Francuskiej, odpowiadają, każdy w zakresie swoich właściwości, minister właściwa do spraw solidarności i zdrowia, Minister Gospodarki i Finansów, Minister Działań i Finansów Publicznych oraz Minister Sportu.</w:t>
      </w:r>
    </w:p>
    <w:p w14:paraId="5A6BDE87" w14:textId="77777777" w:rsidR="00045126" w:rsidRPr="00933EA2" w:rsidRDefault="00045126" w:rsidP="00933EA2">
      <w:pPr>
        <w:jc w:val="both"/>
      </w:pPr>
    </w:p>
    <w:p w14:paraId="7744C332" w14:textId="77777777" w:rsidR="00045126" w:rsidRPr="00933EA2" w:rsidRDefault="00045126" w:rsidP="00933EA2">
      <w:pPr>
        <w:pStyle w:val="SNDate"/>
      </w:pPr>
      <w:r>
        <w:t>Dnia:</w:t>
      </w:r>
    </w:p>
    <w:p w14:paraId="2401536C" w14:textId="13A1BFD0" w:rsidR="00045126" w:rsidRPr="00933EA2" w:rsidRDefault="00045126" w:rsidP="00933EA2">
      <w:pPr>
        <w:pStyle w:val="SNContreseing"/>
      </w:pPr>
      <w:r>
        <w:t>Z upoważnienia Premiera:</w:t>
      </w:r>
    </w:p>
    <w:p w14:paraId="61EA0C42" w14:textId="77777777" w:rsidR="002639F9" w:rsidRPr="00933EA2" w:rsidRDefault="002639F9" w:rsidP="00933EA2">
      <w:pPr>
        <w:pStyle w:val="SNSignatureGauche"/>
      </w:pPr>
    </w:p>
    <w:p w14:paraId="6AE51864" w14:textId="77777777" w:rsidR="002639F9" w:rsidRPr="00933EA2" w:rsidRDefault="002639F9" w:rsidP="00933EA2">
      <w:pPr>
        <w:pStyle w:val="SNSignatureGauche"/>
      </w:pPr>
      <w:r>
        <w:t>minister właściwa do spraw zdrowia</w:t>
      </w:r>
    </w:p>
    <w:p w14:paraId="71E59B0D" w14:textId="77777777" w:rsidR="002639F9" w:rsidRPr="00933EA2" w:rsidRDefault="002639F9" w:rsidP="00933EA2">
      <w:pPr>
        <w:pStyle w:val="SNSignatureGauche"/>
      </w:pPr>
      <w:r>
        <w:t>Minister Finansów i Gospodarki</w:t>
      </w:r>
    </w:p>
    <w:p w14:paraId="107A4321" w14:textId="77777777" w:rsidR="0084714D" w:rsidRPr="00933EA2" w:rsidRDefault="00045126" w:rsidP="00933EA2">
      <w:pPr>
        <w:pStyle w:val="SNSignatureGauche"/>
      </w:pPr>
      <w:r>
        <w:lastRenderedPageBreak/>
        <w:t>Minister Działań i Finansów Publicznych</w:t>
      </w:r>
    </w:p>
    <w:p w14:paraId="3D6DF0C7" w14:textId="77777777" w:rsidR="002639F9" w:rsidRPr="00933EA2" w:rsidRDefault="002639F9" w:rsidP="00933EA2">
      <w:r>
        <w:tab/>
        <w:t>Minister Spraw Wewnętrznych</w:t>
      </w:r>
    </w:p>
    <w:p w14:paraId="3DBAC714" w14:textId="77777777" w:rsidR="0084714D" w:rsidRPr="00933EA2" w:rsidRDefault="0084714D" w:rsidP="00933EA2">
      <w:r>
        <w:tab/>
      </w:r>
    </w:p>
    <w:p w14:paraId="41741A5D" w14:textId="77777777" w:rsidR="0084714D" w:rsidRPr="00933EA2" w:rsidRDefault="0084714D" w:rsidP="00933EA2"/>
    <w:p w14:paraId="1E24424C" w14:textId="77777777" w:rsidR="0084714D" w:rsidRPr="00933EA2" w:rsidRDefault="0084714D" w:rsidP="00933EA2">
      <w:r>
        <w:tab/>
      </w:r>
    </w:p>
    <w:p w14:paraId="70100F49" w14:textId="77777777" w:rsidR="0084714D" w:rsidRPr="00933EA2" w:rsidRDefault="0084714D" w:rsidP="00933EA2"/>
    <w:p w14:paraId="33274DC5" w14:textId="77777777" w:rsidR="0084714D" w:rsidRPr="00933EA2" w:rsidRDefault="0084714D" w:rsidP="00933EA2"/>
    <w:p w14:paraId="05DF47ED" w14:textId="77777777" w:rsidR="0084714D" w:rsidRPr="00933EA2" w:rsidRDefault="0084714D" w:rsidP="00933EA2">
      <w:r>
        <w:tab/>
      </w:r>
    </w:p>
    <w:p w14:paraId="61D6FBE7" w14:textId="77777777" w:rsidR="0084714D" w:rsidRPr="00933EA2" w:rsidRDefault="0084714D" w:rsidP="00933EA2"/>
    <w:p w14:paraId="0F8ABE96" w14:textId="77777777" w:rsidR="0084714D" w:rsidRPr="00933EA2" w:rsidRDefault="0084714D" w:rsidP="00933EA2"/>
    <w:p w14:paraId="58BE4906" w14:textId="77777777" w:rsidR="0084714D" w:rsidRPr="00933EA2" w:rsidRDefault="0084714D" w:rsidP="00933EA2"/>
    <w:p w14:paraId="17043E6E" w14:textId="77777777" w:rsidR="0084714D" w:rsidRPr="00933EA2" w:rsidRDefault="0084714D" w:rsidP="00933EA2">
      <w:r>
        <w:tab/>
        <w:t>Minister Sportu</w:t>
      </w:r>
    </w:p>
    <w:p w14:paraId="18DBADDF" w14:textId="77777777" w:rsidR="00045126" w:rsidRPr="00933EA2" w:rsidRDefault="00045126" w:rsidP="00933EA2">
      <w:pPr>
        <w:pStyle w:val="SNSignatureprnomnomDroite"/>
      </w:pPr>
    </w:p>
    <w:p w14:paraId="3EAA086C" w14:textId="77777777" w:rsidR="00FA6DCF" w:rsidRPr="00933EA2" w:rsidRDefault="00FA6DCF" w:rsidP="00933EA2"/>
    <w:sectPr w:rsidR="00FA6DCF" w:rsidRPr="00933EA2">
      <w:pgSz w:w="11906" w:h="16838"/>
      <w:pgMar w:top="1134"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13AB"/>
    <w:multiLevelType w:val="hybridMultilevel"/>
    <w:tmpl w:val="9D22A510"/>
    <w:lvl w:ilvl="0" w:tplc="7352B29C">
      <w:start w:val="1"/>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105388"/>
    <w:multiLevelType w:val="hybridMultilevel"/>
    <w:tmpl w:val="51688AC2"/>
    <w:lvl w:ilvl="0" w:tplc="A358F4A0">
      <w:start w:val="1"/>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90705FC"/>
    <w:multiLevelType w:val="hybridMultilevel"/>
    <w:tmpl w:val="62164F0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6DE4FB9"/>
    <w:multiLevelType w:val="hybridMultilevel"/>
    <w:tmpl w:val="5B147600"/>
    <w:lvl w:ilvl="0" w:tplc="FB9E8B52">
      <w:numFmt w:val="bullet"/>
      <w:lvlText w:val="-"/>
      <w:lvlJc w:val="left"/>
      <w:pPr>
        <w:ind w:left="1065" w:hanging="705"/>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126"/>
    <w:rsid w:val="00045126"/>
    <w:rsid w:val="000546D5"/>
    <w:rsid w:val="000B249A"/>
    <w:rsid w:val="000B24A0"/>
    <w:rsid w:val="00116832"/>
    <w:rsid w:val="00142531"/>
    <w:rsid w:val="001441BB"/>
    <w:rsid w:val="001A3887"/>
    <w:rsid w:val="001A748C"/>
    <w:rsid w:val="001C08C5"/>
    <w:rsid w:val="001D2F2A"/>
    <w:rsid w:val="001D5634"/>
    <w:rsid w:val="00236A47"/>
    <w:rsid w:val="00240CB2"/>
    <w:rsid w:val="002639F9"/>
    <w:rsid w:val="00274506"/>
    <w:rsid w:val="0030487E"/>
    <w:rsid w:val="00342260"/>
    <w:rsid w:val="00361A86"/>
    <w:rsid w:val="003640D7"/>
    <w:rsid w:val="003A46B9"/>
    <w:rsid w:val="003A7FAA"/>
    <w:rsid w:val="003E77DA"/>
    <w:rsid w:val="00452EF3"/>
    <w:rsid w:val="004A5445"/>
    <w:rsid w:val="004A5492"/>
    <w:rsid w:val="0053784D"/>
    <w:rsid w:val="005460E9"/>
    <w:rsid w:val="00591BC1"/>
    <w:rsid w:val="00605C60"/>
    <w:rsid w:val="006E57E4"/>
    <w:rsid w:val="00757561"/>
    <w:rsid w:val="00794988"/>
    <w:rsid w:val="007A780D"/>
    <w:rsid w:val="007C0916"/>
    <w:rsid w:val="007E61D1"/>
    <w:rsid w:val="00805098"/>
    <w:rsid w:val="00813F86"/>
    <w:rsid w:val="008332C7"/>
    <w:rsid w:val="00834E0B"/>
    <w:rsid w:val="0084714D"/>
    <w:rsid w:val="008701C9"/>
    <w:rsid w:val="0087707C"/>
    <w:rsid w:val="00897E35"/>
    <w:rsid w:val="008B0867"/>
    <w:rsid w:val="0091270F"/>
    <w:rsid w:val="00933EA2"/>
    <w:rsid w:val="0096792E"/>
    <w:rsid w:val="00B148A7"/>
    <w:rsid w:val="00B267A3"/>
    <w:rsid w:val="00B705CF"/>
    <w:rsid w:val="00B84182"/>
    <w:rsid w:val="00B8530E"/>
    <w:rsid w:val="00B86A8C"/>
    <w:rsid w:val="00BC35EB"/>
    <w:rsid w:val="00BD5FA1"/>
    <w:rsid w:val="00C342AB"/>
    <w:rsid w:val="00CD4953"/>
    <w:rsid w:val="00CE7325"/>
    <w:rsid w:val="00D13FBA"/>
    <w:rsid w:val="00D546FF"/>
    <w:rsid w:val="00DC5B05"/>
    <w:rsid w:val="00DD75EA"/>
    <w:rsid w:val="00E47B2C"/>
    <w:rsid w:val="00E60B45"/>
    <w:rsid w:val="00E83532"/>
    <w:rsid w:val="00E93956"/>
    <w:rsid w:val="00EB04CB"/>
    <w:rsid w:val="00F25772"/>
    <w:rsid w:val="00F52FE4"/>
    <w:rsid w:val="00F77C81"/>
    <w:rsid w:val="00FA6DC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EDC74"/>
  <w15:docId w15:val="{776E809F-73B3-4E56-A6BB-DEE3DEB7A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126"/>
    <w:pPr>
      <w:spacing w:after="0" w:line="240" w:lineRule="auto"/>
    </w:pPr>
    <w:rPr>
      <w:rFonts w:ascii="Times New Roman" w:eastAsia="Times New Roman" w:hAnsi="Times New Roman" w:cs="Times New Roman"/>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NREPUBLIQUE">
    <w:name w:val="SNREPUBLIQUE"/>
    <w:basedOn w:val="Normal"/>
    <w:rsid w:val="00045126"/>
    <w:pPr>
      <w:jc w:val="center"/>
    </w:pPr>
    <w:rPr>
      <w:b/>
      <w:bCs/>
      <w:szCs w:val="20"/>
    </w:rPr>
  </w:style>
  <w:style w:type="paragraph" w:customStyle="1" w:styleId="SNNature">
    <w:name w:val="SNNature"/>
    <w:basedOn w:val="Normal"/>
    <w:next w:val="Normal"/>
    <w:autoRedefine/>
    <w:rsid w:val="00045126"/>
    <w:pPr>
      <w:widowControl w:val="0"/>
      <w:suppressLineNumbers/>
      <w:suppressAutoHyphens/>
      <w:spacing w:before="720" w:after="120"/>
      <w:jc w:val="center"/>
    </w:pPr>
    <w:rPr>
      <w:rFonts w:eastAsia="Lucida Sans Unicode"/>
      <w:b/>
      <w:bCs/>
    </w:rPr>
  </w:style>
  <w:style w:type="paragraph" w:customStyle="1" w:styleId="SNNORCentr">
    <w:name w:val="SNNOR+Centré"/>
    <w:next w:val="SNAutorit"/>
    <w:rsid w:val="00045126"/>
    <w:pPr>
      <w:spacing w:after="0" w:line="240" w:lineRule="auto"/>
      <w:jc w:val="center"/>
    </w:pPr>
    <w:rPr>
      <w:rFonts w:ascii="Times New Roman" w:eastAsia="Times New Roman" w:hAnsi="Times New Roman" w:cs="Times New Roman"/>
      <w:bCs/>
      <w:sz w:val="24"/>
      <w:szCs w:val="20"/>
      <w:lang w:eastAsia="fr-FR"/>
    </w:rPr>
  </w:style>
  <w:style w:type="paragraph" w:customStyle="1" w:styleId="SNAutorit">
    <w:name w:val="SNAutorité"/>
    <w:basedOn w:val="Normal"/>
    <w:autoRedefine/>
    <w:rsid w:val="00045126"/>
    <w:pPr>
      <w:spacing w:before="720" w:after="240"/>
      <w:ind w:firstLine="720"/>
    </w:pPr>
    <w:rPr>
      <w:b/>
    </w:rPr>
  </w:style>
  <w:style w:type="paragraph" w:customStyle="1" w:styleId="SNSignatureprnomnomDroite">
    <w:name w:val="SNSignature prénom+nom Droite"/>
    <w:basedOn w:val="Normal"/>
    <w:next w:val="SNSignatureGauche"/>
    <w:rsid w:val="00045126"/>
    <w:pPr>
      <w:spacing w:before="120" w:after="120"/>
      <w:ind w:left="5041"/>
      <w:jc w:val="right"/>
    </w:pPr>
    <w:rPr>
      <w:color w:val="000000"/>
    </w:rPr>
  </w:style>
  <w:style w:type="paragraph" w:customStyle="1" w:styleId="SNSignatureGauche">
    <w:name w:val="SNSignatureGauche"/>
    <w:basedOn w:val="Normal"/>
    <w:next w:val="Normal"/>
    <w:autoRedefine/>
    <w:rsid w:val="002639F9"/>
    <w:pPr>
      <w:spacing w:before="120" w:after="1680"/>
      <w:ind w:left="720" w:right="4494"/>
      <w:jc w:val="both"/>
    </w:pPr>
  </w:style>
  <w:style w:type="paragraph" w:customStyle="1" w:styleId="SNTimbre">
    <w:name w:val="SNTimbre"/>
    <w:basedOn w:val="Normal"/>
    <w:link w:val="SNTimbreCar"/>
    <w:autoRedefine/>
    <w:rsid w:val="00045126"/>
    <w:pPr>
      <w:widowControl w:val="0"/>
      <w:suppressAutoHyphens/>
      <w:snapToGrid w:val="0"/>
      <w:spacing w:before="120"/>
      <w:jc w:val="center"/>
    </w:pPr>
    <w:rPr>
      <w:rFonts w:eastAsia="Lucida Sans Unicode"/>
    </w:rPr>
  </w:style>
  <w:style w:type="character" w:customStyle="1" w:styleId="SNTimbreCar">
    <w:name w:val="SNTimbre Car"/>
    <w:basedOn w:val="DefaultParagraphFont"/>
    <w:link w:val="SNTimbre"/>
    <w:rsid w:val="00045126"/>
    <w:rPr>
      <w:rFonts w:ascii="Times New Roman" w:eastAsia="Lucida Sans Unicode" w:hAnsi="Times New Roman" w:cs="Times New Roman"/>
      <w:sz w:val="24"/>
      <w:szCs w:val="24"/>
      <w:lang w:eastAsia="fr-FR"/>
    </w:rPr>
  </w:style>
  <w:style w:type="paragraph" w:customStyle="1" w:styleId="SNRapport">
    <w:name w:val="SNRapport"/>
    <w:basedOn w:val="Normal"/>
    <w:autoRedefine/>
    <w:rsid w:val="00D13FBA"/>
    <w:pPr>
      <w:spacing w:before="240" w:after="120"/>
      <w:ind w:firstLine="720"/>
      <w:jc w:val="both"/>
    </w:pPr>
  </w:style>
  <w:style w:type="paragraph" w:customStyle="1" w:styleId="SNDate">
    <w:name w:val="SNDate"/>
    <w:basedOn w:val="Normal"/>
    <w:next w:val="SNContreseing"/>
    <w:link w:val="SNDateCar"/>
    <w:autoRedefine/>
    <w:rsid w:val="00045126"/>
    <w:pPr>
      <w:spacing w:before="480" w:after="2760"/>
      <w:ind w:firstLine="720"/>
    </w:pPr>
  </w:style>
  <w:style w:type="paragraph" w:customStyle="1" w:styleId="SNContreseing">
    <w:name w:val="SNContreseing"/>
    <w:basedOn w:val="Normal"/>
    <w:next w:val="SNSignatureGauche"/>
    <w:autoRedefine/>
    <w:rsid w:val="00045126"/>
    <w:pPr>
      <w:spacing w:before="480"/>
      <w:ind w:firstLine="720"/>
    </w:pPr>
  </w:style>
  <w:style w:type="character" w:customStyle="1" w:styleId="SNDateCar">
    <w:name w:val="SNDate Car"/>
    <w:basedOn w:val="DefaultParagraphFont"/>
    <w:link w:val="SNDate"/>
    <w:rsid w:val="00045126"/>
    <w:rPr>
      <w:rFonts w:ascii="Times New Roman" w:eastAsia="Times New Roman" w:hAnsi="Times New Roman" w:cs="Times New Roman"/>
      <w:sz w:val="24"/>
      <w:szCs w:val="24"/>
      <w:lang w:eastAsia="fr-FR"/>
    </w:rPr>
  </w:style>
  <w:style w:type="paragraph" w:customStyle="1" w:styleId="SNActe">
    <w:name w:val="SNActe"/>
    <w:basedOn w:val="Normal"/>
    <w:autoRedefine/>
    <w:rsid w:val="00045126"/>
    <w:pPr>
      <w:spacing w:before="480" w:after="360"/>
      <w:jc w:val="center"/>
    </w:pPr>
    <w:rPr>
      <w:b/>
    </w:rPr>
  </w:style>
  <w:style w:type="paragraph" w:customStyle="1" w:styleId="SNArticle">
    <w:name w:val="SNArticle"/>
    <w:basedOn w:val="Normal"/>
    <w:next w:val="BodyText"/>
    <w:link w:val="SNArticleCar"/>
    <w:autoRedefine/>
    <w:rsid w:val="00045126"/>
    <w:pPr>
      <w:spacing w:before="240" w:after="240"/>
      <w:jc w:val="center"/>
    </w:pPr>
    <w:rPr>
      <w:b/>
    </w:rPr>
  </w:style>
  <w:style w:type="character" w:customStyle="1" w:styleId="SNArticleCar">
    <w:name w:val="SNArticle Car"/>
    <w:basedOn w:val="DefaultParagraphFont"/>
    <w:link w:val="SNArticle"/>
    <w:rsid w:val="00045126"/>
    <w:rPr>
      <w:rFonts w:ascii="Times New Roman" w:eastAsia="Times New Roman" w:hAnsi="Times New Roman" w:cs="Times New Roman"/>
      <w:b/>
      <w:sz w:val="24"/>
      <w:szCs w:val="24"/>
      <w:lang w:eastAsia="fr-FR"/>
    </w:rPr>
  </w:style>
  <w:style w:type="paragraph" w:styleId="ListParagraph">
    <w:name w:val="List Paragraph"/>
    <w:basedOn w:val="Normal"/>
    <w:uiPriority w:val="34"/>
    <w:qFormat/>
    <w:rsid w:val="00045126"/>
    <w:pPr>
      <w:ind w:left="720"/>
      <w:contextualSpacing/>
    </w:pPr>
  </w:style>
  <w:style w:type="paragraph" w:styleId="BodyText">
    <w:name w:val="Body Text"/>
    <w:basedOn w:val="Normal"/>
    <w:link w:val="BodyTextChar"/>
    <w:uiPriority w:val="99"/>
    <w:semiHidden/>
    <w:unhideWhenUsed/>
    <w:rsid w:val="00045126"/>
    <w:pPr>
      <w:spacing w:after="120"/>
    </w:pPr>
  </w:style>
  <w:style w:type="character" w:customStyle="1" w:styleId="BodyTextChar">
    <w:name w:val="Body Text Char"/>
    <w:basedOn w:val="DefaultParagraphFont"/>
    <w:link w:val="BodyText"/>
    <w:uiPriority w:val="99"/>
    <w:semiHidden/>
    <w:rsid w:val="00045126"/>
    <w:rPr>
      <w:rFonts w:ascii="Times New Roman" w:eastAsia="Times New Roman" w:hAnsi="Times New Roman" w:cs="Times New Roman"/>
      <w:sz w:val="24"/>
      <w:szCs w:val="24"/>
      <w:lang w:eastAsia="fr-FR"/>
    </w:rPr>
  </w:style>
  <w:style w:type="character" w:styleId="CommentReference">
    <w:name w:val="annotation reference"/>
    <w:basedOn w:val="DefaultParagraphFont"/>
    <w:uiPriority w:val="99"/>
    <w:semiHidden/>
    <w:unhideWhenUsed/>
    <w:rsid w:val="007E61D1"/>
    <w:rPr>
      <w:sz w:val="16"/>
      <w:szCs w:val="16"/>
    </w:rPr>
  </w:style>
  <w:style w:type="paragraph" w:styleId="CommentText">
    <w:name w:val="annotation text"/>
    <w:basedOn w:val="Normal"/>
    <w:link w:val="CommentTextChar"/>
    <w:uiPriority w:val="99"/>
    <w:semiHidden/>
    <w:unhideWhenUsed/>
    <w:rsid w:val="007E61D1"/>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7E61D1"/>
    <w:rPr>
      <w:sz w:val="20"/>
      <w:szCs w:val="20"/>
    </w:rPr>
  </w:style>
  <w:style w:type="paragraph" w:styleId="BalloonText">
    <w:name w:val="Balloon Text"/>
    <w:basedOn w:val="Normal"/>
    <w:link w:val="BalloonTextChar"/>
    <w:uiPriority w:val="99"/>
    <w:semiHidden/>
    <w:unhideWhenUsed/>
    <w:rsid w:val="007E61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1D1"/>
    <w:rPr>
      <w:rFonts w:ascii="Segoe UI" w:eastAsia="Times New Roman" w:hAnsi="Segoe UI" w:cs="Segoe UI"/>
      <w:sz w:val="18"/>
      <w:szCs w:val="18"/>
      <w:lang w:eastAsia="fr-FR"/>
    </w:rPr>
  </w:style>
  <w:style w:type="character" w:styleId="Hyperlink">
    <w:name w:val="Hyperlink"/>
    <w:basedOn w:val="DefaultParagraphFont"/>
    <w:uiPriority w:val="99"/>
    <w:unhideWhenUsed/>
    <w:rsid w:val="0084714D"/>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236A47"/>
    <w:pPr>
      <w:spacing w:after="0"/>
    </w:pPr>
    <w:rPr>
      <w:rFonts w:ascii="Times New Roman" w:eastAsia="Times New Roman" w:hAnsi="Times New Roman" w:cs="Times New Roman"/>
      <w:b/>
      <w:bCs/>
      <w:lang w:eastAsia="fr-FR"/>
    </w:rPr>
  </w:style>
  <w:style w:type="character" w:customStyle="1" w:styleId="CommentSubjectChar">
    <w:name w:val="Comment Subject Char"/>
    <w:basedOn w:val="CommentTextChar"/>
    <w:link w:val="CommentSubject"/>
    <w:uiPriority w:val="99"/>
    <w:semiHidden/>
    <w:rsid w:val="00236A47"/>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TexteArticle.do?cidTexte=JORFTEXT000022204510&amp;idArticle=JORFARTI000022204556&amp;categorieLien=cid" TargetMode="External"/><Relationship Id="rId3" Type="http://schemas.openxmlformats.org/officeDocument/2006/relationships/settings" Target="settings.xml"/><Relationship Id="rId7" Type="http://schemas.openxmlformats.org/officeDocument/2006/relationships/hyperlink" Target="http://www.legifrance.gouv.fr/jopdf/common/jo_pdf.jsp?numJO=0&amp;dateJO=20151021&amp;numTexte=6&amp;pageDebut=19518&amp;pageFin=195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france.gouv.fr/affichTexteArticle.do?cidTexte=JORFTEXT000022204510&amp;idArticle=JORFARTI000022204556&amp;categorieLien=cid" TargetMode="External"/><Relationship Id="rId5" Type="http://schemas.openxmlformats.org/officeDocument/2006/relationships/hyperlink" Target="http://www.legifrance.gouv.f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23</Pages>
  <Words>7554</Words>
  <Characters>43061</Characters>
  <Application>Microsoft Office Word</Application>
  <DocSecurity>0</DocSecurity>
  <Lines>358</Lines>
  <Paragraphs>101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50514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LAPERDRIX Erwann</dc:creator>
  <cp:keywords/>
  <dc:description/>
  <cp:lastModifiedBy>Liu, Lei</cp:lastModifiedBy>
  <cp:revision>3</cp:revision>
  <cp:lastPrinted>2019-12-10T18:02:00Z</cp:lastPrinted>
  <dcterms:created xsi:type="dcterms:W3CDTF">2019-12-11T10:40:00Z</dcterms:created>
  <dcterms:modified xsi:type="dcterms:W3CDTF">2019-12-30T06:16:00Z</dcterms:modified>
</cp:coreProperties>
</file>