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48D2F" w14:textId="5BC3D425" w:rsidR="00933EA2" w:rsidRPr="00933EA2" w:rsidRDefault="00933EA2" w:rsidP="00933EA2">
      <w:pPr>
        <w:rPr>
          <w:sz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0632 F– SL- ------ 20191224 --- --- PROJET</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045126" w:rsidRPr="00933EA2" w14:paraId="7C8CC528" w14:textId="77777777" w:rsidTr="00B86A8C">
        <w:trPr>
          <w:cantSplit/>
        </w:trPr>
        <w:tc>
          <w:tcPr>
            <w:tcW w:w="3982" w:type="dxa"/>
            <w:gridSpan w:val="3"/>
          </w:tcPr>
          <w:p w14:paraId="1717866D" w14:textId="77777777" w:rsidR="00045126" w:rsidRPr="00933EA2" w:rsidRDefault="00045126" w:rsidP="00933EA2">
            <w:pPr>
              <w:pStyle w:val="SNREPUBLIQUE"/>
            </w:pPr>
            <w:r>
              <w:t xml:space="preserve">FRANCOSKA REPUBLIKA</w:t>
            </w:r>
          </w:p>
        </w:tc>
      </w:tr>
      <w:tr w:rsidR="0091270F" w14:paraId="50F03A9B" w14:textId="77777777" w:rsidTr="00B86A8C">
        <w:trPr>
          <w:cantSplit/>
          <w:trHeight w:hRule="exact" w:val="113"/>
        </w:trPr>
        <w:tc>
          <w:tcPr>
            <w:tcW w:w="1527" w:type="dxa"/>
          </w:tcPr>
          <w:p w14:paraId="3F748D43" w14:textId="77777777" w:rsidR="00045126" w:rsidRPr="00933EA2" w:rsidRDefault="00045126" w:rsidP="00933EA2"/>
        </w:tc>
        <w:tc>
          <w:tcPr>
            <w:tcW w:w="968" w:type="dxa"/>
          </w:tcPr>
          <w:p w14:paraId="755C1562" w14:textId="77777777" w:rsidR="00045126" w:rsidRPr="00933EA2" w:rsidRDefault="00045126" w:rsidP="00933EA2"/>
        </w:tc>
        <w:tc>
          <w:tcPr>
            <w:tcW w:w="1487" w:type="dxa"/>
          </w:tcPr>
          <w:p w14:paraId="68AD4CD5" w14:textId="77777777" w:rsidR="00045126" w:rsidRPr="00933EA2" w:rsidRDefault="00045126" w:rsidP="00933EA2"/>
        </w:tc>
      </w:tr>
      <w:tr w:rsidR="00045126" w:rsidRPr="00933EA2" w14:paraId="383AF8A9" w14:textId="77777777" w:rsidTr="00B86A8C">
        <w:trPr>
          <w:cantSplit/>
        </w:trPr>
        <w:tc>
          <w:tcPr>
            <w:tcW w:w="3982" w:type="dxa"/>
            <w:gridSpan w:val="3"/>
          </w:tcPr>
          <w:p w14:paraId="75B4E826" w14:textId="77777777" w:rsidR="00045126" w:rsidRPr="00933EA2" w:rsidRDefault="00045126" w:rsidP="00933EA2">
            <w:pPr>
              <w:pStyle w:val="SNTimbre"/>
              <w:widowControl/>
            </w:pPr>
            <w:r>
              <w:t xml:space="preserve">Ministrstvo za javno politiko in javne račune</w:t>
            </w:r>
          </w:p>
        </w:tc>
      </w:tr>
      <w:tr w:rsidR="0091270F" w14:paraId="024172B3" w14:textId="77777777" w:rsidTr="00B86A8C">
        <w:trPr>
          <w:cantSplit/>
          <w:trHeight w:hRule="exact" w:val="227"/>
        </w:trPr>
        <w:tc>
          <w:tcPr>
            <w:tcW w:w="1527" w:type="dxa"/>
          </w:tcPr>
          <w:p w14:paraId="496232CD" w14:textId="77777777" w:rsidR="00045126" w:rsidRPr="00933EA2" w:rsidRDefault="00045126" w:rsidP="00933EA2"/>
        </w:tc>
        <w:tc>
          <w:tcPr>
            <w:tcW w:w="968" w:type="dxa"/>
          </w:tcPr>
          <w:p w14:paraId="5743C048" w14:textId="77777777" w:rsidR="00045126" w:rsidRPr="00933EA2" w:rsidRDefault="00045126" w:rsidP="00933EA2"/>
        </w:tc>
        <w:tc>
          <w:tcPr>
            <w:tcW w:w="1487" w:type="dxa"/>
          </w:tcPr>
          <w:p w14:paraId="5D3473E1" w14:textId="77777777" w:rsidR="00045126" w:rsidRPr="00933EA2" w:rsidRDefault="00045126" w:rsidP="00933EA2"/>
        </w:tc>
      </w:tr>
      <w:tr w:rsidR="00045126" w:rsidRPr="00933EA2" w14:paraId="4B4D343E" w14:textId="77777777" w:rsidTr="00B86A8C">
        <w:trPr>
          <w:cantSplit/>
          <w:trHeight w:hRule="exact" w:val="227"/>
        </w:trPr>
        <w:tc>
          <w:tcPr>
            <w:tcW w:w="1527" w:type="dxa"/>
          </w:tcPr>
          <w:p w14:paraId="1A5B03E9" w14:textId="77777777" w:rsidR="00045126" w:rsidRPr="00933EA2" w:rsidRDefault="00045126" w:rsidP="00933EA2"/>
        </w:tc>
        <w:tc>
          <w:tcPr>
            <w:tcW w:w="968" w:type="dxa"/>
          </w:tcPr>
          <w:p w14:paraId="30B1D291" w14:textId="77777777" w:rsidR="00045126" w:rsidRPr="00933EA2" w:rsidRDefault="00045126" w:rsidP="00933EA2"/>
        </w:tc>
        <w:tc>
          <w:tcPr>
            <w:tcW w:w="1487" w:type="dxa"/>
          </w:tcPr>
          <w:p w14:paraId="30E7E51C" w14:textId="77777777" w:rsidR="00045126" w:rsidRPr="00933EA2" w:rsidRDefault="00045126" w:rsidP="00933EA2"/>
        </w:tc>
      </w:tr>
    </w:tbl>
    <w:p w14:paraId="6BDA1CE4" w14:textId="77777777" w:rsidR="00045126" w:rsidRPr="00933EA2" w:rsidRDefault="00045126" w:rsidP="00933EA2">
      <w:pPr>
        <w:pStyle w:val="SNNature"/>
        <w:keepNext/>
        <w:keepLines/>
        <w:widowControl/>
      </w:pPr>
      <w:r>
        <w:t xml:space="preserve">Osnutek uredbe o regulativnih postopkih Nacionalnega organa za igre na srečo</w:t>
      </w:r>
      <w:r>
        <w:t xml:space="preserve"> </w:t>
      </w:r>
    </w:p>
    <w:p w14:paraId="29934606" w14:textId="77777777" w:rsidR="00045126" w:rsidRPr="00933EA2" w:rsidRDefault="00045126" w:rsidP="00933EA2">
      <w:pPr>
        <w:pStyle w:val="SNNORCentr"/>
        <w:keepNext/>
        <w:keepLines/>
      </w:pPr>
      <w:r>
        <w:t xml:space="preserve">NOR:</w:t>
      </w:r>
      <w:r>
        <w:t xml:space="preserve"> </w:t>
      </w:r>
      <w:r>
        <w:t xml:space="preserve">CPAB1930945D</w:t>
      </w:r>
    </w:p>
    <w:p w14:paraId="11F21CF0" w14:textId="4B47273D" w:rsidR="00045126" w:rsidRPr="00933EA2" w:rsidRDefault="00045126" w:rsidP="00933EA2">
      <w:pPr>
        <w:pStyle w:val="SNAutorit"/>
        <w:keepNext/>
        <w:keepLines/>
        <w:jc w:val="both"/>
        <w:rPr>
          <w:b w:val="0"/>
          <w:i/>
        </w:rPr>
      </w:pPr>
      <w:r>
        <w:rPr>
          <w:i/>
        </w:rPr>
        <w:t xml:space="preserve">Ciljna javnost</w:t>
      </w:r>
      <w:r>
        <w:rPr>
          <w:i/>
        </w:rPr>
        <w:t xml:space="preserve">:</w:t>
      </w:r>
      <w:r>
        <w:rPr>
          <w:i/>
        </w:rPr>
        <w:t xml:space="preserve"> </w:t>
      </w:r>
      <w:r>
        <w:rPr>
          <w:i/>
          <w:b w:val="0"/>
        </w:rPr>
        <w:t xml:space="preserve">Nacionalni organ za igre na srečo (Autorité nationale des jeux – ANJ), prireditelji spletnih iger ali stav, družba Française des jeux.</w:t>
      </w:r>
      <w:r>
        <w:rPr>
          <w:i/>
          <w:b w:val="0"/>
        </w:rPr>
        <w:t xml:space="preserve"> </w:t>
      </w:r>
    </w:p>
    <w:p w14:paraId="104CE4FA" w14:textId="714CD7D5" w:rsidR="00045126" w:rsidRPr="00933EA2" w:rsidRDefault="00045126" w:rsidP="00933EA2">
      <w:pPr>
        <w:pStyle w:val="SNAutorit"/>
        <w:spacing w:before="120"/>
        <w:jc w:val="both"/>
        <w:rPr>
          <w:b w:val="0"/>
          <w:i/>
        </w:rPr>
      </w:pPr>
      <w:r>
        <w:rPr>
          <w:i/>
        </w:rPr>
        <w:t xml:space="preserve">Predmet:</w:t>
      </w:r>
      <w:r>
        <w:rPr>
          <w:i/>
        </w:rPr>
        <w:t xml:space="preserve"> </w:t>
      </w:r>
      <w:r>
        <w:rPr>
          <w:i/>
          <w:b w:val="0"/>
        </w:rPr>
        <w:t xml:space="preserve">regulativni postopki Nacionalnega organa za igre na srečo</w:t>
      </w:r>
    </w:p>
    <w:p w14:paraId="70F910BA" w14:textId="3E2436C7" w:rsidR="00045126" w:rsidRPr="00933EA2" w:rsidRDefault="00045126" w:rsidP="00933EA2">
      <w:pPr>
        <w:pStyle w:val="SNAutorit"/>
        <w:spacing w:before="120"/>
        <w:jc w:val="both"/>
        <w:rPr>
          <w:b w:val="0"/>
          <w:i/>
        </w:rPr>
      </w:pPr>
      <w:r>
        <w:rPr>
          <w:i/>
        </w:rPr>
        <w:t xml:space="preserve">Začetek veljavnosti:</w:t>
      </w:r>
      <w:r>
        <w:rPr>
          <w:i/>
        </w:rPr>
        <w:t xml:space="preserve"> </w:t>
      </w:r>
      <w:r>
        <w:rPr>
          <w:i/>
          <w:b w:val="0"/>
        </w:rPr>
        <w:t xml:space="preserve">15. marec 2020, razen členov 45 in 46, ki začneta veljati s prvim zasedanjem kolegija Nacionalnega organa za igre na srečo, ter členov D. 320-10 in D. 320-12 Zakonika o notranji varnosti v različici, ki izhaja iz te uredbe, ki začneta veljati 1. aprila 2020.</w:t>
      </w:r>
    </w:p>
    <w:p w14:paraId="1E039B78" w14:textId="1C4A8FD9" w:rsidR="00045126" w:rsidRPr="00933EA2" w:rsidRDefault="00045126" w:rsidP="00933EA2">
      <w:pPr>
        <w:pStyle w:val="SNAutorit"/>
        <w:spacing w:before="120"/>
        <w:jc w:val="both"/>
        <w:rPr>
          <w:b w:val="0"/>
          <w:i/>
        </w:rPr>
      </w:pPr>
      <w:r>
        <w:rPr>
          <w:i/>
        </w:rPr>
        <w:t xml:space="preserve">Obvestilo</w:t>
      </w:r>
      <w:r>
        <w:rPr>
          <w:i/>
        </w:rPr>
        <w:t xml:space="preserve">:</w:t>
      </w:r>
      <w:r>
        <w:rPr>
          <w:i/>
        </w:rPr>
        <w:t xml:space="preserve"> </w:t>
      </w:r>
      <w:r>
        <w:rPr>
          <w:i/>
          <w:b w:val="0"/>
        </w:rPr>
        <w:t xml:space="preserve">člen 137 Zakona št. 2019-486 z dne 22. maja 2019 o rasti in preoblikovanju podjetij pooblašča vlado, da z odlokom sprejme ukrepe za reformo ureditve sektorja iger na srečo.</w:t>
      </w:r>
      <w:r>
        <w:rPr>
          <w:i/>
          <w:b w:val="0"/>
        </w:rPr>
        <w:t xml:space="preserve"> </w:t>
      </w:r>
      <w:r>
        <w:rPr>
          <w:i/>
          <w:b w:val="0"/>
        </w:rPr>
        <w:t xml:space="preserve">Obseg tega pooblastila vključuje tudi postopke regulacije sektorja iger na srečo, zlasti določbe, ki se uporabljajo za organ iz člena 34 Zakona št. 2010-476 z dne 12. maja 2010 o odpiranju za konkurenco in regulaciji sektorja spletnih iger na srečo z namenom ustanovitve neodvisnega upravnega nadzornega in regulativnega organa, ki bo svoje naloge opravljal neodvisno.</w:t>
      </w:r>
      <w:r>
        <w:rPr>
          <w:i/>
          <w:b w:val="0"/>
        </w:rPr>
        <w:t xml:space="preserve"> </w:t>
      </w:r>
      <w:r>
        <w:rPr>
          <w:i/>
          <w:b w:val="0"/>
        </w:rPr>
        <w:t xml:space="preserve">Namen te uredbe je določiti regulativne postopke, ki jih izvaja Nacionalni organ za igre na srečo.</w:t>
      </w:r>
    </w:p>
    <w:p w14:paraId="0B7013A7" w14:textId="77777777" w:rsidR="0084714D" w:rsidRPr="00933EA2" w:rsidRDefault="00045126" w:rsidP="00933EA2">
      <w:pPr>
        <w:pStyle w:val="SNAutorit"/>
        <w:spacing w:before="120"/>
        <w:jc w:val="both"/>
        <w:rPr>
          <w:b w:val="0"/>
          <w:i/>
        </w:rPr>
      </w:pPr>
      <w:r>
        <w:rPr>
          <w:i/>
        </w:rPr>
        <w:t xml:space="preserve">Referenčna besedila</w:t>
      </w:r>
      <w:r>
        <w:rPr>
          <w:i/>
        </w:rPr>
        <w:t xml:space="preserve">:</w:t>
      </w:r>
      <w:r>
        <w:rPr>
          <w:i/>
        </w:rPr>
        <w:t xml:space="preserve"> </w:t>
      </w:r>
      <w:r>
        <w:rPr>
          <w:i/>
          <w:b w:val="0"/>
          <w:b w:val="0"/>
        </w:rPr>
        <w:t xml:space="preserve">ta uredba in Zakonik o notranji varnosti v različici, spremenjeni s to uredbo, sta na voljo na spletnem mestu Légifrance</w:t>
      </w:r>
      <w:r>
        <w:rPr>
          <w:i/>
          <w:b w:val="0"/>
        </w:rPr>
        <w:t xml:space="preserve"> </w:t>
      </w:r>
      <w:r>
        <w:rPr>
          <w:i/>
          <w:b w:val="0"/>
          <w:i/>
          <w:b w:val="0"/>
        </w:rPr>
        <w:t xml:space="preserve">(</w:t>
      </w:r>
      <w:hyperlink r:id="rId6" w:history="1">
        <w:r>
          <w:rPr>
            <w:rStyle w:val="Hyperlink"/>
            <w:b w:val="0"/>
            <w:i/>
          </w:rPr>
          <w:t xml:space="preserve">http://www.legifrance.gouv.fr</w:t>
        </w:r>
      </w:hyperlink>
      <w:r>
        <w:rPr>
          <w:b w:val="0"/>
          <w:i/>
        </w:rPr>
        <w:t xml:space="preserve">).</w:t>
      </w:r>
    </w:p>
    <w:p w14:paraId="65AEA4F7" w14:textId="77777777" w:rsidR="00045126" w:rsidRPr="00933EA2" w:rsidRDefault="0084714D" w:rsidP="00933EA2">
      <w:pPr>
        <w:pStyle w:val="SNAutorit"/>
        <w:spacing w:before="120"/>
        <w:jc w:val="both"/>
        <w:rPr>
          <w:b w:val="0"/>
          <w:i/>
        </w:rPr>
      </w:pPr>
      <w:r>
        <w:t xml:space="preserve">Predsednik vlade –</w:t>
      </w:r>
    </w:p>
    <w:p w14:paraId="77FB7384" w14:textId="77777777" w:rsidR="00045126" w:rsidRPr="00933EA2" w:rsidRDefault="00045126" w:rsidP="00933EA2">
      <w:pPr>
        <w:pStyle w:val="SNRapport"/>
      </w:pPr>
      <w:r>
        <w:t xml:space="preserve">ob upoštevanju poročila ministra za finance in gospodarstvo, ministra za javno politiko in javne račune ter ministrice za šport;</w:t>
      </w:r>
    </w:p>
    <w:p w14:paraId="048B7C5A" w14:textId="283A761A" w:rsidR="0084714D" w:rsidRPr="00933EA2" w:rsidRDefault="0084714D" w:rsidP="00933EA2">
      <w:pPr>
        <w:pStyle w:val="SNRapport"/>
      </w:pPr>
      <w:r>
        <w:t xml:space="preserve">ob upoštevanju Direktive (EU) 2015/1535 Evropskega parlamenta in Sveta z dne 9. septembra 2015 o določitvi postopka za zbiranje informacij na področju tehničnih predpisov in pravil za storitve informacijske družbe;</w:t>
      </w:r>
    </w:p>
    <w:p w14:paraId="762E43A9" w14:textId="30280945" w:rsidR="0084714D" w:rsidRPr="00933EA2" w:rsidRDefault="0084714D" w:rsidP="00933EA2">
      <w:pPr>
        <w:pStyle w:val="SNRapport"/>
      </w:pPr>
      <w:r>
        <w:t xml:space="preserve">ob upoštevanju Civilnega zakonika, zlasti člena 1;</w:t>
      </w:r>
    </w:p>
    <w:p w14:paraId="67E6A8B9" w14:textId="763AF4B2" w:rsidR="00045126" w:rsidRPr="00933EA2" w:rsidRDefault="00045126" w:rsidP="00933EA2">
      <w:pPr>
        <w:pStyle w:val="SNRapport"/>
      </w:pPr>
      <w:r>
        <w:t xml:space="preserve">ob upoštevanju Monetarnega in finančnega zakonika;</w:t>
      </w:r>
    </w:p>
    <w:p w14:paraId="16E3A4A4" w14:textId="40CCBA92" w:rsidR="00045126" w:rsidRPr="00933EA2" w:rsidRDefault="00045126" w:rsidP="00933EA2">
      <w:pPr>
        <w:pStyle w:val="SNRapport"/>
      </w:pPr>
      <w:r>
        <w:t xml:space="preserve">ob upoštevanju Zakonika o notranji varnosti, zlasti naslova II in naslova IV zvezka VIII;</w:t>
      </w:r>
    </w:p>
    <w:p w14:paraId="362FDC7A" w14:textId="6A0DCA31" w:rsidR="00D13FBA" w:rsidRPr="00933EA2" w:rsidRDefault="00D13FBA" w:rsidP="00933EA2">
      <w:pPr>
        <w:pStyle w:val="SNRapport"/>
      </w:pPr>
      <w:r>
        <w:t xml:space="preserve">ob upoštevanju Zakonika o športu;</w:t>
      </w:r>
    </w:p>
    <w:p w14:paraId="652A174C" w14:textId="77777777" w:rsidR="00045126" w:rsidRPr="00933EA2" w:rsidRDefault="00045126" w:rsidP="00933EA2">
      <w:pPr>
        <w:pStyle w:val="SNRapport"/>
      </w:pPr>
      <w:r>
        <w:t xml:space="preserve">ob upoštevanju Zakona št. 2010-476 z dne 12. maja 2010 o odpiranju za konkurenco in regulaciji sektorja spletnih iger na srečo, kakor je bil spremenjen;</w:t>
      </w:r>
    </w:p>
    <w:p w14:paraId="1ACCBCCB" w14:textId="77777777" w:rsidR="00142531" w:rsidRPr="00933EA2" w:rsidRDefault="00045126" w:rsidP="00933EA2">
      <w:pPr>
        <w:pStyle w:val="SNRapport"/>
      </w:pPr>
      <w:r>
        <w:t xml:space="preserve">ob upoštevanju Zakona št. 2019-486 z dne 22. maja 2019 o rasti in preoblikovanju podjetij, zlasti člena 137;</w:t>
      </w:r>
    </w:p>
    <w:p w14:paraId="3B7366BA" w14:textId="1F3FEC7F" w:rsidR="00045126" w:rsidRPr="00933EA2" w:rsidRDefault="00045126" w:rsidP="00933EA2">
      <w:pPr>
        <w:pStyle w:val="SNRapport"/>
      </w:pPr>
      <w:r>
        <w:t xml:space="preserve">ob upoštevanju Odloka št. 2019-1015 z dne 2. oktobra 2019 o reformi regulacije iger na srečo;</w:t>
      </w:r>
    </w:p>
    <w:p w14:paraId="5538C323" w14:textId="77777777" w:rsidR="001A3887" w:rsidRPr="00933EA2" w:rsidRDefault="001A3887" w:rsidP="00933EA2">
      <w:pPr>
        <w:pStyle w:val="SNRapport"/>
      </w:pPr>
      <w:r>
        <w:rPr>
          <w:highlight w:val="yellow"/>
        </w:rPr>
        <w:t xml:space="preserve">ob upoštevanju Uredbe št. XX XXXX XXXX o načinih ponujanja iger na srečo in podatkov o igrah na srečo (CPAB1926918D);</w:t>
      </w:r>
    </w:p>
    <w:p w14:paraId="7DA3002F" w14:textId="7A04B1C4" w:rsidR="00142531" w:rsidRPr="00933EA2" w:rsidRDefault="00BC35EB" w:rsidP="00933EA2">
      <w:pPr>
        <w:pStyle w:val="SNRapport"/>
      </w:pPr>
      <w:r>
        <w:t xml:space="preserve">ob upoštevanju Uredbe št. 2019-1060 z dne 17. oktobra 2019 o postopkih za izvajanje strogega državnega nadzora nad družbo Française des jeux;</w:t>
      </w:r>
    </w:p>
    <w:p w14:paraId="714B0F8B" w14:textId="1364CCA8" w:rsidR="00142531" w:rsidRPr="00933EA2" w:rsidRDefault="00142531" w:rsidP="00933EA2">
      <w:pPr>
        <w:pStyle w:val="SNRapport"/>
      </w:pPr>
      <w:r>
        <w:t xml:space="preserve">ob upoštevanju Uredbe št.</w:t>
      </w:r>
      <w:r>
        <w:t xml:space="preserve"> 2019-1061 z dne 17. oktobra 2019 o ponujanju iger družbe Française des jeux in skupine gospodarskega interesa „Pari mutuel urbain“;</w:t>
      </w:r>
    </w:p>
    <w:p w14:paraId="0BBA6677" w14:textId="77777777" w:rsidR="00045126" w:rsidRPr="00933EA2" w:rsidRDefault="00045126" w:rsidP="00933EA2">
      <w:pPr>
        <w:pStyle w:val="SNActe"/>
        <w:keepNext/>
        <w:keepLines/>
      </w:pPr>
      <w:r>
        <w:t xml:space="preserve">odreja:</w:t>
      </w:r>
    </w:p>
    <w:p w14:paraId="08F9A76B" w14:textId="71C8A30A" w:rsidR="007E61D1" w:rsidRPr="00933EA2" w:rsidRDefault="00DD75EA" w:rsidP="00933EA2">
      <w:pPr>
        <w:pStyle w:val="SNArticle"/>
        <w:keepNext/>
        <w:keepLines/>
      </w:pPr>
      <w:r>
        <w:t xml:space="preserve">NASLOV I:</w:t>
      </w:r>
      <w:r>
        <w:t xml:space="preserve"> </w:t>
      </w:r>
      <w:r>
        <w:t xml:space="preserve">POSTOPKI ZA IZVAJANJE NADZORA IN IZPOLNJEVANJE OBVEZNOSTI PRIREDITELJEV IGER IN STAV</w:t>
      </w:r>
    </w:p>
    <w:p w14:paraId="6C987295" w14:textId="77777777" w:rsidR="007E61D1" w:rsidRPr="00933EA2" w:rsidRDefault="007E61D1" w:rsidP="00933EA2">
      <w:pPr>
        <w:keepNext/>
        <w:keepLines/>
        <w:jc w:val="center"/>
        <w:rPr>
          <w:b/>
        </w:rPr>
      </w:pPr>
      <w:r>
        <w:rPr>
          <w:b/>
        </w:rPr>
        <w:t xml:space="preserve">Člen 1</w:t>
      </w:r>
    </w:p>
    <w:p w14:paraId="6C33AEB4" w14:textId="77777777" w:rsidR="00813F86" w:rsidRPr="00933EA2" w:rsidRDefault="00813F86" w:rsidP="00933EA2">
      <w:pPr>
        <w:keepNext/>
        <w:keepLines/>
        <w:jc w:val="both"/>
      </w:pPr>
    </w:p>
    <w:p w14:paraId="5B20680E" w14:textId="0AB15F64" w:rsidR="00794988" w:rsidRPr="00933EA2" w:rsidRDefault="00794988" w:rsidP="00933EA2">
      <w:pPr>
        <w:jc w:val="both"/>
      </w:pPr>
      <w:r>
        <w:t xml:space="preserve">Za namene izpolnjevanja določb drugega pododstavka člena 34(IX) zgoraj omenjenega zakona z dne 12. maja 2010 lahko družba, ki upravlja igralnico ali igralni klub in pripada skupini družb, ki upravljajo igralnice ali klube, Nacionalnemu organu za igre na srečo predloži v odobritev akcijski načrt, ki je skupen vsem družbam v tej skupini.</w:t>
      </w:r>
      <w:r>
        <w:t xml:space="preserve"> </w:t>
      </w:r>
      <w:r>
        <w:t xml:space="preserve">V tem primeru se v akcijskem načrtu navede seznam družb, ki so del te skupine.</w:t>
      </w:r>
      <w:r>
        <w:t xml:space="preserve"> </w:t>
      </w:r>
    </w:p>
    <w:p w14:paraId="0C8DEB8A" w14:textId="77777777" w:rsidR="00794988" w:rsidRPr="00933EA2" w:rsidRDefault="00794988" w:rsidP="00933EA2">
      <w:pPr>
        <w:jc w:val="both"/>
        <w:rPr>
          <w:rFonts w:asciiTheme="minorHAnsi" w:eastAsiaTheme="minorHAnsi" w:hAnsiTheme="minorHAnsi" w:cstheme="minorBidi"/>
          <w:sz w:val="20"/>
          <w:szCs w:val="20"/>
          <w:lang w:eastAsia="en-US"/>
        </w:rPr>
      </w:pPr>
    </w:p>
    <w:p w14:paraId="38A16952" w14:textId="77777777" w:rsidR="00794988" w:rsidRPr="00933EA2" w:rsidRDefault="00794988" w:rsidP="00933EA2">
      <w:pPr>
        <w:jc w:val="both"/>
      </w:pPr>
      <w:r>
        <w:t xml:space="preserve">Za namene izpolnjevanja določb drugega pododstavka člena 34(IX) zgoraj omenjenega zakona z dne 12. maja 2010 lahko družba, ki upravlja dve ali več igralnic ali igralnih klubov, Nacionalnemu organu za igre na srečo predloži v odobritev akcijski načrt, ki je skupen vsem družbam v tej skupini.</w:t>
      </w:r>
      <w:r>
        <w:t xml:space="preserve"> </w:t>
      </w:r>
      <w:r>
        <w:t xml:space="preserve">V tem primeru se v akcijskem načrtu navede seznam igralnic in igralnih klubov.</w:t>
      </w:r>
      <w:r>
        <w:t xml:space="preserve"> </w:t>
      </w:r>
    </w:p>
    <w:p w14:paraId="23525345" w14:textId="77777777" w:rsidR="00794988" w:rsidRPr="00933EA2" w:rsidRDefault="00794988" w:rsidP="00933EA2">
      <w:pPr>
        <w:jc w:val="both"/>
      </w:pPr>
    </w:p>
    <w:p w14:paraId="4C768112" w14:textId="285147CC" w:rsidR="007E61D1" w:rsidRPr="00933EA2" w:rsidRDefault="00794988" w:rsidP="00933EA2">
      <w:pPr>
        <w:jc w:val="both"/>
      </w:pPr>
      <w:r>
        <w:t xml:space="preserve">V primeru uporabe možnosti, določeni v prvem in drugem pododstavku, lahko Nacionalni organ za igre na srečo zahteva posredovanje katerega koli dokumenta ali dodatnih informacij, preden se odloči glede zahteve za odobritev, ki mu je bila poslana.</w:t>
      </w:r>
    </w:p>
    <w:p w14:paraId="513C2CC2" w14:textId="77777777" w:rsidR="00794988" w:rsidRPr="00933EA2" w:rsidRDefault="00794988" w:rsidP="00933EA2">
      <w:pPr>
        <w:jc w:val="both"/>
      </w:pPr>
    </w:p>
    <w:p w14:paraId="79427271" w14:textId="77777777" w:rsidR="007E61D1" w:rsidRPr="00933EA2" w:rsidRDefault="007E61D1" w:rsidP="00933EA2">
      <w:pPr>
        <w:keepNext/>
        <w:keepLines/>
        <w:jc w:val="center"/>
        <w:rPr>
          <w:b/>
        </w:rPr>
      </w:pPr>
      <w:r>
        <w:rPr>
          <w:b/>
        </w:rPr>
        <w:t xml:space="preserve">Člen 2</w:t>
      </w:r>
    </w:p>
    <w:p w14:paraId="052D5044" w14:textId="77777777" w:rsidR="007E61D1" w:rsidRPr="00933EA2" w:rsidRDefault="007E61D1" w:rsidP="00933EA2">
      <w:pPr>
        <w:keepNext/>
        <w:keepLines/>
        <w:jc w:val="both"/>
        <w:rPr>
          <w:b/>
        </w:rPr>
      </w:pPr>
    </w:p>
    <w:p w14:paraId="366CF3E1" w14:textId="7CB58820" w:rsidR="007E61D1" w:rsidRPr="00933EA2" w:rsidRDefault="007E61D1" w:rsidP="00933EA2">
      <w:pPr>
        <w:jc w:val="both"/>
      </w:pPr>
      <w:r>
        <w:t xml:space="preserve">V primeru hipodromov lahko akcijski načrt, omenjen v drugem pododstavku člena 34(IX) zgoraj omenjenega zakona z dne 12. maja 2010, zajema več družb za prirejanje konjskih dirk, ki upravljajo te hipodrome, če akcijski načrt uporabljajo vse družbe.</w:t>
      </w:r>
      <w:r>
        <w:t xml:space="preserve"> </w:t>
      </w:r>
      <w:r>
        <w:t xml:space="preserve">Seznam zadevnih družb za prirejanje konjskih dirk in upravljanje hipodromov mora biti naveden v akcijskem načrtu.</w:t>
      </w:r>
      <w:r>
        <w:t xml:space="preserve"> </w:t>
      </w:r>
      <w:r>
        <w:t xml:space="preserve">Nacionalni organ za igre na srečo lahko vsako družbo za prirejanje konjskih dirk pozove k posredovanju kakršnih koli dodatnih dokumentov, da bi ocenil njen akcijski načrt z namenom preprečevanja prekomernega igranja iger na srečo in igranja s strani mladoletnikov in spodbudil razumno prakso igranja iger na srečo, ter posredovanju ocene izvedbe navedenega načrta v preteklem letu.</w:t>
      </w:r>
    </w:p>
    <w:p w14:paraId="0CD4DAE7" w14:textId="77777777" w:rsidR="007E61D1" w:rsidRPr="00933EA2" w:rsidRDefault="007E61D1" w:rsidP="00933EA2">
      <w:pPr>
        <w:jc w:val="both"/>
      </w:pPr>
    </w:p>
    <w:p w14:paraId="5CDE936D" w14:textId="77777777" w:rsidR="007E61D1" w:rsidRPr="00933EA2" w:rsidRDefault="007E61D1" w:rsidP="00933EA2">
      <w:pPr>
        <w:keepNext/>
        <w:keepLines/>
        <w:jc w:val="center"/>
        <w:rPr>
          <w:b/>
        </w:rPr>
      </w:pPr>
      <w:r>
        <w:rPr>
          <w:b/>
        </w:rPr>
        <w:t xml:space="preserve">Člen 3</w:t>
      </w:r>
    </w:p>
    <w:p w14:paraId="61CAAFB0" w14:textId="77777777" w:rsidR="007E61D1" w:rsidRPr="00933EA2" w:rsidRDefault="007E61D1" w:rsidP="00933EA2">
      <w:pPr>
        <w:keepNext/>
        <w:keepLines/>
        <w:jc w:val="both"/>
        <w:rPr>
          <w:b/>
        </w:rPr>
      </w:pPr>
    </w:p>
    <w:p w14:paraId="37C2CCC7" w14:textId="77777777" w:rsidR="007E61D1" w:rsidRPr="00933EA2" w:rsidRDefault="007E61D1" w:rsidP="00933EA2">
      <w:pPr>
        <w:jc w:val="both"/>
      </w:pPr>
      <w:r>
        <w:t xml:space="preserve">V primeru hipodromov se lahko družbe za prirejanje konjskih dirk namesto posamičnega izpolnjevanja obveznosti glede razvrstitve tveganj iz člena L. 561-4-1 Monetarnega in finančnega zakonika in glede postopkov notranjega nadzora iz člena L 561-32 istega zakonika odločijo za skupno izvajanje na ravni Nacionalne zveze za konjske dirke, ki poroča Nacionalnemu organu za igre na srečo z omembo seznama zadevnih dirkaških družb in hipodromov.</w:t>
      </w:r>
      <w:r>
        <w:t xml:space="preserve"> </w:t>
      </w:r>
      <w:r>
        <w:t xml:space="preserve">Če obstajajo posebna tveganja, zlasti glede na obseg stav in višino vložkov, je treba postopke ustrezno prilagoditi.</w:t>
      </w:r>
      <w:r>
        <w:t xml:space="preserve"> </w:t>
      </w:r>
      <w:r>
        <w:t xml:space="preserve">Nacionalni organ za igre na srečo lahko od vsake družbe za prirejanje konjskih dirk zahteva kakršen koli dodatni dokument, ki mu omogoča oceno ukrepov, ki jih je družba sprejela za boj proti pranju denarja in financiranju terorizma.</w:t>
      </w:r>
    </w:p>
    <w:p w14:paraId="4736BFF7" w14:textId="77777777" w:rsidR="007E61D1" w:rsidRPr="00933EA2" w:rsidRDefault="007E61D1" w:rsidP="00933EA2">
      <w:pPr>
        <w:jc w:val="both"/>
      </w:pPr>
    </w:p>
    <w:p w14:paraId="1A6F401F" w14:textId="77777777" w:rsidR="007E61D1" w:rsidRPr="00933EA2" w:rsidRDefault="007E61D1" w:rsidP="00933EA2">
      <w:pPr>
        <w:keepNext/>
        <w:keepLines/>
        <w:jc w:val="center"/>
        <w:rPr>
          <w:b/>
        </w:rPr>
      </w:pPr>
      <w:r>
        <w:rPr>
          <w:b/>
        </w:rPr>
        <w:t xml:space="preserve">Člen 4</w:t>
      </w:r>
    </w:p>
    <w:p w14:paraId="38FBB37D" w14:textId="77777777" w:rsidR="007E61D1" w:rsidRPr="00933EA2" w:rsidRDefault="007E61D1" w:rsidP="00933EA2">
      <w:pPr>
        <w:keepNext/>
        <w:keepLines/>
        <w:jc w:val="both"/>
        <w:rPr>
          <w:b/>
        </w:rPr>
      </w:pPr>
    </w:p>
    <w:p w14:paraId="2B218E2A" w14:textId="7DA8E983" w:rsidR="007E61D1" w:rsidRPr="00933EA2" w:rsidRDefault="007E61D1" w:rsidP="00933EA2">
      <w:pPr>
        <w:jc w:val="both"/>
      </w:pPr>
      <w:r>
        <w:t xml:space="preserve">V primeru hipodromov se lahko nadzor izvaja na podlagi dokumentacije, ki je skupna vsem družbam za prirejanje konjskih dirk, ki uporabljajo istega ponudnika storitev za zagotovitev in vzdrževanje svojih informacijskih sistemov, ali prek revizije informacijskih sistemov zadevnega ponudnika storitev.</w:t>
      </w:r>
      <w:r>
        <w:t xml:space="preserve"> </w:t>
      </w:r>
      <w:r>
        <w:t xml:space="preserve">Nacionalni organ za igre na srečo lahko od vsake družbe za prirejanje konjskih dirk zahteva posredovanje kakršnih koli dodatnih dokumentov.</w:t>
      </w:r>
    </w:p>
    <w:p w14:paraId="4157AD3C" w14:textId="77777777" w:rsidR="007E61D1" w:rsidRPr="00933EA2" w:rsidRDefault="007E61D1" w:rsidP="00933EA2">
      <w:pPr>
        <w:jc w:val="both"/>
      </w:pPr>
    </w:p>
    <w:p w14:paraId="5B9DB7AE" w14:textId="77777777" w:rsidR="007E61D1" w:rsidRPr="00933EA2" w:rsidRDefault="007E61D1" w:rsidP="00933EA2">
      <w:pPr>
        <w:keepNext/>
        <w:keepLines/>
        <w:jc w:val="center"/>
        <w:rPr>
          <w:b/>
        </w:rPr>
      </w:pPr>
      <w:r>
        <w:rPr>
          <w:b/>
        </w:rPr>
        <w:t xml:space="preserve">Člen 5</w:t>
      </w:r>
    </w:p>
    <w:p w14:paraId="4C9C62BB" w14:textId="77777777" w:rsidR="007E61D1" w:rsidRPr="00933EA2" w:rsidRDefault="007E61D1" w:rsidP="00933EA2">
      <w:pPr>
        <w:keepNext/>
        <w:keepLines/>
        <w:jc w:val="both"/>
        <w:rPr>
          <w:b/>
        </w:rPr>
      </w:pPr>
    </w:p>
    <w:p w14:paraId="26847594" w14:textId="77777777" w:rsidR="007E61D1" w:rsidRPr="00933EA2" w:rsidRDefault="007E61D1" w:rsidP="00933EA2">
      <w:pPr>
        <w:jc w:val="both"/>
      </w:pPr>
      <w:r>
        <w:t xml:space="preserve">Pred marcem vsakega leta prireditelji, ki imajo izključne pravice, Nacionalnemu organu za igre na srečo predložijo poročilo, v katerem podrobno navedejo dejanski znesek proračuna za preteklo leto, ki ustreza vsaj 0,002 % deležev, raziskovalne projekte, ki jih financira in spremlja pristojni organ, imenovan z zgoraj omenjeno uredbo XX XXXX XXXX (CPAB1926918D), in znesek plačanega prispevka, v skladu z določbami člena 3 zgoraj omenjenega zakona z dne 12. maja 2010.</w:t>
      </w:r>
      <w:r>
        <w:t xml:space="preserve"> </w:t>
      </w:r>
    </w:p>
    <w:p w14:paraId="429F79D8" w14:textId="77777777" w:rsidR="007E61D1" w:rsidRPr="00933EA2" w:rsidRDefault="007E61D1" w:rsidP="00933EA2">
      <w:pPr>
        <w:jc w:val="both"/>
      </w:pPr>
    </w:p>
    <w:p w14:paraId="7B122D74" w14:textId="2935AC69" w:rsidR="007E61D1" w:rsidRPr="00933EA2" w:rsidRDefault="00DD75EA" w:rsidP="00933EA2">
      <w:pPr>
        <w:keepNext/>
        <w:keepLines/>
        <w:jc w:val="both"/>
      </w:pPr>
      <w:r>
        <w:rPr>
          <w:b/>
        </w:rPr>
        <w:t xml:space="preserve">NASLOV II:</w:t>
      </w:r>
      <w:r>
        <w:rPr>
          <w:b/>
        </w:rPr>
        <w:t xml:space="preserve"> </w:t>
      </w:r>
      <w:r>
        <w:rPr>
          <w:b/>
        </w:rPr>
        <w:t xml:space="preserve">POSTOPKI IN POGOJI ODOBRITVE PROMOCIJSKIH STRATEGIJ PRIREDITELJEV IGER ALI STAV</w:t>
      </w:r>
    </w:p>
    <w:p w14:paraId="0366C11E" w14:textId="77777777" w:rsidR="007E61D1" w:rsidRPr="00933EA2" w:rsidRDefault="007E61D1" w:rsidP="00933EA2">
      <w:pPr>
        <w:keepNext/>
        <w:keepLines/>
        <w:jc w:val="both"/>
      </w:pPr>
    </w:p>
    <w:p w14:paraId="180B46AF" w14:textId="77777777" w:rsidR="007E61D1" w:rsidRPr="00933EA2" w:rsidRDefault="007E61D1" w:rsidP="00933EA2">
      <w:pPr>
        <w:keepNext/>
        <w:keepLines/>
        <w:tabs>
          <w:tab w:val="left" w:pos="225"/>
        </w:tabs>
        <w:jc w:val="center"/>
        <w:rPr>
          <w:b/>
          <w:bCs/>
        </w:rPr>
      </w:pPr>
      <w:r>
        <w:rPr>
          <w:b/>
          <w:bCs/>
        </w:rPr>
        <w:t xml:space="preserve">Člen 6</w:t>
      </w:r>
    </w:p>
    <w:p w14:paraId="03A3768D" w14:textId="77777777" w:rsidR="007E61D1" w:rsidRPr="00933EA2" w:rsidRDefault="007E61D1" w:rsidP="00933EA2">
      <w:pPr>
        <w:keepNext/>
        <w:keepLines/>
        <w:tabs>
          <w:tab w:val="left" w:pos="225"/>
        </w:tabs>
        <w:jc w:val="both"/>
        <w:rPr>
          <w:bCs/>
        </w:rPr>
      </w:pPr>
    </w:p>
    <w:p w14:paraId="3107C3EF" w14:textId="77777777" w:rsidR="007E61D1" w:rsidRPr="00933EA2" w:rsidRDefault="007E61D1" w:rsidP="00933EA2">
      <w:pPr>
        <w:keepNext/>
        <w:keepLines/>
        <w:tabs>
          <w:tab w:val="left" w:pos="225"/>
        </w:tabs>
        <w:jc w:val="both"/>
        <w:rPr>
          <w:bCs/>
        </w:rPr>
      </w:pPr>
      <w:r>
        <w:t xml:space="preserve">Pred 30. oktobrom vsakega leta prireditelji, ki imajo izključne pravice, in prireditelji spletnih iger ali stav predložijo v katerem koli mediju svojo promocijsko strategijo v odobritev Nacionalnemu organu za igre na srečo.</w:t>
      </w:r>
      <w:r>
        <w:t xml:space="preserve"> </w:t>
      </w:r>
    </w:p>
    <w:p w14:paraId="11F470F5" w14:textId="77777777" w:rsidR="007E61D1" w:rsidRPr="00933EA2" w:rsidRDefault="007E61D1" w:rsidP="00933EA2">
      <w:pPr>
        <w:tabs>
          <w:tab w:val="left" w:pos="225"/>
        </w:tabs>
        <w:jc w:val="both"/>
        <w:rPr>
          <w:bCs/>
        </w:rPr>
      </w:pPr>
    </w:p>
    <w:p w14:paraId="699E2544" w14:textId="77777777" w:rsidR="007E61D1" w:rsidRPr="00933EA2" w:rsidRDefault="007E61D1" w:rsidP="00933EA2">
      <w:pPr>
        <w:keepNext/>
        <w:keepLines/>
        <w:tabs>
          <w:tab w:val="left" w:pos="225"/>
        </w:tabs>
        <w:jc w:val="center"/>
        <w:rPr>
          <w:b/>
          <w:bCs/>
        </w:rPr>
      </w:pPr>
      <w:r>
        <w:rPr>
          <w:b/>
          <w:bCs/>
        </w:rPr>
        <w:t xml:space="preserve">Člen 7</w:t>
      </w:r>
    </w:p>
    <w:p w14:paraId="73089FBB" w14:textId="77777777" w:rsidR="007E61D1" w:rsidRPr="00933EA2" w:rsidRDefault="007E61D1" w:rsidP="00933EA2">
      <w:pPr>
        <w:keepNext/>
        <w:keepLines/>
        <w:tabs>
          <w:tab w:val="left" w:pos="225"/>
        </w:tabs>
        <w:jc w:val="both"/>
        <w:rPr>
          <w:bCs/>
        </w:rPr>
      </w:pPr>
    </w:p>
    <w:p w14:paraId="2CE4B6B4" w14:textId="77777777" w:rsidR="007E61D1" w:rsidRPr="00933EA2" w:rsidRDefault="007E61D1" w:rsidP="00933EA2">
      <w:pPr>
        <w:tabs>
          <w:tab w:val="left" w:pos="225"/>
        </w:tabs>
        <w:jc w:val="both"/>
        <w:rPr>
          <w:bCs/>
        </w:rPr>
      </w:pPr>
      <w:r>
        <w:t xml:space="preserve">Promocijska strategija na katerem koli mediju vsebuje zlasti opis različnih medijev in katerih koli drugih oblik, ki se uporabljajo za promocijo ponudbe iger, oceno proračunov, dodeljenih posameznim dejavnostim, in njihovega razvoja v tekočem letu, opis vrste ciljnih strank, različne zadevne igre in oceno učinka v zvezi s prvim ciljem iz člena L. 320-3 Zakonika o notranji varnosti.</w:t>
      </w:r>
      <w:r>
        <w:t xml:space="preserve"> </w:t>
      </w:r>
      <w:r>
        <w:t xml:space="preserve">V primeru komercialnih ponudb, ki vključujejo finančno nagrado za igralce, prireditelj opiše mehanizme, ki igralcem omogočajo, da izkoristijo te ugodnosti.</w:t>
      </w:r>
      <w:r>
        <w:t xml:space="preserve"> </w:t>
      </w:r>
    </w:p>
    <w:p w14:paraId="5D41F546" w14:textId="343E933A" w:rsidR="007E61D1" w:rsidRPr="00933EA2" w:rsidRDefault="007E61D1" w:rsidP="00933EA2">
      <w:pPr>
        <w:tabs>
          <w:tab w:val="left" w:pos="225"/>
        </w:tabs>
        <w:jc w:val="both"/>
        <w:rPr>
          <w:bCs/>
        </w:rPr>
      </w:pPr>
      <w:r>
        <w:t xml:space="preserve">V primeru prirediteljev, ki imajo izključne pravice, promocijska strategija zajema informacije in preventivne ukrepe, namenjene javnosti in igralcem v njihovem fizičnem distribucijskem omrežju, z namenom izpolnjevanja prvega cilja iz člena L. 320-3 Zakonika o notranji varnosti.</w:t>
      </w:r>
      <w:r>
        <w:t xml:space="preserve"> </w:t>
      </w:r>
    </w:p>
    <w:p w14:paraId="466B6F1F" w14:textId="77777777" w:rsidR="007E61D1" w:rsidRPr="00933EA2" w:rsidRDefault="007E61D1" w:rsidP="00933EA2">
      <w:pPr>
        <w:tabs>
          <w:tab w:val="left" w:pos="225"/>
        </w:tabs>
        <w:jc w:val="both"/>
        <w:rPr>
          <w:bCs/>
        </w:rPr>
      </w:pPr>
    </w:p>
    <w:p w14:paraId="2292D94C" w14:textId="77777777" w:rsidR="007E61D1" w:rsidRPr="00933EA2" w:rsidRDefault="007E61D1" w:rsidP="00933EA2">
      <w:pPr>
        <w:keepNext/>
        <w:keepLines/>
        <w:tabs>
          <w:tab w:val="left" w:pos="225"/>
        </w:tabs>
        <w:jc w:val="center"/>
        <w:rPr>
          <w:b/>
          <w:bCs/>
        </w:rPr>
      </w:pPr>
      <w:r>
        <w:rPr>
          <w:b/>
          <w:bCs/>
        </w:rPr>
        <w:t xml:space="preserve">Člen 8</w:t>
      </w:r>
    </w:p>
    <w:p w14:paraId="76A6F4B3" w14:textId="77777777" w:rsidR="007E61D1" w:rsidRPr="00933EA2" w:rsidRDefault="007E61D1" w:rsidP="00933EA2">
      <w:pPr>
        <w:keepNext/>
        <w:keepLines/>
        <w:tabs>
          <w:tab w:val="left" w:pos="225"/>
        </w:tabs>
        <w:jc w:val="both"/>
        <w:rPr>
          <w:bCs/>
        </w:rPr>
      </w:pPr>
    </w:p>
    <w:p w14:paraId="7E066ACA" w14:textId="77777777" w:rsidR="007E61D1" w:rsidRPr="00933EA2" w:rsidRDefault="007E61D1" w:rsidP="00933EA2">
      <w:pPr>
        <w:tabs>
          <w:tab w:val="left" w:pos="225"/>
        </w:tabs>
        <w:jc w:val="both"/>
        <w:rPr>
          <w:bCs/>
        </w:rPr>
      </w:pPr>
      <w:r>
        <w:t xml:space="preserve">Nacionalni organ za igre na srečo prouči promocijsko strategijo prirediteljev glede na cilje iz člena L. 320-3 Zakonika o notranji varnosti.</w:t>
      </w:r>
      <w:r>
        <w:t xml:space="preserve"> </w:t>
      </w:r>
      <w:r>
        <w:t xml:space="preserve">Organ lahko prireditelja pozove k predložitvi dodatnih informacij o njegovi promocijski strategiji.</w:t>
      </w:r>
    </w:p>
    <w:p w14:paraId="573BB9A6" w14:textId="77777777" w:rsidR="007E61D1" w:rsidRPr="00933EA2" w:rsidRDefault="007E61D1" w:rsidP="00933EA2">
      <w:pPr>
        <w:tabs>
          <w:tab w:val="left" w:pos="225"/>
        </w:tabs>
        <w:ind w:firstLine="708"/>
        <w:jc w:val="both"/>
        <w:rPr>
          <w:bCs/>
        </w:rPr>
      </w:pPr>
    </w:p>
    <w:p w14:paraId="294DEF4C" w14:textId="77777777" w:rsidR="007E61D1" w:rsidRPr="00933EA2" w:rsidRDefault="007E61D1" w:rsidP="00933EA2">
      <w:pPr>
        <w:keepNext/>
        <w:keepLines/>
        <w:tabs>
          <w:tab w:val="left" w:pos="225"/>
        </w:tabs>
        <w:jc w:val="center"/>
        <w:rPr>
          <w:b/>
          <w:bCs/>
        </w:rPr>
      </w:pPr>
      <w:r>
        <w:rPr>
          <w:b/>
          <w:bCs/>
        </w:rPr>
        <w:t xml:space="preserve">Člen 9</w:t>
      </w:r>
    </w:p>
    <w:p w14:paraId="2DE1EFDB" w14:textId="77777777" w:rsidR="007E61D1" w:rsidRPr="00933EA2" w:rsidRDefault="007E61D1" w:rsidP="00933EA2">
      <w:pPr>
        <w:keepNext/>
        <w:keepLines/>
        <w:tabs>
          <w:tab w:val="left" w:pos="225"/>
        </w:tabs>
        <w:jc w:val="both"/>
        <w:rPr>
          <w:bCs/>
        </w:rPr>
      </w:pPr>
    </w:p>
    <w:p w14:paraId="4FBB75B5" w14:textId="07D9D852" w:rsidR="007E61D1" w:rsidRPr="00933EA2" w:rsidRDefault="007E61D1" w:rsidP="00933EA2">
      <w:pPr>
        <w:tabs>
          <w:tab w:val="left" w:pos="225"/>
        </w:tabs>
        <w:jc w:val="both"/>
        <w:rPr>
          <w:bCs/>
        </w:rPr>
      </w:pPr>
      <w:r>
        <w:t xml:space="preserve">O sklepu organa se prireditelja obvesti v dveh mesecih po prejemu njegove promocijske strategije.</w:t>
      </w:r>
      <w:r>
        <w:t xml:space="preserve"> </w:t>
      </w:r>
      <w:r>
        <w:t xml:space="preserve">Po potrebi se v sklepu opredelijo pogoji, pod katerimi se promocijska strategija odobri.</w:t>
      </w:r>
      <w:r>
        <w:t xml:space="preserve"> </w:t>
      </w:r>
    </w:p>
    <w:p w14:paraId="659F6FBA" w14:textId="77777777" w:rsidR="007E61D1" w:rsidRPr="00933EA2" w:rsidRDefault="007E61D1" w:rsidP="00933EA2">
      <w:pPr>
        <w:tabs>
          <w:tab w:val="left" w:pos="225"/>
        </w:tabs>
        <w:jc w:val="both"/>
        <w:rPr>
          <w:bCs/>
        </w:rPr>
      </w:pPr>
    </w:p>
    <w:p w14:paraId="308E1DA5" w14:textId="77777777" w:rsidR="007E61D1" w:rsidRPr="00933EA2" w:rsidRDefault="007E61D1" w:rsidP="00933EA2">
      <w:pPr>
        <w:keepNext/>
        <w:keepLines/>
        <w:tabs>
          <w:tab w:val="left" w:pos="225"/>
        </w:tabs>
        <w:jc w:val="center"/>
        <w:rPr>
          <w:b/>
          <w:bCs/>
        </w:rPr>
      </w:pPr>
      <w:r>
        <w:rPr>
          <w:b/>
          <w:bCs/>
        </w:rPr>
        <w:t xml:space="preserve">Člen 10</w:t>
      </w:r>
    </w:p>
    <w:p w14:paraId="57140C12" w14:textId="77777777" w:rsidR="007E61D1" w:rsidRPr="00933EA2" w:rsidRDefault="007E61D1" w:rsidP="00933EA2">
      <w:pPr>
        <w:keepNext/>
        <w:keepLines/>
        <w:tabs>
          <w:tab w:val="left" w:pos="225"/>
        </w:tabs>
        <w:jc w:val="both"/>
        <w:rPr>
          <w:bCs/>
        </w:rPr>
      </w:pPr>
    </w:p>
    <w:p w14:paraId="371FF32B" w14:textId="77777777" w:rsidR="007E61D1" w:rsidRPr="00933EA2" w:rsidRDefault="007E61D1" w:rsidP="00933EA2">
      <w:pPr>
        <w:tabs>
          <w:tab w:val="left" w:pos="225"/>
        </w:tabs>
        <w:jc w:val="both"/>
        <w:rPr>
          <w:bCs/>
        </w:rPr>
      </w:pPr>
      <w:r>
        <w:t xml:space="preserve">V primeru, da želi prireditelj svojo promocijsko strategijo spremeniti med letom, o tem obvesti Nacionalni organ za igre na srečo najpozneje dva meseca pred izvedbo dejavnosti ali ukrepov, povezanih s spremembo.</w:t>
      </w:r>
      <w:r>
        <w:t xml:space="preserve"> </w:t>
      </w:r>
      <w:r>
        <w:t xml:space="preserve">Ob upoštevanju določb člena 8 organ odloči o predlaganih spremembah v dveh mesecih po prejemu uradnega obvestila.</w:t>
      </w:r>
    </w:p>
    <w:p w14:paraId="5FC09049" w14:textId="77777777" w:rsidR="007E61D1" w:rsidRPr="00933EA2" w:rsidRDefault="007E61D1" w:rsidP="00933EA2">
      <w:pPr>
        <w:tabs>
          <w:tab w:val="left" w:pos="225"/>
        </w:tabs>
        <w:jc w:val="both"/>
        <w:rPr>
          <w:bCs/>
        </w:rPr>
      </w:pPr>
    </w:p>
    <w:p w14:paraId="796C2E49" w14:textId="7CC25C8B" w:rsidR="007E61D1" w:rsidRPr="00933EA2" w:rsidRDefault="00DD75EA" w:rsidP="00933EA2">
      <w:pPr>
        <w:keepNext/>
        <w:keepLines/>
        <w:tabs>
          <w:tab w:val="left" w:pos="225"/>
        </w:tabs>
        <w:jc w:val="center"/>
        <w:rPr>
          <w:bCs/>
        </w:rPr>
      </w:pPr>
      <w:r>
        <w:rPr>
          <w:b/>
        </w:rPr>
        <w:t xml:space="preserve">NASLOV III:</w:t>
      </w:r>
      <w:r>
        <w:rPr>
          <w:b/>
        </w:rPr>
        <w:t xml:space="preserve"> </w:t>
      </w:r>
      <w:r>
        <w:rPr>
          <w:b/>
        </w:rPr>
        <w:t xml:space="preserve">POSTOPKI CERTIFIKACIJE</w:t>
      </w:r>
    </w:p>
    <w:p w14:paraId="4638AAB1" w14:textId="77777777" w:rsidR="007E61D1" w:rsidRPr="00933EA2" w:rsidRDefault="007E61D1" w:rsidP="00933EA2">
      <w:pPr>
        <w:pStyle w:val="BodyText"/>
        <w:keepNext/>
        <w:keepLines/>
      </w:pPr>
    </w:p>
    <w:p w14:paraId="06F93207" w14:textId="77777777" w:rsidR="00DD75EA" w:rsidRPr="00933EA2" w:rsidRDefault="00DD75EA" w:rsidP="00933EA2">
      <w:pPr>
        <w:keepNext/>
        <w:keepLines/>
        <w:rPr>
          <w:b/>
        </w:rPr>
      </w:pPr>
      <w:r>
        <w:rPr>
          <w:b/>
        </w:rPr>
        <w:t xml:space="preserve">POGLAVJE 1 – POGOJI ZA VPIS NA SEZNAM CERTIFIKACIJSKIH ORGANOV</w:t>
      </w:r>
      <w:r>
        <w:rPr>
          <w:b/>
        </w:rPr>
        <w:t xml:space="preserve"> </w:t>
      </w:r>
    </w:p>
    <w:p w14:paraId="2100F556" w14:textId="77777777" w:rsidR="00DD75EA" w:rsidRPr="00933EA2" w:rsidRDefault="00DD75EA" w:rsidP="00933EA2">
      <w:pPr>
        <w:keepNext/>
        <w:keepLines/>
        <w:rPr>
          <w:b/>
        </w:rPr>
      </w:pPr>
    </w:p>
    <w:p w14:paraId="3CD09FF6" w14:textId="77777777" w:rsidR="00DD75EA" w:rsidRPr="00933EA2" w:rsidRDefault="00DD75EA" w:rsidP="00933EA2">
      <w:pPr>
        <w:keepNext/>
        <w:keepLines/>
        <w:jc w:val="center"/>
        <w:rPr>
          <w:b/>
        </w:rPr>
      </w:pPr>
      <w:r>
        <w:rPr>
          <w:b/>
        </w:rPr>
        <w:t xml:space="preserve">Člen 11</w:t>
      </w:r>
    </w:p>
    <w:p w14:paraId="2A95714B" w14:textId="77777777" w:rsidR="00DD75EA" w:rsidRPr="00933EA2" w:rsidRDefault="00DD75EA" w:rsidP="00933EA2">
      <w:pPr>
        <w:keepNext/>
        <w:keepLines/>
        <w:rPr>
          <w:b/>
        </w:rPr>
      </w:pPr>
    </w:p>
    <w:p w14:paraId="42280451" w14:textId="77777777" w:rsidR="00DD75EA" w:rsidRPr="00933EA2" w:rsidRDefault="00DD75EA" w:rsidP="00933EA2">
      <w:pPr>
        <w:jc w:val="both"/>
      </w:pPr>
      <w:r>
        <w:t xml:space="preserve">Nacionalni organ za igre na srečo pripravi in posodablja seznam organov, pooblaščenih za izvajanje certifikacijskih nalog iz odstavkov II in III člena 23 zgoraj omenjenega zakona z dne 12. maja 2010.</w:t>
      </w:r>
      <w:r>
        <w:t xml:space="preserve"> </w:t>
      </w:r>
    </w:p>
    <w:p w14:paraId="143A6880" w14:textId="77777777" w:rsidR="00DD75EA" w:rsidRPr="00933EA2" w:rsidRDefault="00DD75EA" w:rsidP="00933EA2">
      <w:pPr>
        <w:jc w:val="both"/>
      </w:pPr>
      <w:r>
        <w:t xml:space="preserve">Ta seznam je objavljen na spletnem mestu Nacionalnega organa za igre na srečo.</w:t>
      </w:r>
      <w:r>
        <w:t xml:space="preserve"> </w:t>
      </w:r>
    </w:p>
    <w:p w14:paraId="1FC7BE82" w14:textId="77777777" w:rsidR="00DD75EA" w:rsidRPr="00933EA2" w:rsidRDefault="00DD75EA" w:rsidP="00933EA2">
      <w:pPr>
        <w:jc w:val="both"/>
      </w:pPr>
    </w:p>
    <w:p w14:paraId="4CE44A0E" w14:textId="77777777" w:rsidR="00DD75EA" w:rsidRPr="00933EA2" w:rsidRDefault="00DD75EA" w:rsidP="00933EA2">
      <w:pPr>
        <w:keepNext/>
        <w:keepLines/>
        <w:jc w:val="center"/>
        <w:rPr>
          <w:b/>
        </w:rPr>
      </w:pPr>
      <w:r>
        <w:rPr>
          <w:b/>
        </w:rPr>
        <w:t xml:space="preserve">Člen 12</w:t>
      </w:r>
    </w:p>
    <w:p w14:paraId="6CF9EA34" w14:textId="77777777" w:rsidR="00DD75EA" w:rsidRPr="00933EA2" w:rsidRDefault="00DD75EA" w:rsidP="00933EA2">
      <w:pPr>
        <w:keepNext/>
        <w:keepLines/>
        <w:rPr>
          <w:b/>
        </w:rPr>
      </w:pPr>
    </w:p>
    <w:p w14:paraId="4A9AB50A" w14:textId="77777777" w:rsidR="00DD75EA" w:rsidRPr="00933EA2" w:rsidRDefault="00DD75EA" w:rsidP="00933EA2">
      <w:pPr>
        <w:jc w:val="both"/>
      </w:pPr>
      <w:r>
        <w:t xml:space="preserve">Na seznam iz člena 11 so lahko vpišejo le organi:</w:t>
      </w:r>
      <w:r>
        <w:t xml:space="preserve"> </w:t>
      </w:r>
    </w:p>
    <w:p w14:paraId="2C202D0E" w14:textId="77777777" w:rsidR="00DD75EA" w:rsidRPr="00933EA2" w:rsidRDefault="00DD75EA" w:rsidP="00933EA2">
      <w:pPr>
        <w:pStyle w:val="ListParagraph"/>
        <w:numPr>
          <w:ilvl w:val="0"/>
          <w:numId w:val="3"/>
        </w:numPr>
        <w:spacing w:after="200" w:line="276" w:lineRule="auto"/>
        <w:jc w:val="both"/>
      </w:pPr>
      <w:r>
        <w:t xml:space="preserve">s sedežem v državi članici Evropske unije ali državi pogodbenici Sporazuma o Evropskem gospodarskem prostoru;</w:t>
      </w:r>
      <w:r>
        <w:t xml:space="preserve"> </w:t>
      </w:r>
    </w:p>
    <w:p w14:paraId="696D458E" w14:textId="77777777" w:rsidR="00DD75EA" w:rsidRPr="00933EA2" w:rsidRDefault="00DD75EA" w:rsidP="00933EA2">
      <w:pPr>
        <w:pStyle w:val="ListParagraph"/>
        <w:numPr>
          <w:ilvl w:val="0"/>
          <w:numId w:val="3"/>
        </w:numPr>
        <w:spacing w:after="200" w:line="276" w:lineRule="auto"/>
        <w:jc w:val="both"/>
      </w:pPr>
      <w:r>
        <w:t xml:space="preserve">ki imajo zadostno znanje in ustrezno usposobljeno osebje;</w:t>
      </w:r>
      <w:r>
        <w:t xml:space="preserve"> </w:t>
      </w:r>
    </w:p>
    <w:p w14:paraId="20123FC4" w14:textId="131ED45B" w:rsidR="00DD75EA" w:rsidRPr="00933EA2" w:rsidRDefault="00DD75EA" w:rsidP="00933EA2">
      <w:pPr>
        <w:pStyle w:val="ListParagraph"/>
        <w:numPr>
          <w:ilvl w:val="0"/>
          <w:numId w:val="3"/>
        </w:numPr>
        <w:spacing w:after="200" w:line="276" w:lineRule="auto"/>
        <w:jc w:val="both"/>
      </w:pPr>
      <w:r>
        <w:t xml:space="preserve">ki svoje certifikacijske naloge opravljajo povsem neodvisno in nepristransko, zlasti v skladu z določbami člena 17.</w:t>
      </w:r>
      <w:r>
        <w:t xml:space="preserve"> </w:t>
      </w:r>
    </w:p>
    <w:p w14:paraId="7724FA3F" w14:textId="77777777" w:rsidR="00DD75EA" w:rsidRPr="00933EA2" w:rsidRDefault="00DD75EA" w:rsidP="00933EA2">
      <w:pPr>
        <w:pStyle w:val="ListParagraph"/>
        <w:ind w:left="1065"/>
        <w:jc w:val="both"/>
      </w:pPr>
    </w:p>
    <w:p w14:paraId="60A13DFE" w14:textId="77777777" w:rsidR="00DD75EA" w:rsidRPr="00933EA2" w:rsidRDefault="00DD75EA" w:rsidP="00933EA2">
      <w:pPr>
        <w:keepNext/>
        <w:keepLines/>
        <w:jc w:val="center"/>
        <w:rPr>
          <w:b/>
        </w:rPr>
      </w:pPr>
      <w:r>
        <w:rPr>
          <w:b/>
        </w:rPr>
        <w:t xml:space="preserve">Člen 13</w:t>
      </w:r>
    </w:p>
    <w:p w14:paraId="24D423E6" w14:textId="77777777" w:rsidR="00DD75EA" w:rsidRPr="00933EA2" w:rsidRDefault="00DD75EA" w:rsidP="00933EA2">
      <w:pPr>
        <w:keepNext/>
        <w:keepLines/>
        <w:rPr>
          <w:b/>
        </w:rPr>
      </w:pPr>
    </w:p>
    <w:p w14:paraId="23B39F27" w14:textId="2DA08637" w:rsidR="00DD75EA" w:rsidRPr="00933EA2" w:rsidRDefault="00DD75EA" w:rsidP="00933EA2">
      <w:pPr>
        <w:jc w:val="both"/>
      </w:pPr>
      <w:r>
        <w:t xml:space="preserve">Dokumentacija zahtevka za vpis na seznam certifikacijskih organov se pripravi v francoščini.</w:t>
      </w:r>
      <w:r>
        <w:t xml:space="preserve"> </w:t>
      </w:r>
      <w:r>
        <w:t xml:space="preserve">Pošlje se Nacionalnemu organu za igre na srečo prek elektronske ali navadne pošte ali se v zameno za potrdilo o prejemu dostavi na sedež organa.</w:t>
      </w:r>
      <w:r>
        <w:t xml:space="preserve"> </w:t>
      </w:r>
      <w:r>
        <w:t xml:space="preserve">Nacionalni organ za igre na srečo potrdi prejem dokumentacije na kakršen koli način in izvede vpis.</w:t>
      </w:r>
    </w:p>
    <w:p w14:paraId="3CED70A9" w14:textId="77777777" w:rsidR="00DD75EA" w:rsidRPr="00933EA2" w:rsidRDefault="00DD75EA" w:rsidP="00933EA2">
      <w:pPr>
        <w:jc w:val="both"/>
      </w:pPr>
    </w:p>
    <w:p w14:paraId="7C07E6E5" w14:textId="77777777" w:rsidR="00DD75EA" w:rsidRPr="00933EA2" w:rsidRDefault="00DD75EA" w:rsidP="00933EA2">
      <w:pPr>
        <w:keepNext/>
        <w:keepLines/>
        <w:jc w:val="center"/>
        <w:rPr>
          <w:b/>
        </w:rPr>
      </w:pPr>
      <w:r>
        <w:rPr>
          <w:b/>
        </w:rPr>
        <w:t xml:space="preserve">Člen 14</w:t>
      </w:r>
    </w:p>
    <w:p w14:paraId="5631E7C9" w14:textId="77777777" w:rsidR="00DD75EA" w:rsidRPr="00933EA2" w:rsidRDefault="00DD75EA" w:rsidP="00933EA2">
      <w:pPr>
        <w:keepNext/>
        <w:keepLines/>
        <w:jc w:val="both"/>
        <w:rPr>
          <w:b/>
        </w:rPr>
      </w:pPr>
    </w:p>
    <w:p w14:paraId="5395E8F4" w14:textId="77777777" w:rsidR="00DD75EA" w:rsidRPr="00933EA2" w:rsidRDefault="00DD75EA" w:rsidP="00933EA2">
      <w:pPr>
        <w:jc w:val="both"/>
      </w:pPr>
      <w:r>
        <w:t xml:space="preserve">Zahtevek za vpis na seznam certifikacijskih organov Nacionalni organ za igre na srečo prouči v dveh mesecih od datuma prejema.</w:t>
      </w:r>
      <w:r>
        <w:t xml:space="preserve"> </w:t>
      </w:r>
    </w:p>
    <w:p w14:paraId="3916B7CD" w14:textId="77777777" w:rsidR="00DD75EA" w:rsidRPr="00933EA2" w:rsidRDefault="00DD75EA" w:rsidP="00933EA2">
      <w:pPr>
        <w:jc w:val="both"/>
      </w:pPr>
      <w:r>
        <w:t xml:space="preserve">Dokumentacija zahtevka za vpis vključuje vse elemente, ki Nacionalnemu organu za igre na srečo omogočajo oceno tega, ali ima vložnik zahtevka zahtevane kakovosti, ki so potrebne za vpis na seznam certifikacijskih organov, in sicer:</w:t>
      </w:r>
    </w:p>
    <w:p w14:paraId="3796012D" w14:textId="77777777" w:rsidR="00DD75EA" w:rsidRPr="00933EA2" w:rsidRDefault="00DD75EA" w:rsidP="00933EA2">
      <w:pPr>
        <w:pStyle w:val="ListParagraph"/>
        <w:numPr>
          <w:ilvl w:val="0"/>
          <w:numId w:val="3"/>
        </w:numPr>
        <w:spacing w:after="200" w:line="276" w:lineRule="auto"/>
        <w:jc w:val="both"/>
      </w:pPr>
      <w:r>
        <w:t xml:space="preserve">dokument, iz katerega so razvidne reference o storitvah, ki jih je vložnik zahtevka izvedel na strokovnih področjih, podobnih tistim, ki se obravnavajo v okviru certifikacije, in obdobju izvajanja teh storitev;</w:t>
      </w:r>
    </w:p>
    <w:p w14:paraId="10B7DCB0" w14:textId="77777777" w:rsidR="00DD75EA" w:rsidRPr="00933EA2" w:rsidRDefault="00DD75EA" w:rsidP="00933EA2">
      <w:pPr>
        <w:pStyle w:val="ListParagraph"/>
        <w:numPr>
          <w:ilvl w:val="0"/>
          <w:numId w:val="3"/>
        </w:numPr>
        <w:spacing w:after="200" w:line="276" w:lineRule="auto"/>
        <w:jc w:val="both"/>
      </w:pPr>
      <w:r>
        <w:t xml:space="preserve">seznam oseb, ki se ukvarjajo s postopki certifikacije, in njihov podroben življenjepis;</w:t>
      </w:r>
      <w:r>
        <w:t xml:space="preserve"> </w:t>
      </w:r>
    </w:p>
    <w:p w14:paraId="789A0E65" w14:textId="77777777" w:rsidR="00DD75EA" w:rsidRPr="00933EA2" w:rsidRDefault="00DD75EA" w:rsidP="00933EA2">
      <w:pPr>
        <w:pStyle w:val="ListParagraph"/>
        <w:numPr>
          <w:ilvl w:val="0"/>
          <w:numId w:val="3"/>
        </w:numPr>
        <w:spacing w:after="200" w:line="276" w:lineRule="auto"/>
        <w:jc w:val="both"/>
      </w:pPr>
      <w:r>
        <w:t xml:space="preserve">„standardna“ poročila o analizi, v katerih so izpostavljene uporabljene metodologije in globina analiz, izvedenih na področju uporabe intruzivnih revizij in revizij konfiguracije platforme gostovanja.</w:t>
      </w:r>
    </w:p>
    <w:p w14:paraId="49273D50" w14:textId="77777777" w:rsidR="00DD75EA" w:rsidRPr="00933EA2" w:rsidRDefault="00DD75EA" w:rsidP="00933EA2">
      <w:pPr>
        <w:jc w:val="both"/>
      </w:pPr>
      <w:r>
        <w:t xml:space="preserve">Če dokumentacija zahtevka ni popolna, se vložnika zahtevka pozove, naj v roku, ki ne sme biti krajši od petnajstih dni, pošlje manjkajoči del ali dele.</w:t>
      </w:r>
      <w:r>
        <w:t xml:space="preserve"> </w:t>
      </w:r>
    </w:p>
    <w:p w14:paraId="01681363" w14:textId="77777777" w:rsidR="00DD75EA" w:rsidRPr="00933EA2" w:rsidRDefault="00DD75EA" w:rsidP="00933EA2">
      <w:pPr>
        <w:jc w:val="both"/>
      </w:pPr>
      <w:r>
        <w:t xml:space="preserve">V tem roku se obravnava zahtevka za vpis začasno prekine.</w:t>
      </w:r>
      <w:r>
        <w:t xml:space="preserve"> </w:t>
      </w:r>
      <w:r>
        <w:t xml:space="preserve">Če zahtevek ob izteku roka ostane nepopoln, Nacionalni organ za igre na srečo odloči, da je zahtevek za vpis nedopusten.</w:t>
      </w:r>
    </w:p>
    <w:p w14:paraId="10BC70F8" w14:textId="77777777" w:rsidR="00DD75EA" w:rsidRPr="00933EA2" w:rsidRDefault="00DD75EA" w:rsidP="00933EA2">
      <w:pPr>
        <w:jc w:val="both"/>
      </w:pPr>
      <w:r>
        <w:t xml:space="preserve">Med obravnavo mora vložnik zahtevka na zahtevo Nacionalnega organa za igre na srečo zagotoviti kakršne koli informacije za razlago elementov, ki jih vključuje predložena dokumentacija.</w:t>
      </w:r>
      <w:r>
        <w:t xml:space="preserve"> </w:t>
      </w:r>
      <w:r>
        <w:t xml:space="preserve">Poleg tega lahko Nacionalni organ za igre na srečo vlagatelja zahtevka zasliši.</w:t>
      </w:r>
      <w:r>
        <w:t xml:space="preserve"> </w:t>
      </w:r>
    </w:p>
    <w:p w14:paraId="28468FD2" w14:textId="77777777" w:rsidR="00DD75EA" w:rsidRPr="00933EA2" w:rsidRDefault="00DD75EA" w:rsidP="00933EA2">
      <w:pPr>
        <w:jc w:val="both"/>
      </w:pPr>
    </w:p>
    <w:p w14:paraId="36083355" w14:textId="77777777" w:rsidR="00DD75EA" w:rsidRPr="00933EA2" w:rsidRDefault="00DD75EA" w:rsidP="00933EA2">
      <w:pPr>
        <w:keepNext/>
        <w:keepLines/>
        <w:jc w:val="center"/>
        <w:rPr>
          <w:b/>
        </w:rPr>
      </w:pPr>
      <w:r>
        <w:rPr>
          <w:b/>
        </w:rPr>
        <w:t xml:space="preserve">Člen 15</w:t>
      </w:r>
    </w:p>
    <w:p w14:paraId="73A6235F" w14:textId="77777777" w:rsidR="00DD75EA" w:rsidRPr="00933EA2" w:rsidRDefault="00DD75EA" w:rsidP="00933EA2">
      <w:pPr>
        <w:keepNext/>
        <w:keepLines/>
        <w:rPr>
          <w:b/>
        </w:rPr>
      </w:pPr>
    </w:p>
    <w:p w14:paraId="47A7F3CA" w14:textId="77777777" w:rsidR="00DD75EA" w:rsidRPr="00933EA2" w:rsidRDefault="00DD75EA" w:rsidP="00933EA2">
      <w:pPr>
        <w:jc w:val="both"/>
      </w:pPr>
      <w:r>
        <w:t xml:space="preserve">Vpis na seznamu certifikacijskih organov velja pet let.</w:t>
      </w:r>
      <w:r>
        <w:t xml:space="preserve"> </w:t>
      </w:r>
      <w:r>
        <w:t xml:space="preserve">Mogoče ga je podaljšati.</w:t>
      </w:r>
      <w:r>
        <w:t xml:space="preserve"> </w:t>
      </w:r>
    </w:p>
    <w:p w14:paraId="11406507" w14:textId="77777777" w:rsidR="00DD75EA" w:rsidRPr="00933EA2" w:rsidRDefault="00DD75EA" w:rsidP="00933EA2">
      <w:pPr>
        <w:jc w:val="both"/>
      </w:pPr>
      <w:r>
        <w:t xml:space="preserve">V sklepu o vpisu se po potrebi določijo posebne obveznosti, ki jih imajo certifikacijski organi.</w:t>
      </w:r>
      <w:r>
        <w:t xml:space="preserve"> </w:t>
      </w:r>
    </w:p>
    <w:p w14:paraId="6E706C72" w14:textId="77777777" w:rsidR="00DD75EA" w:rsidRPr="00933EA2" w:rsidRDefault="00DD75EA" w:rsidP="00933EA2">
      <w:pPr>
        <w:jc w:val="both"/>
      </w:pPr>
      <w:r>
        <w:t xml:space="preserve">Vsak sklep o zavrnitvi mora biti obrazložen in posredovan zainteresirani osebi na kakršen koli način, ki omogoča opredelitev datuma prejema.</w:t>
      </w:r>
      <w:r>
        <w:t xml:space="preserve"> </w:t>
      </w:r>
    </w:p>
    <w:p w14:paraId="07C8A19F" w14:textId="77777777" w:rsidR="00DD75EA" w:rsidRPr="00933EA2" w:rsidRDefault="00DD75EA" w:rsidP="00933EA2">
      <w:pPr>
        <w:rPr>
          <w:b/>
        </w:rPr>
      </w:pPr>
    </w:p>
    <w:p w14:paraId="36ED0FA1" w14:textId="77777777" w:rsidR="00DD75EA" w:rsidRPr="00933EA2" w:rsidRDefault="00DD75EA" w:rsidP="00933EA2">
      <w:pPr>
        <w:keepNext/>
        <w:keepLines/>
        <w:jc w:val="center"/>
        <w:rPr>
          <w:b/>
        </w:rPr>
      </w:pPr>
      <w:r>
        <w:rPr>
          <w:b/>
        </w:rPr>
        <w:t xml:space="preserve">POGLAVJE 2 – OBVEZNOSTI CERTIFIKACIJSKIH ORGANOV</w:t>
      </w:r>
    </w:p>
    <w:p w14:paraId="3F7D562D" w14:textId="77777777" w:rsidR="00DD75EA" w:rsidRPr="00933EA2" w:rsidRDefault="00DD75EA" w:rsidP="00933EA2">
      <w:pPr>
        <w:keepNext/>
        <w:keepLines/>
        <w:rPr>
          <w:b/>
        </w:rPr>
      </w:pPr>
    </w:p>
    <w:p w14:paraId="465FC926" w14:textId="3AC4548B" w:rsidR="00DD75EA" w:rsidRPr="00933EA2" w:rsidRDefault="00DD75EA" w:rsidP="00933EA2">
      <w:pPr>
        <w:keepNext/>
        <w:keepLines/>
        <w:jc w:val="center"/>
        <w:rPr>
          <w:b/>
        </w:rPr>
      </w:pPr>
      <w:r>
        <w:rPr>
          <w:b/>
        </w:rPr>
        <w:t xml:space="preserve">Člen 16</w:t>
      </w:r>
    </w:p>
    <w:p w14:paraId="63B4979C" w14:textId="77777777" w:rsidR="00DD75EA" w:rsidRPr="00933EA2" w:rsidRDefault="00DD75EA" w:rsidP="00933EA2">
      <w:pPr>
        <w:keepNext/>
        <w:keepLines/>
        <w:rPr>
          <w:b/>
        </w:rPr>
      </w:pPr>
    </w:p>
    <w:p w14:paraId="22292F97" w14:textId="77777777" w:rsidR="00DD75EA" w:rsidRPr="00933EA2" w:rsidRDefault="00DD75EA" w:rsidP="00933EA2">
      <w:pPr>
        <w:jc w:val="both"/>
      </w:pPr>
      <w:r>
        <w:t xml:space="preserve">Organ, vpisan na seznam certifikacijskih organov, certifikacijske naloge, ki so mu bile zaupane, izpolnjuje v skladu z najnovejšimi dosežki na zadevnem področju.</w:t>
      </w:r>
      <w:r>
        <w:t xml:space="preserve"> </w:t>
      </w:r>
    </w:p>
    <w:p w14:paraId="21136742" w14:textId="77777777" w:rsidR="00DD75EA" w:rsidRPr="00933EA2" w:rsidRDefault="00DD75EA" w:rsidP="00933EA2">
      <w:pPr>
        <w:jc w:val="both"/>
      </w:pPr>
      <w:r>
        <w:t xml:space="preserve">Kopija certifikacijske pogodbe, sklenjene med certifikacijskim organom in prirediteljem, ki je predmet certifikacije, se pred izvedbo certifikacije pošlje Nacionalnemu organu za igre na srečo.</w:t>
      </w:r>
    </w:p>
    <w:p w14:paraId="006D19AF" w14:textId="77777777" w:rsidR="00DD75EA" w:rsidRPr="00933EA2" w:rsidRDefault="00DD75EA" w:rsidP="00933EA2">
      <w:pPr>
        <w:jc w:val="both"/>
      </w:pPr>
    </w:p>
    <w:p w14:paraId="747F05B8" w14:textId="18EC357C" w:rsidR="00DD75EA" w:rsidRPr="00933EA2" w:rsidRDefault="00DD75EA" w:rsidP="00933EA2">
      <w:pPr>
        <w:keepNext/>
        <w:keepLines/>
        <w:jc w:val="center"/>
        <w:rPr>
          <w:b/>
        </w:rPr>
      </w:pPr>
      <w:r>
        <w:rPr>
          <w:b/>
        </w:rPr>
        <w:t xml:space="preserve">Člen 17</w:t>
      </w:r>
    </w:p>
    <w:p w14:paraId="480B580F" w14:textId="77777777" w:rsidR="00DD75EA" w:rsidRPr="00933EA2" w:rsidRDefault="00DD75EA" w:rsidP="00933EA2">
      <w:pPr>
        <w:keepNext/>
        <w:keepLines/>
        <w:rPr>
          <w:b/>
        </w:rPr>
      </w:pPr>
    </w:p>
    <w:p w14:paraId="763E1256" w14:textId="77777777" w:rsidR="00DD75EA" w:rsidRPr="00933EA2" w:rsidRDefault="00DD75EA" w:rsidP="00933EA2">
      <w:pPr>
        <w:jc w:val="both"/>
      </w:pPr>
      <w:r>
        <w:t xml:space="preserve">Organ, vpisan na seznam certifikacijskih organov, je neodvisen od prireditelja, za katerega opravlja naloge certifikacije.</w:t>
      </w:r>
      <w:r>
        <w:t xml:space="preserve"> </w:t>
      </w:r>
    </w:p>
    <w:p w14:paraId="465253BE" w14:textId="77777777" w:rsidR="00DD75EA" w:rsidRPr="00933EA2" w:rsidRDefault="00DD75EA" w:rsidP="00933EA2">
      <w:pPr>
        <w:jc w:val="both"/>
      </w:pPr>
      <w:r>
        <w:t xml:space="preserve">Ta organ ne more opravljati certifikacijskih nalog za prireditelja spletnih iger ali stav ali za posamezno pravno osebo iz člena 137 zgoraj omenjenega zakona z dne 22. maja 2019, če je bil njegov svetovalec ali ponudnik v dvanajstih mesecih pred podpisom certifikacijske pogodbe.</w:t>
      </w:r>
      <w:r>
        <w:t xml:space="preserve"> </w:t>
      </w:r>
    </w:p>
    <w:p w14:paraId="5F638C71" w14:textId="77777777" w:rsidR="00DD75EA" w:rsidRPr="00933EA2" w:rsidRDefault="00DD75EA" w:rsidP="00933EA2">
      <w:pPr>
        <w:jc w:val="both"/>
      </w:pPr>
      <w:r>
        <w:t xml:space="preserve">Obdobje neskladnosti iz prejšnjega pododstavka se začne od najnovejšega od naslednjih dveh dogodkov:</w:t>
      </w:r>
    </w:p>
    <w:p w14:paraId="090FC4E3" w14:textId="77777777" w:rsidR="00DD75EA" w:rsidRPr="00933EA2" w:rsidRDefault="00DD75EA" w:rsidP="00933EA2">
      <w:pPr>
        <w:pStyle w:val="ListParagraph"/>
        <w:numPr>
          <w:ilvl w:val="0"/>
          <w:numId w:val="3"/>
        </w:numPr>
        <w:spacing w:after="200" w:line="276" w:lineRule="auto"/>
        <w:jc w:val="both"/>
      </w:pPr>
      <w:r>
        <w:t xml:space="preserve">zadnje storitve, ki jo je opravil certifikacijski organ v korist prireditelja, ki je predmet certifikacije;</w:t>
      </w:r>
      <w:r>
        <w:t xml:space="preserve"> </w:t>
      </w:r>
    </w:p>
    <w:p w14:paraId="3D00F947" w14:textId="77777777" w:rsidR="00DD75EA" w:rsidRPr="00933EA2" w:rsidRDefault="00DD75EA" w:rsidP="00933EA2">
      <w:pPr>
        <w:pStyle w:val="ListParagraph"/>
        <w:numPr>
          <w:ilvl w:val="0"/>
          <w:numId w:val="3"/>
        </w:numPr>
        <w:spacing w:after="200" w:line="276" w:lineRule="auto"/>
        <w:jc w:val="both"/>
      </w:pPr>
      <w:r>
        <w:t xml:space="preserve">zadnjega plačila, ki ga je certifikacijskemu organu zagotovil prireditelj, ki je predmet certifikacije.</w:t>
      </w:r>
      <w:r>
        <w:t xml:space="preserve"> </w:t>
      </w:r>
    </w:p>
    <w:p w14:paraId="6967F733" w14:textId="77777777" w:rsidR="00DD75EA" w:rsidRPr="00933EA2" w:rsidRDefault="00DD75EA" w:rsidP="00933EA2">
      <w:pPr>
        <w:jc w:val="both"/>
      </w:pPr>
      <w:r>
        <w:t xml:space="preserve">Neskladnost, predvidena v tem členu, velja pod enakimi pogoji v primeru, da je bil certifikacijski organ zastopnik ali ponudnik storitev podjetja, ki nadzira prireditelja, ki je predmet certifikacije, v smislu člena L. 233-16 Trgovinskega zakonika, ali je predmet tovrstnega nadzora.</w:t>
      </w:r>
      <w:r>
        <w:t xml:space="preserve"> </w:t>
      </w:r>
    </w:p>
    <w:p w14:paraId="54835AA2" w14:textId="77777777" w:rsidR="00DD75EA" w:rsidRPr="00933EA2" w:rsidRDefault="00DD75EA" w:rsidP="00933EA2">
      <w:pPr>
        <w:jc w:val="both"/>
      </w:pPr>
      <w:r>
        <w:t xml:space="preserve">Organ, vpisan na seznam certifikacijskih organov, Nacionalni organ za igre na srečo obvesti o pojavu kakršnih koli navzkrižij interesov v zvezi s svojo certifikacijsko dejavnostjo.</w:t>
      </w:r>
    </w:p>
    <w:p w14:paraId="4E38E366" w14:textId="77777777" w:rsidR="00DD75EA" w:rsidRPr="00933EA2" w:rsidRDefault="00DD75EA" w:rsidP="00933EA2">
      <w:pPr>
        <w:jc w:val="both"/>
      </w:pPr>
    </w:p>
    <w:p w14:paraId="7778A521" w14:textId="38CC997C" w:rsidR="00DD75EA" w:rsidRPr="00933EA2" w:rsidRDefault="00DD75EA" w:rsidP="00933EA2">
      <w:pPr>
        <w:keepNext/>
        <w:keepLines/>
        <w:jc w:val="center"/>
        <w:rPr>
          <w:b/>
        </w:rPr>
      </w:pPr>
      <w:r>
        <w:rPr>
          <w:b/>
        </w:rPr>
        <w:t xml:space="preserve">Člen 18</w:t>
      </w:r>
    </w:p>
    <w:p w14:paraId="6A63E476" w14:textId="77777777" w:rsidR="00DD75EA" w:rsidRPr="00933EA2" w:rsidRDefault="00DD75EA" w:rsidP="00933EA2">
      <w:pPr>
        <w:keepNext/>
        <w:keepLines/>
        <w:rPr>
          <w:b/>
        </w:rPr>
      </w:pPr>
    </w:p>
    <w:p w14:paraId="15407E47" w14:textId="77777777" w:rsidR="00DD75EA" w:rsidRPr="00933EA2" w:rsidRDefault="00DD75EA" w:rsidP="00933EA2">
      <w:pPr>
        <w:jc w:val="both"/>
      </w:pPr>
      <w:r>
        <w:t xml:space="preserve">Nacionalni organ za igre na srečo po potrebi z revizijo zagotovi, da certifikacijski organ še naprej izpolnjuje obveznosti, ki izhajajo iz vpisa na seznam certifikacijskih organov, zlasti glede kakovosti zagotovljenih certifikatov.</w:t>
      </w:r>
      <w:r>
        <w:t xml:space="preserve"> </w:t>
      </w:r>
    </w:p>
    <w:p w14:paraId="6639237C" w14:textId="77777777" w:rsidR="00DD75EA" w:rsidRPr="00933EA2" w:rsidRDefault="00DD75EA" w:rsidP="00933EA2">
      <w:pPr>
        <w:jc w:val="both"/>
      </w:pPr>
    </w:p>
    <w:p w14:paraId="39134701" w14:textId="1C28EFCF" w:rsidR="00DD75EA" w:rsidRPr="00933EA2" w:rsidRDefault="00DD75EA" w:rsidP="00933EA2">
      <w:pPr>
        <w:keepNext/>
        <w:keepLines/>
        <w:jc w:val="center"/>
        <w:rPr>
          <w:b/>
        </w:rPr>
      </w:pPr>
      <w:r>
        <w:rPr>
          <w:b/>
        </w:rPr>
        <w:t xml:space="preserve">Člen 19</w:t>
      </w:r>
    </w:p>
    <w:p w14:paraId="3397CDFA" w14:textId="77777777" w:rsidR="00DD75EA" w:rsidRPr="00933EA2" w:rsidRDefault="00DD75EA" w:rsidP="00933EA2">
      <w:pPr>
        <w:keepNext/>
        <w:keepLines/>
        <w:rPr>
          <w:b/>
        </w:rPr>
      </w:pPr>
    </w:p>
    <w:p w14:paraId="61C5B6C7" w14:textId="77777777" w:rsidR="00DD75EA" w:rsidRPr="00933EA2" w:rsidRDefault="00DD75EA" w:rsidP="00933EA2">
      <w:pPr>
        <w:jc w:val="both"/>
      </w:pPr>
      <w:r>
        <w:t xml:space="preserve">Organ, vpisan na seznam certifikacijskih organov, Nacionalnemu organu za igre na srečo nemudoma sporoči vse spremembe, ki vplivajo na informacije, ki so sestavni del zahtevka za vpis.</w:t>
      </w:r>
      <w:r>
        <w:t xml:space="preserve"> </w:t>
      </w:r>
    </w:p>
    <w:p w14:paraId="7901CAA7" w14:textId="77777777" w:rsidR="00DD75EA" w:rsidRPr="00933EA2" w:rsidRDefault="00DD75EA" w:rsidP="00933EA2">
      <w:pPr>
        <w:jc w:val="both"/>
      </w:pPr>
      <w:r>
        <w:t xml:space="preserve">Če organ ne izpolnjuje več pogojev za vpis na seznam certifikacijskih organov ali obveznosti, v zvezi s katerimi je vpisan, ga lahko Nacionalni organ za igre na srečo umakne s seznama.</w:t>
      </w:r>
      <w:r>
        <w:t xml:space="preserve"> </w:t>
      </w:r>
    </w:p>
    <w:p w14:paraId="54C86B1E" w14:textId="77777777" w:rsidR="00DD75EA" w:rsidRPr="00933EA2" w:rsidRDefault="00DD75EA" w:rsidP="00933EA2">
      <w:pPr>
        <w:jc w:val="both"/>
      </w:pPr>
      <w:r>
        <w:t xml:space="preserve">Nacionalni organ za igre na srečo zainteresirano osebo pred tem umikom na kakršen koli način, ki omogoča opredelitev datuma prejema teh informacij, obvesti, da ga namerava umakniti s seznama certifikacijskih organov, in ga pozove k predložitvi pisnih pripomb v roku, ki ne sme biti krajši od petnajstih dni.</w:t>
      </w:r>
    </w:p>
    <w:p w14:paraId="27C240E1" w14:textId="77777777" w:rsidR="00DD75EA" w:rsidRPr="00933EA2" w:rsidRDefault="00DD75EA" w:rsidP="00933EA2">
      <w:pPr>
        <w:jc w:val="both"/>
      </w:pPr>
      <w:r>
        <w:t xml:space="preserve">Sklep o umiku mora biti obrazložen in posredovan zainteresirani osebi na kakršen koli način, ki omogoča opredelitev datuma prejema.</w:t>
      </w:r>
      <w:r>
        <w:t xml:space="preserve"> </w:t>
      </w:r>
    </w:p>
    <w:p w14:paraId="623FCF8D" w14:textId="77777777" w:rsidR="00DD75EA" w:rsidRPr="00933EA2" w:rsidRDefault="00DD75EA" w:rsidP="00933EA2">
      <w:pPr>
        <w:jc w:val="both"/>
      </w:pPr>
      <w:r>
        <w:t xml:space="preserve">Seznam certifikacijskih organov se nato ustrezno posodobi.</w:t>
      </w:r>
    </w:p>
    <w:p w14:paraId="450A4FEE" w14:textId="77777777" w:rsidR="00DD75EA" w:rsidRPr="00933EA2" w:rsidRDefault="00DD75EA" w:rsidP="00933EA2">
      <w:pPr>
        <w:jc w:val="both"/>
      </w:pPr>
      <w:r>
        <w:t xml:space="preserve"> </w:t>
      </w:r>
    </w:p>
    <w:p w14:paraId="37A93308" w14:textId="77777777" w:rsidR="00DD75EA" w:rsidRPr="00933EA2" w:rsidRDefault="00DD75EA" w:rsidP="00933EA2">
      <w:pPr>
        <w:keepNext/>
        <w:keepLines/>
        <w:jc w:val="center"/>
        <w:rPr>
          <w:b/>
        </w:rPr>
      </w:pPr>
      <w:r>
        <w:rPr>
          <w:b/>
        </w:rPr>
        <w:t xml:space="preserve">POGLAVJE 3 – CERTIFIKACIJSKE DEJAVNOSTI</w:t>
      </w:r>
    </w:p>
    <w:p w14:paraId="71177E03" w14:textId="77777777" w:rsidR="00DD75EA" w:rsidRPr="00933EA2" w:rsidRDefault="00DD75EA" w:rsidP="00933EA2">
      <w:pPr>
        <w:keepNext/>
        <w:keepLines/>
        <w:rPr>
          <w:b/>
        </w:rPr>
      </w:pPr>
    </w:p>
    <w:p w14:paraId="2D4A3D91" w14:textId="69848FCB" w:rsidR="00DD75EA" w:rsidRPr="00933EA2" w:rsidRDefault="00DD75EA" w:rsidP="00933EA2">
      <w:pPr>
        <w:keepNext/>
        <w:keepLines/>
        <w:jc w:val="center"/>
        <w:rPr>
          <w:b/>
        </w:rPr>
      </w:pPr>
      <w:r>
        <w:rPr>
          <w:b/>
        </w:rPr>
        <w:t xml:space="preserve">Člen 20</w:t>
      </w:r>
    </w:p>
    <w:p w14:paraId="14289C8D" w14:textId="77777777" w:rsidR="00DD75EA" w:rsidRPr="00933EA2" w:rsidRDefault="00DD75EA" w:rsidP="00933EA2">
      <w:pPr>
        <w:keepNext/>
        <w:keepLines/>
        <w:rPr>
          <w:b/>
        </w:rPr>
      </w:pPr>
    </w:p>
    <w:p w14:paraId="750A7B87" w14:textId="77777777" w:rsidR="00DD75EA" w:rsidRPr="00933EA2" w:rsidRDefault="00DD75EA" w:rsidP="00933EA2">
      <w:pPr>
        <w:jc w:val="both"/>
      </w:pPr>
      <w:r>
        <w:t xml:space="preserve">V skladu z določbami člena 23 zgoraj omenjenega zakona z dne 12. maja 2010 se certifikacijske dejavnosti nanašajo na skladnost prireditelja z vsemi tehničnimi obveznostmi, ki se uporabljajo za njegovo dejavnost.</w:t>
      </w:r>
      <w:r>
        <w:t xml:space="preserve"> </w:t>
      </w:r>
    </w:p>
    <w:p w14:paraId="2E31CDA0" w14:textId="77777777" w:rsidR="00DD75EA" w:rsidRPr="00933EA2" w:rsidRDefault="00DD75EA" w:rsidP="00933EA2">
      <w:pPr>
        <w:jc w:val="both"/>
      </w:pPr>
      <w:r>
        <w:t xml:space="preserve">Nacionalni organ za igre na srečo določi način, naravo in obseg nadzora, ki ga izvaja certifikacijski organ.</w:t>
      </w:r>
      <w:r>
        <w:t xml:space="preserve"> </w:t>
      </w:r>
    </w:p>
    <w:p w14:paraId="47AA3609" w14:textId="77777777" w:rsidR="00DD75EA" w:rsidRPr="00933EA2" w:rsidRDefault="00DD75EA" w:rsidP="00933EA2">
      <w:pPr>
        <w:jc w:val="both"/>
      </w:pPr>
    </w:p>
    <w:p w14:paraId="67E7D8F9" w14:textId="1D8D5669" w:rsidR="00DD75EA" w:rsidRPr="00933EA2" w:rsidRDefault="00DD75EA" w:rsidP="00933EA2">
      <w:pPr>
        <w:keepNext/>
        <w:keepLines/>
        <w:jc w:val="center"/>
        <w:rPr>
          <w:b/>
        </w:rPr>
      </w:pPr>
      <w:r>
        <w:rPr>
          <w:b/>
        </w:rPr>
        <w:t xml:space="preserve">Člen 21</w:t>
      </w:r>
    </w:p>
    <w:p w14:paraId="447BC344" w14:textId="77777777" w:rsidR="00DD75EA" w:rsidRPr="00933EA2" w:rsidRDefault="00DD75EA" w:rsidP="00933EA2">
      <w:pPr>
        <w:keepNext/>
        <w:keepLines/>
        <w:rPr>
          <w:b/>
        </w:rPr>
      </w:pPr>
    </w:p>
    <w:p w14:paraId="5AFED660" w14:textId="77777777" w:rsidR="00DD75EA" w:rsidRPr="00933EA2" w:rsidRDefault="00DD75EA" w:rsidP="00933EA2">
      <w:pPr>
        <w:jc w:val="both"/>
      </w:pPr>
      <w:r>
        <w:t xml:space="preserve">Analizni postopki, ki jih izvaja certifikacijski organ, se v okviru posameznega postopka certifikacije ne izvedejo večkrat: vsaka nadzorovana zahteva je predmet ene same meritve.</w:t>
      </w:r>
      <w:r>
        <w:t xml:space="preserve"> </w:t>
      </w:r>
    </w:p>
    <w:p w14:paraId="7D73166F" w14:textId="77777777" w:rsidR="00DD75EA" w:rsidRPr="00933EA2" w:rsidRDefault="00DD75EA" w:rsidP="00933EA2">
      <w:pPr>
        <w:jc w:val="both"/>
      </w:pPr>
      <w:r>
        <w:t xml:space="preserve">V času merjenja lahko med certifikacijskim organom in prirediteljem, ki je predmet certifikacije, potekajo izmenjave informacij.</w:t>
      </w:r>
      <w:r>
        <w:t xml:space="preserve"> </w:t>
      </w:r>
      <w:r>
        <w:t xml:space="preserve">Po opravljeni meritvi pa te izmenjave v nobenem primeru ne smejo privesti do tega, da bi certifikacijski organ izvedel novo meritev.</w:t>
      </w:r>
      <w:r>
        <w:t xml:space="preserve"> </w:t>
      </w:r>
    </w:p>
    <w:p w14:paraId="4330A04D" w14:textId="696746BE" w:rsidR="00DD75EA" w:rsidRPr="00933EA2" w:rsidRDefault="00DD75EA" w:rsidP="00933EA2">
      <w:pPr>
        <w:jc w:val="both"/>
      </w:pPr>
      <w:r>
        <w:t xml:space="preserve">Zlasti spremembe, ki jih prireditelj med certifikacijo po potrebi opravi na že izmerjeni kontrolni točki, ne morejo spremeniti začetnih ugotovitev, ki morajo biti navedene v poročilu o certifikaciji.</w:t>
      </w:r>
      <w:r>
        <w:t xml:space="preserve"> </w:t>
      </w:r>
    </w:p>
    <w:p w14:paraId="3B828D1A" w14:textId="77777777" w:rsidR="00DD75EA" w:rsidRPr="00933EA2" w:rsidRDefault="00DD75EA" w:rsidP="00933EA2">
      <w:pPr>
        <w:jc w:val="both"/>
      </w:pPr>
    </w:p>
    <w:p w14:paraId="1A6C0433" w14:textId="5238B0B1" w:rsidR="00DD75EA" w:rsidRPr="00933EA2" w:rsidRDefault="00DD75EA" w:rsidP="00933EA2">
      <w:pPr>
        <w:keepNext/>
        <w:keepLines/>
        <w:jc w:val="center"/>
        <w:rPr>
          <w:b/>
        </w:rPr>
      </w:pPr>
      <w:r>
        <w:rPr>
          <w:b/>
        </w:rPr>
        <w:t xml:space="preserve">Člen 22</w:t>
      </w:r>
    </w:p>
    <w:p w14:paraId="3CE9E5A1" w14:textId="77777777" w:rsidR="00DD75EA" w:rsidRPr="00933EA2" w:rsidRDefault="00DD75EA" w:rsidP="00933EA2">
      <w:pPr>
        <w:keepNext/>
        <w:keepLines/>
        <w:rPr>
          <w:b/>
        </w:rPr>
      </w:pPr>
    </w:p>
    <w:p w14:paraId="741B27CE" w14:textId="63DF5921" w:rsidR="00DD75EA" w:rsidRPr="00933EA2" w:rsidRDefault="00DD75EA" w:rsidP="00933EA2">
      <w:pPr>
        <w:jc w:val="both"/>
      </w:pPr>
      <w:r>
        <w:t xml:space="preserve">Ob zaključku svojih dejavnosti certifikacijski organ pripravi poročilo, v katerem predstavi ugotovitve.</w:t>
      </w:r>
      <w:r>
        <w:t xml:space="preserve"> </w:t>
      </w:r>
      <w:r>
        <w:t xml:space="preserve">To poročilo zajema vse ugotovljene neskladnosti, ne glede na stopnjo kritičnosti.</w:t>
      </w:r>
      <w:r>
        <w:t xml:space="preserve"> </w:t>
      </w:r>
    </w:p>
    <w:p w14:paraId="50D2ED44" w14:textId="77777777" w:rsidR="00DD75EA" w:rsidRPr="00933EA2" w:rsidRDefault="00DD75EA" w:rsidP="00933EA2">
      <w:pPr>
        <w:jc w:val="both"/>
      </w:pPr>
      <w:r>
        <w:t xml:space="preserve">Poročilo se zaključi bodisi s certifikacijo brez pridržkov bodisi s certifikacijo s pridržkom oziroma pridržki.</w:t>
      </w:r>
      <w:r>
        <w:t xml:space="preserve"> </w:t>
      </w:r>
    </w:p>
    <w:p w14:paraId="46E5250A" w14:textId="77777777" w:rsidR="00DD75EA" w:rsidRPr="00933EA2" w:rsidRDefault="00DD75EA" w:rsidP="00933EA2">
      <w:pPr>
        <w:jc w:val="both"/>
      </w:pPr>
      <w:r>
        <w:t xml:space="preserve">Certifikat se izda s pridržkom oziroma pridržki, če ni izpolnjena ena ali več tehničnih zahtev, ki predstavljajo stopnjo kritičnosti, opredeljeno v tehničnem referenčnem okviru.</w:t>
      </w:r>
      <w:r>
        <w:t xml:space="preserve"> </w:t>
      </w:r>
    </w:p>
    <w:p w14:paraId="5FCADA94" w14:textId="77777777" w:rsidR="00DD75EA" w:rsidRPr="00933EA2" w:rsidRDefault="00DD75EA" w:rsidP="00933EA2">
      <w:pPr>
        <w:jc w:val="both"/>
      </w:pPr>
      <w:r>
        <w:t xml:space="preserve">Certifikacijski organ zadevnemu prireditelju posreduje dokument, ki potrjuje pridobitev certifikata iz člena 23 zgoraj omenjenega zakona z dne 12. maja 2010, da bi prireditelj zagotovil prenos iz tega člena.</w:t>
      </w:r>
      <w:r>
        <w:t xml:space="preserve"> </w:t>
      </w:r>
      <w:r>
        <w:t xml:space="preserve">V tem dokumentu je navedeno, ali se certifikat izda s pridržki ali brez, in po potrebi zajema zadevne pridržke.</w:t>
      </w:r>
      <w:r>
        <w:t xml:space="preserve"> </w:t>
      </w:r>
    </w:p>
    <w:p w14:paraId="043059D4" w14:textId="77777777" w:rsidR="00DD75EA" w:rsidRPr="00933EA2" w:rsidRDefault="00DD75EA" w:rsidP="00933EA2">
      <w:pPr>
        <w:jc w:val="both"/>
      </w:pPr>
    </w:p>
    <w:p w14:paraId="4DF2C95F" w14:textId="0A6B373C" w:rsidR="00DD75EA" w:rsidRPr="00933EA2" w:rsidRDefault="00DD75EA" w:rsidP="00933EA2">
      <w:pPr>
        <w:keepNext/>
        <w:keepLines/>
        <w:jc w:val="center"/>
        <w:rPr>
          <w:b/>
        </w:rPr>
      </w:pPr>
      <w:r>
        <w:rPr>
          <w:b/>
        </w:rPr>
        <w:t xml:space="preserve">Člen 23</w:t>
      </w:r>
    </w:p>
    <w:p w14:paraId="7624138E" w14:textId="77777777" w:rsidR="00DD75EA" w:rsidRPr="00933EA2" w:rsidRDefault="00DD75EA" w:rsidP="00933EA2">
      <w:pPr>
        <w:keepNext/>
        <w:keepLines/>
        <w:rPr>
          <w:b/>
        </w:rPr>
      </w:pPr>
    </w:p>
    <w:p w14:paraId="610F2AD1" w14:textId="77777777" w:rsidR="00DD75EA" w:rsidRPr="00933EA2" w:rsidRDefault="00DD75EA" w:rsidP="00933EA2">
      <w:pPr>
        <w:jc w:val="both"/>
      </w:pPr>
      <w:r>
        <w:t xml:space="preserve">Po predložitvi poročila o certifikaciji prireditelj po potrebi pripravi sezname nepravilnosti, ki jih pošlje Nacionalnemu organu za igre na srečo v enem mesecu po predložitvi tega poročila.</w:t>
      </w:r>
      <w:r>
        <w:t xml:space="preserve"> </w:t>
      </w:r>
      <w:r>
        <w:t xml:space="preserve">Ti seznami nepravilnosti se v vednost posredujejo certifikacijskemu organu.</w:t>
      </w:r>
      <w:r>
        <w:t xml:space="preserve"> </w:t>
      </w:r>
    </w:p>
    <w:p w14:paraId="1DEA7410" w14:textId="77777777" w:rsidR="00DD75EA" w:rsidRPr="00933EA2" w:rsidRDefault="00DD75EA" w:rsidP="00933EA2">
      <w:pPr>
        <w:jc w:val="both"/>
      </w:pPr>
      <w:r>
        <w:t xml:space="preserve">Seznami nepravilnosti so ločeni od poročila o certifikaciji.</w:t>
      </w:r>
      <w:r>
        <w:t xml:space="preserve"> </w:t>
      </w:r>
    </w:p>
    <w:p w14:paraId="46733F03" w14:textId="77777777" w:rsidR="00DD75EA" w:rsidRPr="00933EA2" w:rsidRDefault="00DD75EA" w:rsidP="00933EA2">
      <w:pPr>
        <w:jc w:val="both"/>
      </w:pPr>
      <w:r>
        <w:t xml:space="preserve">Vsebujejo vse neskladnosti, navedene v poročilu o certifikaciji, ne glede na stopnjo kritičnosti.</w:t>
      </w:r>
      <w:r>
        <w:t xml:space="preserve"> </w:t>
      </w:r>
    </w:p>
    <w:p w14:paraId="4E452E94" w14:textId="77777777" w:rsidR="00DD75EA" w:rsidRPr="00933EA2" w:rsidRDefault="00DD75EA" w:rsidP="00933EA2">
      <w:pPr>
        <w:jc w:val="both"/>
      </w:pPr>
      <w:r>
        <w:t xml:space="preserve">Za vsako neskladnost prireditelj po potrebi predlaga korektivne ukrepe in razpored njihovega izvajanja.</w:t>
      </w:r>
      <w:r>
        <w:t xml:space="preserve"> </w:t>
      </w:r>
    </w:p>
    <w:p w14:paraId="4F18D176" w14:textId="77777777" w:rsidR="00DD75EA" w:rsidRPr="00933EA2" w:rsidRDefault="00DD75EA" w:rsidP="00933EA2">
      <w:pPr>
        <w:jc w:val="both"/>
      </w:pPr>
      <w:r>
        <w:t xml:space="preserve">Ti seznami nepravilnosti prireditelju poleg tega omogočajo, da Nacionalnemu organu za igre na srečo sporoči vse koristne informacije ali ugotovitve v zvezi s potekom certifikacije in/ali poroča o morebitnem nestrinjanju s sklepi iz tega poročila ali z uporabljeno metodologijo.</w:t>
      </w:r>
      <w:r>
        <w:t xml:space="preserve"> </w:t>
      </w:r>
      <w:r>
        <w:t xml:space="preserve">Prireditelj lahko po potrebi izvede nove meritve in rezultate teh meritev navede na seznamih nepravilnosti.</w:t>
      </w:r>
      <w:r>
        <w:t xml:space="preserve"> </w:t>
      </w:r>
    </w:p>
    <w:p w14:paraId="062872B7" w14:textId="77777777" w:rsidR="00DD75EA" w:rsidRPr="00933EA2" w:rsidRDefault="00DD75EA" w:rsidP="00933EA2">
      <w:pPr>
        <w:rPr>
          <w:b/>
        </w:rPr>
      </w:pPr>
    </w:p>
    <w:p w14:paraId="58C57799" w14:textId="4E32B005" w:rsidR="00DD75EA" w:rsidRPr="00933EA2" w:rsidRDefault="00DD75EA" w:rsidP="00933EA2">
      <w:pPr>
        <w:keepNext/>
        <w:keepLines/>
        <w:jc w:val="center"/>
        <w:rPr>
          <w:b/>
        </w:rPr>
      </w:pPr>
      <w:r>
        <w:rPr>
          <w:b/>
        </w:rPr>
        <w:t xml:space="preserve">Člen 24</w:t>
      </w:r>
    </w:p>
    <w:p w14:paraId="2A8A0D5D" w14:textId="77777777" w:rsidR="00DD75EA" w:rsidRPr="00933EA2" w:rsidRDefault="00DD75EA" w:rsidP="00933EA2">
      <w:pPr>
        <w:keepNext/>
        <w:keepLines/>
        <w:rPr>
          <w:b/>
        </w:rPr>
      </w:pPr>
    </w:p>
    <w:p w14:paraId="0D2F6807" w14:textId="77777777" w:rsidR="00DD75EA" w:rsidRPr="00933EA2" w:rsidRDefault="00DD75EA" w:rsidP="00933EA2">
      <w:pPr>
        <w:jc w:val="both"/>
      </w:pPr>
      <w:r>
        <w:t xml:space="preserve">Organi, ki so bili na seznam certifikacijskih organov vpisani na podlagi svojega tehničnega znanja pred datumom objave te uredbe, ostanejo na tem seznamu do roka, opredeljenega z določbami, ki so veljale na datum vpisa.</w:t>
      </w:r>
      <w:r>
        <w:t xml:space="preserve"> </w:t>
      </w:r>
    </w:p>
    <w:p w14:paraId="6EB693B4" w14:textId="77777777" w:rsidR="00D13FBA" w:rsidRPr="00933EA2" w:rsidRDefault="00DD75EA" w:rsidP="00933EA2">
      <w:pPr>
        <w:jc w:val="both"/>
      </w:pPr>
      <w:r>
        <w:t xml:space="preserve">Organi, ki so bili na seznam certifikacijskih organov vpisani na podlagi svojega tehničnega znanja v vlogi podizvajalcev pred datumom objave te uredbe, ostanejo na tem seznamu do roka, opredeljenega z določbami, ki so veljale na datum vpisa.</w:t>
      </w:r>
      <w:r>
        <w:t xml:space="preserve"> </w:t>
      </w:r>
      <w:r>
        <w:t xml:space="preserve">Predlagajo lahko certifikacijske naloge predvsem na podlagi določb te uredbe od njene objave.</w:t>
      </w:r>
      <w:r>
        <w:t xml:space="preserve"> </w:t>
      </w:r>
    </w:p>
    <w:p w14:paraId="6D4D6550" w14:textId="77777777" w:rsidR="001441BB" w:rsidRPr="00933EA2" w:rsidRDefault="001441BB" w:rsidP="00933EA2">
      <w:pPr>
        <w:jc w:val="both"/>
      </w:pPr>
    </w:p>
    <w:p w14:paraId="4D3490E4" w14:textId="77777777" w:rsidR="008701C9" w:rsidRPr="00933EA2" w:rsidRDefault="008701C9" w:rsidP="00933EA2">
      <w:pPr>
        <w:jc w:val="both"/>
      </w:pPr>
    </w:p>
    <w:p w14:paraId="74A76B25" w14:textId="0F312A14" w:rsidR="008701C9" w:rsidRPr="00933EA2" w:rsidRDefault="008701C9" w:rsidP="00933EA2">
      <w:pPr>
        <w:keepNext/>
        <w:keepLines/>
        <w:jc w:val="center"/>
        <w:rPr>
          <w:b/>
        </w:rPr>
      </w:pPr>
      <w:r>
        <w:rPr>
          <w:b/>
        </w:rPr>
        <w:t xml:space="preserve">NASLOV IV:</w:t>
      </w:r>
      <w:r>
        <w:rPr>
          <w:b/>
        </w:rPr>
        <w:t xml:space="preserve"> </w:t>
      </w:r>
      <w:r>
        <w:rPr>
          <w:b/>
        </w:rPr>
        <w:t xml:space="preserve">NAJVEČJI POVPREČNI DELEŽ ZNESKOV, KI JIH PRIREDITELJI KONJSKIH STAV IN SPLETNIH ŠPORTNIH STAV Z DOVOLJENJEM IZPLAČAJO IGRALCEM</w:t>
      </w:r>
    </w:p>
    <w:p w14:paraId="55C64EFF" w14:textId="77777777" w:rsidR="00DD75EA" w:rsidRPr="00933EA2" w:rsidRDefault="00DD75EA" w:rsidP="00933EA2">
      <w:pPr>
        <w:pStyle w:val="BodyText"/>
        <w:keepNext/>
        <w:keepLines/>
      </w:pPr>
    </w:p>
    <w:p w14:paraId="33D15D7C" w14:textId="099784A4" w:rsidR="008701C9" w:rsidRPr="00933EA2" w:rsidRDefault="008701C9" w:rsidP="00933EA2">
      <w:pPr>
        <w:pStyle w:val="BodyText"/>
        <w:keepNext/>
        <w:keepLines/>
        <w:jc w:val="center"/>
        <w:rPr>
          <w:b/>
        </w:rPr>
      </w:pPr>
      <w:r>
        <w:rPr>
          <w:b/>
        </w:rPr>
        <w:t xml:space="preserve">Člen 25</w:t>
      </w:r>
    </w:p>
    <w:p w14:paraId="01FC3784" w14:textId="77777777" w:rsidR="008701C9" w:rsidRPr="00933EA2" w:rsidRDefault="008701C9" w:rsidP="00933EA2">
      <w:pPr>
        <w:pStyle w:val="BodyText"/>
        <w:keepNext/>
        <w:keepLines/>
      </w:pPr>
    </w:p>
    <w:p w14:paraId="43EA71C9" w14:textId="77777777" w:rsidR="008701C9" w:rsidRPr="00933EA2" w:rsidRDefault="008701C9" w:rsidP="00933EA2">
      <w:pPr>
        <w:pStyle w:val="BodyText"/>
        <w:jc w:val="both"/>
      </w:pPr>
      <w:r>
        <w:t xml:space="preserve">Največji povprečni delež zneskov, izplačanih igralcem, iz odstavka II člena 13 zgoraj omenjenega zakona z dne 12. maja 2010, je razmerje med zneski, ki jih prireditelj izplača igralcem, in zneski, ki jih vložijo ti igralci.</w:t>
      </w:r>
    </w:p>
    <w:p w14:paraId="141BF3A8" w14:textId="77777777" w:rsidR="008701C9" w:rsidRPr="00933EA2" w:rsidRDefault="008701C9" w:rsidP="00933EA2">
      <w:pPr>
        <w:pStyle w:val="BodyText"/>
        <w:jc w:val="both"/>
      </w:pPr>
    </w:p>
    <w:p w14:paraId="0F5F3107" w14:textId="14C82C5F" w:rsidR="008701C9" w:rsidRPr="00933EA2" w:rsidRDefault="008701C9" w:rsidP="00933EA2">
      <w:pPr>
        <w:pStyle w:val="BodyText"/>
        <w:keepNext/>
        <w:keepLines/>
        <w:jc w:val="center"/>
        <w:rPr>
          <w:b/>
        </w:rPr>
      </w:pPr>
      <w:r>
        <w:rPr>
          <w:b/>
        </w:rPr>
        <w:t xml:space="preserve">Člen 26</w:t>
      </w:r>
    </w:p>
    <w:p w14:paraId="51E88779" w14:textId="77777777" w:rsidR="008701C9" w:rsidRPr="00933EA2" w:rsidRDefault="008701C9" w:rsidP="00933EA2">
      <w:pPr>
        <w:keepNext/>
        <w:keepLines/>
        <w:jc w:val="both"/>
        <w:rPr>
          <w:strike/>
        </w:rPr>
      </w:pPr>
    </w:p>
    <w:p w14:paraId="60A2140F" w14:textId="5E5AF31B" w:rsidR="008701C9" w:rsidRPr="00933EA2" w:rsidRDefault="008701C9" w:rsidP="00933EA2">
      <w:pPr>
        <w:jc w:val="both"/>
      </w:pPr>
      <w:r>
        <w:t xml:space="preserve">Zneski, izplačani igralcem, so sestavljeni iz vseh denarnih ali stvarnih dobitkov, ki zapadejo na dan izvedbe dogodka ali dogodkov, na katerih temelji igra, vključno z zneski, ki jih je prispeval prireditelj, pod pogojem, da igralec lahko zahteva plačilo na svoj plačilni račun.</w:t>
      </w:r>
    </w:p>
    <w:p w14:paraId="44E85AE4" w14:textId="77777777" w:rsidR="008701C9" w:rsidRPr="00933EA2" w:rsidRDefault="008701C9" w:rsidP="00933EA2">
      <w:pPr>
        <w:jc w:val="both"/>
      </w:pPr>
    </w:p>
    <w:p w14:paraId="20F3B5B2" w14:textId="77777777" w:rsidR="008701C9" w:rsidRPr="00933EA2" w:rsidRDefault="008701C9" w:rsidP="00933EA2">
      <w:pPr>
        <w:jc w:val="both"/>
      </w:pPr>
      <w:r>
        <w:t xml:space="preserve">Stave, ki jih vložijo igralci, so sestavljene iz denarnih vsot, ki jih igralci porabijo, in se upoštevajo na dan izvedbe dogodka ali dogodkov, na katerih igra temelji.</w:t>
      </w:r>
      <w:r>
        <w:t xml:space="preserve"> </w:t>
      </w:r>
    </w:p>
    <w:p w14:paraId="408E3179" w14:textId="7A55EB21" w:rsidR="008701C9" w:rsidRDefault="008701C9" w:rsidP="00933EA2">
      <w:pPr>
        <w:pStyle w:val="BodyText"/>
        <w:keepNext/>
        <w:keepLines/>
        <w:jc w:val="center"/>
        <w:rPr>
          <w:b/>
        </w:rPr>
      </w:pPr>
      <w:r>
        <w:rPr>
          <w:b/>
        </w:rPr>
        <w:t xml:space="preserve">Člen 27</w:t>
      </w:r>
    </w:p>
    <w:p w14:paraId="2795718B" w14:textId="77777777" w:rsidR="00933EA2" w:rsidRPr="00933EA2" w:rsidRDefault="00933EA2" w:rsidP="00933EA2">
      <w:pPr>
        <w:keepNext/>
        <w:keepLines/>
        <w:jc w:val="both"/>
        <w:rPr>
          <w:strike/>
        </w:rPr>
      </w:pPr>
    </w:p>
    <w:p w14:paraId="2A0CD78F" w14:textId="77777777" w:rsidR="008701C9" w:rsidRPr="00933EA2" w:rsidRDefault="008701C9" w:rsidP="00933EA2">
      <w:pPr>
        <w:jc w:val="both"/>
      </w:pPr>
      <w:r>
        <w:t xml:space="preserve">Največji povprečni delež zneskov, izplačanih igralcem v okviru prirejanja spletnih stav, je 85 %.</w:t>
      </w:r>
    </w:p>
    <w:p w14:paraId="49B6524E" w14:textId="4D2A42CE" w:rsidR="008701C9" w:rsidRPr="00933EA2" w:rsidRDefault="008701C9" w:rsidP="00933EA2">
      <w:pPr>
        <w:pStyle w:val="BodyText"/>
        <w:keepNext/>
        <w:keepLines/>
        <w:jc w:val="center"/>
        <w:rPr>
          <w:b/>
        </w:rPr>
      </w:pPr>
      <w:r>
        <w:rPr>
          <w:b/>
        </w:rPr>
        <w:t xml:space="preserve">Člen 28</w:t>
      </w:r>
    </w:p>
    <w:p w14:paraId="72804D81" w14:textId="77777777" w:rsidR="008701C9" w:rsidRPr="00933EA2" w:rsidRDefault="008701C9" w:rsidP="00933EA2">
      <w:pPr>
        <w:keepNext/>
        <w:keepLines/>
        <w:jc w:val="both"/>
        <w:rPr>
          <w:strike/>
        </w:rPr>
      </w:pPr>
    </w:p>
    <w:p w14:paraId="52D40D03" w14:textId="77777777" w:rsidR="008701C9" w:rsidRPr="00933EA2" w:rsidRDefault="008701C9" w:rsidP="00933EA2">
      <w:pPr>
        <w:jc w:val="both"/>
      </w:pPr>
      <w:r>
        <w:t xml:space="preserve">Za namene uporabe člena 28 se največji povprečni delež zneskov, izplačanih igralcem:</w:t>
      </w:r>
    </w:p>
    <w:p w14:paraId="2C04064E" w14:textId="77777777" w:rsidR="008701C9" w:rsidRPr="00933EA2" w:rsidRDefault="008701C9" w:rsidP="00933EA2">
      <w:pPr>
        <w:ind w:left="708"/>
        <w:jc w:val="both"/>
      </w:pPr>
      <w:r>
        <w:t xml:space="preserve">1. oceni na podlagi posameznega dovoljenja;</w:t>
      </w:r>
    </w:p>
    <w:p w14:paraId="3172AC7D" w14:textId="77777777" w:rsidR="008701C9" w:rsidRPr="00933EA2" w:rsidRDefault="008701C9" w:rsidP="00933EA2">
      <w:pPr>
        <w:ind w:left="708"/>
        <w:jc w:val="both"/>
      </w:pPr>
      <w:r>
        <w:t xml:space="preserve">2. oceni letno, na podlagi koledarskega leta.</w:t>
      </w:r>
    </w:p>
    <w:p w14:paraId="174FFC32" w14:textId="77777777" w:rsidR="008701C9" w:rsidRPr="00933EA2" w:rsidRDefault="008701C9" w:rsidP="00933EA2">
      <w:pPr>
        <w:ind w:left="708"/>
        <w:jc w:val="both"/>
      </w:pPr>
    </w:p>
    <w:p w14:paraId="728ADA42" w14:textId="77777777" w:rsidR="008701C9" w:rsidRPr="00933EA2" w:rsidRDefault="008701C9" w:rsidP="00933EA2">
      <w:pPr>
        <w:rPr>
          <w:b/>
        </w:rPr>
      </w:pPr>
    </w:p>
    <w:p w14:paraId="53E41CD9" w14:textId="6951AF60" w:rsidR="008701C9" w:rsidRDefault="008701C9" w:rsidP="00933EA2">
      <w:pPr>
        <w:pStyle w:val="BodyText"/>
        <w:keepNext/>
        <w:keepLines/>
        <w:jc w:val="center"/>
        <w:rPr>
          <w:b/>
        </w:rPr>
      </w:pPr>
      <w:r>
        <w:rPr>
          <w:b/>
        </w:rPr>
        <w:t xml:space="preserve">Člen 29</w:t>
      </w:r>
    </w:p>
    <w:p w14:paraId="253ED52E" w14:textId="77777777" w:rsidR="00933EA2" w:rsidRPr="00933EA2" w:rsidRDefault="00933EA2" w:rsidP="00933EA2">
      <w:pPr>
        <w:keepNext/>
        <w:keepLines/>
        <w:rPr>
          <w:b/>
        </w:rPr>
      </w:pPr>
    </w:p>
    <w:p w14:paraId="713388DF" w14:textId="77777777" w:rsidR="008701C9" w:rsidRPr="00933EA2" w:rsidRDefault="008701C9" w:rsidP="00933EA2">
      <w:pPr>
        <w:spacing w:before="100" w:beforeAutospacing="1" w:after="100" w:afterAutospacing="1"/>
        <w:jc w:val="both"/>
      </w:pPr>
      <w:r>
        <w:t xml:space="preserve">I. Prireditelj vsako četrtletje Nacionalnemu organu za igre na srečo v okviru svoje dejavnosti, ki ustreza posameznemu dovoljenju prireditelja spletnih stav, katerega imetnik je, predloži dokument, ki prikazuje celotne zneske, ki jih je izplačal ali jih mora izplačati igralcem, in celotne zneske, ki so jih vložili igralci.</w:t>
      </w:r>
    </w:p>
    <w:p w14:paraId="6116BD42" w14:textId="559F7A3D" w:rsidR="008701C9" w:rsidRPr="00933EA2" w:rsidRDefault="008701C9" w:rsidP="00933EA2">
      <w:pPr>
        <w:spacing w:before="100" w:beforeAutospacing="1" w:after="100" w:afterAutospacing="1"/>
        <w:jc w:val="both"/>
      </w:pPr>
      <w:r>
        <w:t xml:space="preserve">II.</w:t>
      </w:r>
      <w:r>
        <w:t xml:space="preserve"> </w:t>
      </w:r>
      <w:r>
        <w:t xml:space="preserve">Prireditelj ovrednoti stvarne dobitke, tako da izračuna delež zneskov, ki jih je plačal igralcem; prireditelj Nacionalnemu organu za igre na srečo posreduje podatke, na katerih je utemeljil to vrednotenje.</w:t>
      </w:r>
    </w:p>
    <w:p w14:paraId="40677CB2" w14:textId="77777777" w:rsidR="008701C9" w:rsidRPr="00933EA2" w:rsidRDefault="008701C9" w:rsidP="00933EA2">
      <w:pPr>
        <w:spacing w:before="100" w:beforeAutospacing="1" w:after="100" w:afterAutospacing="1"/>
        <w:jc w:val="both"/>
      </w:pPr>
      <w:r>
        <w:t xml:space="preserve">III.</w:t>
      </w:r>
      <w:r>
        <w:t xml:space="preserve"> </w:t>
      </w:r>
      <w:r>
        <w:t xml:space="preserve">Ta dokument se predloži:</w:t>
      </w:r>
    </w:p>
    <w:p w14:paraId="5D278BD5" w14:textId="77777777" w:rsidR="008701C9" w:rsidRPr="00933EA2" w:rsidRDefault="008701C9" w:rsidP="00933EA2">
      <w:pPr>
        <w:spacing w:before="100" w:beforeAutospacing="1" w:after="100" w:afterAutospacing="1"/>
        <w:jc w:val="both"/>
      </w:pPr>
      <w:r>
        <w:t xml:space="preserve">1. najpozneje 15. aprila, če gre za stavne transakcije, izvedene v prvem četrtletju tekočega leta;</w:t>
      </w:r>
    </w:p>
    <w:p w14:paraId="512C5C0B" w14:textId="77777777" w:rsidR="008701C9" w:rsidRPr="00933EA2" w:rsidRDefault="008701C9" w:rsidP="00933EA2">
      <w:pPr>
        <w:spacing w:before="100" w:beforeAutospacing="1" w:after="100" w:afterAutospacing="1"/>
        <w:jc w:val="both"/>
      </w:pPr>
      <w:r>
        <w:t xml:space="preserve">2. najpozneje 15. julija, če gre za stavne transakcije, izvedene v drugem četrtletju tekočega leta;</w:t>
      </w:r>
    </w:p>
    <w:p w14:paraId="2DD400E4" w14:textId="77777777" w:rsidR="008701C9" w:rsidRPr="00933EA2" w:rsidRDefault="008701C9" w:rsidP="00933EA2">
      <w:pPr>
        <w:spacing w:before="100" w:beforeAutospacing="1" w:after="100" w:afterAutospacing="1"/>
        <w:jc w:val="both"/>
      </w:pPr>
      <w:r>
        <w:t xml:space="preserve">3. najpozneje 15. oktobra, če gre za stavne transakcije, izvedene v tretjem četrtletju tekočega leta;</w:t>
      </w:r>
    </w:p>
    <w:p w14:paraId="3932FE13" w14:textId="77777777" w:rsidR="008701C9" w:rsidRPr="00933EA2" w:rsidRDefault="008701C9" w:rsidP="00933EA2">
      <w:pPr>
        <w:spacing w:before="100" w:beforeAutospacing="1" w:after="100" w:afterAutospacing="1"/>
        <w:jc w:val="both"/>
      </w:pPr>
      <w:r>
        <w:t xml:space="preserve">4. najpozneje 15. januarja, če gre za stavne transakcije, izvedene v četrtem četrtletju prejšnjega leta.</w:t>
      </w:r>
    </w:p>
    <w:p w14:paraId="53B60FC2" w14:textId="77777777" w:rsidR="008701C9" w:rsidRPr="00933EA2" w:rsidRDefault="008701C9" w:rsidP="00933EA2">
      <w:pPr>
        <w:jc w:val="both"/>
        <w:rPr>
          <w:u w:val="single"/>
        </w:rPr>
      </w:pPr>
    </w:p>
    <w:p w14:paraId="0A87592D" w14:textId="07D61823" w:rsidR="008701C9" w:rsidRDefault="008701C9" w:rsidP="00933EA2">
      <w:pPr>
        <w:pStyle w:val="BodyText"/>
        <w:keepNext/>
        <w:keepLines/>
        <w:jc w:val="center"/>
        <w:rPr>
          <w:b/>
        </w:rPr>
      </w:pPr>
      <w:r>
        <w:rPr>
          <w:b/>
        </w:rPr>
        <w:t xml:space="preserve">Člen 30</w:t>
      </w:r>
    </w:p>
    <w:p w14:paraId="76851D86" w14:textId="77777777" w:rsidR="00933EA2" w:rsidRPr="00933EA2" w:rsidRDefault="00933EA2" w:rsidP="00933EA2">
      <w:pPr>
        <w:keepNext/>
        <w:keepLines/>
        <w:rPr>
          <w:b/>
        </w:rPr>
      </w:pPr>
    </w:p>
    <w:p w14:paraId="0574C2B5" w14:textId="77777777" w:rsidR="008701C9" w:rsidRPr="00933EA2" w:rsidRDefault="008701C9" w:rsidP="00933EA2">
      <w:pPr>
        <w:spacing w:before="100" w:beforeAutospacing="1" w:after="100" w:afterAutospacing="1"/>
        <w:jc w:val="both"/>
      </w:pPr>
      <w:r>
        <w:t xml:space="preserve">Prireditelji, ki so imetniki dovoljenja v skladu s </w:t>
      </w:r>
      <w:hyperlink r:id="rId7" w:history="1">
        <w:r>
          <w:t xml:space="preserve">členom 21 zgoraj navedenega zakona z dne 12. maja 2010</w:t>
        </w:r>
      </w:hyperlink>
      <w:r>
        <w:t xml:space="preserve"> in se odločijo, da bodo združili stave, ki jih vplačujejo pri njih registrirani igralci stav, v ta namen sklenejo pisni dogovor o združevanju.</w:t>
      </w:r>
    </w:p>
    <w:p w14:paraId="6B5E456F" w14:textId="77777777" w:rsidR="008701C9" w:rsidRPr="00452EF3" w:rsidRDefault="008701C9" w:rsidP="00933EA2">
      <w:pPr>
        <w:spacing w:after="240"/>
        <w:jc w:val="both"/>
      </w:pPr>
      <w:r>
        <w:t xml:space="preserve">En podpisan izvod dogovora o združevanju se posreduje Nacionalnemu organu za igre na srečo.</w:t>
      </w:r>
      <w:r>
        <w:t xml:space="preserve"> </w:t>
      </w:r>
    </w:p>
    <w:p w14:paraId="1A9AAF8F" w14:textId="77777777" w:rsidR="008701C9" w:rsidRPr="00933EA2" w:rsidRDefault="008701C9" w:rsidP="00933EA2">
      <w:pPr>
        <w:spacing w:after="240"/>
        <w:jc w:val="both"/>
      </w:pPr>
      <w:r>
        <w:t xml:space="preserve">Dogovor opredeljuje pravice in obveznosti prirediteljev z dovoljenjem, ki sklenejo dogovor; določa zlasti:</w:t>
      </w:r>
    </w:p>
    <w:p w14:paraId="3B4DBAB8" w14:textId="77777777" w:rsidR="008701C9" w:rsidRPr="00933EA2" w:rsidRDefault="008701C9" w:rsidP="00933EA2">
      <w:pPr>
        <w:spacing w:after="240"/>
        <w:jc w:val="both"/>
      </w:pPr>
      <w:r>
        <w:t xml:space="preserve">1. osebo, odgovorno za upravljanje skupnih stavnih skladov, ki mora zagotoviti, da prireditelji z dovoljenjem upoštevajo največji povprečni delež zneskov, ki jih izplačajo igralcem, določen v členu 3;</w:t>
      </w:r>
    </w:p>
    <w:p w14:paraId="30010068" w14:textId="77777777" w:rsidR="008701C9" w:rsidRPr="00933EA2" w:rsidRDefault="008701C9" w:rsidP="00933EA2">
      <w:pPr>
        <w:spacing w:after="240"/>
        <w:jc w:val="both"/>
      </w:pPr>
      <w:r>
        <w:t xml:space="preserve">2. pri konjskih stavah dirko ali dirkaško prireditev ter vrsto rezultatov, ki se bodo združevali;</w:t>
      </w:r>
    </w:p>
    <w:p w14:paraId="31796E46" w14:textId="77777777" w:rsidR="008701C9" w:rsidRPr="00933EA2" w:rsidRDefault="008701C9" w:rsidP="00933EA2">
      <w:pPr>
        <w:spacing w:after="240"/>
        <w:jc w:val="both"/>
      </w:pPr>
      <w:r>
        <w:t xml:space="preserve">3. pri športnih stavah tekmovanje ali športno prireditev ter vrsto rezultatov, ki se bodo združevali;</w:t>
      </w:r>
    </w:p>
    <w:p w14:paraId="1A883AC4" w14:textId="3B68A492" w:rsidR="008701C9" w:rsidRPr="00933EA2" w:rsidRDefault="008701C9" w:rsidP="00933EA2">
      <w:pPr>
        <w:spacing w:after="240"/>
        <w:jc w:val="both"/>
      </w:pPr>
      <w:r>
        <w:t xml:space="preserve">4. postopke upravljanja bonusov, vplačil vložkov in dobitkov, ki jih določijo prireditelji, za zagotovitev upoštevanja deleža, določenega v členu 27;</w:t>
      </w:r>
    </w:p>
    <w:p w14:paraId="774321AE" w14:textId="77777777" w:rsidR="008701C9" w:rsidRPr="00933EA2" w:rsidRDefault="008701C9" w:rsidP="00933EA2">
      <w:pPr>
        <w:spacing w:after="240"/>
        <w:jc w:val="both"/>
      </w:pPr>
      <w:r>
        <w:t xml:space="preserve">5. tehnične postopke, ki se bodo uporabljali za združevanje stavnih skladov.</w:t>
      </w:r>
    </w:p>
    <w:p w14:paraId="656FFE0E" w14:textId="77777777" w:rsidR="008701C9" w:rsidRPr="00933EA2" w:rsidRDefault="008701C9" w:rsidP="00933EA2">
      <w:pPr>
        <w:jc w:val="both"/>
        <w:rPr>
          <w:u w:val="single"/>
        </w:rPr>
      </w:pPr>
    </w:p>
    <w:p w14:paraId="14724404" w14:textId="387E552C" w:rsidR="008701C9" w:rsidRPr="00933EA2" w:rsidRDefault="00B705CF" w:rsidP="00933EA2">
      <w:pPr>
        <w:pStyle w:val="BodyText"/>
        <w:keepNext/>
        <w:keepLines/>
        <w:jc w:val="center"/>
        <w:rPr>
          <w:b/>
        </w:rPr>
      </w:pPr>
      <w:r>
        <w:rPr>
          <w:b/>
        </w:rPr>
        <w:t xml:space="preserve">Člen 31</w:t>
      </w:r>
    </w:p>
    <w:p w14:paraId="7EA81AA0" w14:textId="77777777" w:rsidR="008701C9" w:rsidRPr="00933EA2" w:rsidRDefault="008701C9" w:rsidP="00933EA2">
      <w:pPr>
        <w:keepNext/>
        <w:keepLines/>
        <w:rPr>
          <w:b/>
        </w:rPr>
      </w:pPr>
    </w:p>
    <w:p w14:paraId="12126FC7" w14:textId="77777777" w:rsidR="008701C9" w:rsidRPr="00933EA2" w:rsidRDefault="008701C9" w:rsidP="00933EA2">
      <w:pPr>
        <w:jc w:val="both"/>
      </w:pPr>
      <w:r>
        <w:t xml:space="preserve">Povprečni delež zneskov, ki se izplačajo igralcem, oziroma stopnja izplačil igralcem (TRJ) se za vsakega prireditelja z dovoljenjem, ki sklene dogovor o združevanju, določi z uporabo naslednje formule:</w:t>
      </w:r>
    </w:p>
    <w:p w14:paraId="6856DE50" w14:textId="5415CC7F" w:rsidR="008701C9" w:rsidRPr="00933EA2" w:rsidRDefault="008701C9" w:rsidP="00933EA2">
      <w:pPr>
        <w:spacing w:before="100" w:beforeAutospacing="1" w:after="100" w:afterAutospacing="1"/>
        <w:jc w:val="both"/>
      </w:pPr>
      <w:r>
        <w:t xml:space="preserve">formula je na voljo v faksimilu iz UL št. 0244 z dne 21. oktobra 2015, besedilo št. 6, na naslednjem naslovu:</w:t>
      </w:r>
      <w:r>
        <w:t xml:space="preserve"> </w:t>
      </w:r>
    </w:p>
    <w:p w14:paraId="679B85AB" w14:textId="77777777" w:rsidR="008701C9" w:rsidRPr="00933EA2" w:rsidRDefault="00452EF3" w:rsidP="00933EA2">
      <w:pPr>
        <w:spacing w:before="100" w:beforeAutospacing="1" w:after="100" w:afterAutospacing="1"/>
        <w:jc w:val="both"/>
      </w:pPr>
      <w:hyperlink r:id="rId8" w:history="1">
        <w:r>
          <w:rPr>
            <w:color w:val="0000FF"/>
            <w:u w:val="single"/>
          </w:rPr>
          <w:t xml:space="preserve">http://www.legifrance.gouv.fr/jopdf/common/jo_pdf.jsp?numJO=0&amp;dateJO=20151021&amp;numTexte=6&amp;pageDebut=19518&amp;pageFin=19519</w:t>
        </w:r>
      </w:hyperlink>
      <w:r>
        <w:t xml:space="preserve"> </w:t>
      </w:r>
    </w:p>
    <w:p w14:paraId="5463CC75" w14:textId="77777777" w:rsidR="008701C9" w:rsidRPr="00933EA2" w:rsidRDefault="008701C9" w:rsidP="00933EA2">
      <w:pPr>
        <w:spacing w:before="100" w:beforeAutospacing="1" w:after="100" w:afterAutospacing="1"/>
        <w:jc w:val="both"/>
      </w:pPr>
      <w:r>
        <w:t xml:space="preserve">Vložki(Mi)</w:t>
      </w:r>
      <w:r>
        <w:t xml:space="preserve"> predstavljajo skupni znesek vložkov, ki jih vplačajo igralci pri prireditelju z dovoljenjem v stavni sklad </w:t>
      </w:r>
      <w:r>
        <w:t xml:space="preserve">Mi</w:t>
      </w:r>
      <w:r>
        <w:t xml:space="preserve">.</w:t>
      </w:r>
    </w:p>
    <w:p w14:paraId="13A78E75" w14:textId="77777777" w:rsidR="008701C9" w:rsidRPr="00933EA2" w:rsidRDefault="008701C9" w:rsidP="00933EA2">
      <w:pPr>
        <w:spacing w:before="100" w:beforeAutospacing="1" w:after="100" w:afterAutospacing="1"/>
        <w:jc w:val="both"/>
      </w:pPr>
      <w:r>
        <w:t xml:space="preserve">M0 je stavni sklad, ki ni združen s skladi drugih prirediteljev z dovoljenjem.</w:t>
      </w:r>
      <w:r>
        <w:t xml:space="preserve"> </w:t>
      </w:r>
      <w:r>
        <w:t xml:space="preserve">Ta stavni sklad je bodisi sklad prireditelja z dovoljenjem bodisi skupen sklad tega prireditelja in prirediteljev, ki nimajo dovoljenja iz člena 21 zgoraj navedenega zakona z dne 12. maja 2010.</w:t>
      </w:r>
    </w:p>
    <w:p w14:paraId="1E10CBD7" w14:textId="77777777" w:rsidR="008701C9" w:rsidRPr="00933EA2" w:rsidRDefault="008701C9" w:rsidP="00933EA2">
      <w:pPr>
        <w:spacing w:before="100" w:beforeAutospacing="1" w:after="100" w:afterAutospacing="1"/>
        <w:jc w:val="both"/>
      </w:pPr>
      <w:r>
        <w:t xml:space="preserve">Mi z</w:t>
      </w:r>
      <w:r>
        <w:t xml:space="preserve"> i ≠ 0 je stavni sklad, združen s skladi drugih prirediteljev z dovoljenjem prek pogodbe </w:t>
      </w:r>
      <w:r>
        <w:t xml:space="preserve">i</w:t>
      </w:r>
      <w:r>
        <w:t xml:space="preserve">.</w:t>
      </w:r>
    </w:p>
    <w:p w14:paraId="0568A677" w14:textId="77777777" w:rsidR="008701C9" w:rsidRPr="00933EA2" w:rsidRDefault="008701C9" w:rsidP="00933EA2">
      <w:pPr>
        <w:spacing w:before="100" w:beforeAutospacing="1" w:after="100" w:afterAutospacing="1"/>
        <w:jc w:val="both"/>
      </w:pPr>
      <w:r>
        <w:t xml:space="preserve">∑nj = 0 vložkov (Mj) je skupni znesek vložkov, ki so jih pri prireditelju z dovoljenjem vplačali njegovi igralci.</w:t>
      </w:r>
    </w:p>
    <w:p w14:paraId="1AC6CEEB" w14:textId="77777777" w:rsidR="008701C9" w:rsidRPr="00933EA2" w:rsidRDefault="008701C9" w:rsidP="00933EA2">
      <w:pPr>
        <w:spacing w:before="100" w:beforeAutospacing="1" w:after="100" w:afterAutospacing="1"/>
        <w:jc w:val="both"/>
      </w:pPr>
      <w:r>
        <w:t xml:space="preserve">TRJ(M</w:t>
      </w:r>
      <w:r>
        <w:t xml:space="preserve">0</w:t>
      </w:r>
      <w:r>
        <w:t xml:space="preserve">)</w:t>
      </w:r>
      <w:r>
        <w:t xml:space="preserve"> je </w:t>
      </w:r>
      <w:r>
        <w:t xml:space="preserve">TRJ</w:t>
      </w:r>
      <w:r>
        <w:t xml:space="preserve"> iz stavnega sklada prireditelja, ki ni združen s skladi drugih prirediteljev z dovoljenjem.</w:t>
      </w:r>
      <w:r>
        <w:t xml:space="preserve"> </w:t>
      </w:r>
      <w:r>
        <w:t xml:space="preserve">TRJ(M</w:t>
      </w:r>
      <w:r>
        <w:t xml:space="preserve">0</w:t>
      </w:r>
      <w:r>
        <w:t xml:space="preserve">)</w:t>
      </w:r>
      <w:r>
        <w:t xml:space="preserve"> se izračuna po splošni metodi, določeni v členih 1 in 2, pri čemer se upoštevajo samo podatki, povezani z vplačili, ki jih izvedejo igralci prireditelja v stavne sklade, ki niso združeni s skladi drugih prirediteljev z dovoljenjem.</w:t>
      </w:r>
    </w:p>
    <w:p w14:paraId="57FCBCE0" w14:textId="77777777" w:rsidR="008701C9" w:rsidRPr="00933EA2" w:rsidRDefault="008701C9" w:rsidP="00933EA2">
      <w:pPr>
        <w:spacing w:before="100" w:beforeAutospacing="1" w:after="100" w:afterAutospacing="1"/>
        <w:jc w:val="both"/>
      </w:pPr>
      <w:r>
        <w:t xml:space="preserve">TRJ(Mi) </w:t>
      </w:r>
      <w:r>
        <w:t xml:space="preserve">z i ≠ 0 je TRJ iz združenega stavnega sklada </w:t>
      </w:r>
      <w:r>
        <w:t xml:space="preserve">Mi</w:t>
      </w:r>
      <w:r>
        <w:t xml:space="preserve">.</w:t>
      </w:r>
    </w:p>
    <w:p w14:paraId="15E6BD5C" w14:textId="77777777" w:rsidR="008701C9" w:rsidRPr="00933EA2" w:rsidRDefault="008701C9" w:rsidP="00933EA2">
      <w:pPr>
        <w:spacing w:before="100" w:beforeAutospacing="1" w:after="100" w:afterAutospacing="1"/>
        <w:jc w:val="both"/>
      </w:pPr>
      <w:r>
        <w:t xml:space="preserve">TRJ(Mi)</w:t>
      </w:r>
      <w:r>
        <w:t xml:space="preserve"> se izračuna po splošni metodi, določeni v členih 1 in 2, pri čemer se upoštevajo samo podatki, ki so povezani s pogodbo o združevanju i</w:t>
      </w:r>
      <w:r>
        <w:t xml:space="preserve"> in se nanašajo na vse igralce prirediteljev z dovoljenjem, ki so sklenili to pogodbo o združevanju.</w:t>
      </w:r>
    </w:p>
    <w:p w14:paraId="74D4ED17" w14:textId="42C1DF07" w:rsidR="008701C9" w:rsidRPr="00933EA2" w:rsidRDefault="00B705CF" w:rsidP="00933EA2">
      <w:pPr>
        <w:pStyle w:val="BodyText"/>
        <w:keepNext/>
        <w:keepLines/>
        <w:jc w:val="center"/>
        <w:rPr>
          <w:b/>
        </w:rPr>
      </w:pPr>
      <w:r>
        <w:rPr>
          <w:b/>
        </w:rPr>
        <w:t xml:space="preserve">Člen 32</w:t>
      </w:r>
    </w:p>
    <w:p w14:paraId="2798784E" w14:textId="77777777" w:rsidR="008701C9" w:rsidRPr="00933EA2" w:rsidRDefault="008701C9" w:rsidP="00933EA2">
      <w:pPr>
        <w:keepNext/>
        <w:keepLines/>
        <w:rPr>
          <w:b/>
        </w:rPr>
      </w:pPr>
    </w:p>
    <w:p w14:paraId="1F4C0003" w14:textId="71727D5C" w:rsidR="008701C9" w:rsidRPr="00933EA2" w:rsidRDefault="008701C9" w:rsidP="00933EA2">
      <w:pPr>
        <w:jc w:val="both"/>
      </w:pPr>
      <w:r>
        <w:t xml:space="preserve">Povprečni delež zneskov, ki jih igralcem izplača prireditelj z dovoljenjem iz </w:t>
      </w:r>
      <w:hyperlink r:id="rId9" w:history="1">
        <w:r>
          <w:t xml:space="preserve">člena 21 zgoraj navedenega zakona z dne 12. maja 2010</w:t>
        </w:r>
      </w:hyperlink>
      <w:r>
        <w:t xml:space="preserve">, ki združuje stavne vložke, ki jih vplačajo njegovi igralci, pri čemer so izključeni, ki jih vplačajo igralci prireditelja brez dovoljenja, se določi v skladu s členi od 25 do 28.</w:t>
      </w:r>
    </w:p>
    <w:p w14:paraId="014ED93E" w14:textId="77777777" w:rsidR="00C342AB" w:rsidRPr="00933EA2" w:rsidRDefault="00C342AB" w:rsidP="00933EA2">
      <w:pPr>
        <w:pStyle w:val="BodyText"/>
        <w:jc w:val="both"/>
      </w:pPr>
    </w:p>
    <w:p w14:paraId="48F0C6DC" w14:textId="02D7A6A2" w:rsidR="00E83532" w:rsidRPr="00933EA2" w:rsidRDefault="00E83532" w:rsidP="007A780D">
      <w:pPr>
        <w:keepNext/>
        <w:keepLines/>
        <w:jc w:val="center"/>
        <w:rPr>
          <w:b/>
        </w:rPr>
      </w:pPr>
      <w:r>
        <w:rPr>
          <w:b/>
        </w:rPr>
        <w:t xml:space="preserve">NASLOV V:</w:t>
      </w:r>
      <w:r>
        <w:rPr>
          <w:b/>
        </w:rPr>
        <w:t xml:space="preserve"> </w:t>
      </w:r>
      <w:r>
        <w:rPr>
          <w:b/>
        </w:rPr>
        <w:t xml:space="preserve">POGOJI TRŽENJA PRAVIC V ZVEZI Z ORGANIZACIJO STAV NA ŠPORTNI PRIREDITVI ALI TEKMOVANJU</w:t>
      </w:r>
    </w:p>
    <w:p w14:paraId="5809CD9F" w14:textId="77777777" w:rsidR="00E83532" w:rsidRPr="00933EA2" w:rsidRDefault="00E83532" w:rsidP="007A780D">
      <w:pPr>
        <w:keepNext/>
        <w:keepLines/>
        <w:jc w:val="center"/>
        <w:rPr>
          <w:b/>
        </w:rPr>
      </w:pPr>
    </w:p>
    <w:p w14:paraId="0B22410E" w14:textId="77777777" w:rsidR="00E83532" w:rsidRPr="00933EA2" w:rsidRDefault="00E83532" w:rsidP="007A780D">
      <w:pPr>
        <w:keepNext/>
        <w:keepLines/>
        <w:jc w:val="center"/>
        <w:rPr>
          <w:b/>
        </w:rPr>
      </w:pPr>
    </w:p>
    <w:p w14:paraId="3C2665F7" w14:textId="6BB42B72" w:rsidR="00E83532" w:rsidRPr="00933EA2" w:rsidRDefault="00B705CF" w:rsidP="007A780D">
      <w:pPr>
        <w:pStyle w:val="BodyText"/>
        <w:keepNext/>
        <w:keepLines/>
        <w:jc w:val="center"/>
        <w:rPr>
          <w:b/>
        </w:rPr>
      </w:pPr>
      <w:r>
        <w:rPr>
          <w:b/>
        </w:rPr>
        <w:t xml:space="preserve">Člen 33</w:t>
      </w:r>
    </w:p>
    <w:p w14:paraId="28229132" w14:textId="77777777" w:rsidR="00E83532" w:rsidRPr="00933EA2" w:rsidRDefault="00E83532" w:rsidP="007A780D">
      <w:pPr>
        <w:keepNext/>
        <w:keepLines/>
        <w:rPr>
          <w:b/>
        </w:rPr>
      </w:pPr>
    </w:p>
    <w:p w14:paraId="5128E42F" w14:textId="7AD0B049" w:rsidR="001A748C" w:rsidRPr="00933EA2" w:rsidRDefault="001A748C" w:rsidP="00933EA2">
      <w:pPr>
        <w:jc w:val="both"/>
      </w:pPr>
      <w:r>
        <w:t xml:space="preserve">Športne zveze in organizatorji športnih prireditev trgujejo s podjetjem, ki ima izključne pravice iz člena 137 zgoraj omenjenega zakona z dne 22. maja 2019, in neizključno, s prireditelji spletnih športnih stav z dovoljenjem iz člena 21 zgoraj omenjenega zakona z dne 12. maja 2010 ter imajo s tem pravico do organizacije stav na športnih prireditvah ali tekmovanjih, ki jih organizirajo pod pogoji, določenimi v členih 34 do 37 te uredbe.</w:t>
      </w:r>
    </w:p>
    <w:p w14:paraId="28C6C1AE" w14:textId="77777777" w:rsidR="00E83532" w:rsidRPr="00933EA2" w:rsidRDefault="00E83532" w:rsidP="00933EA2">
      <w:pPr>
        <w:jc w:val="both"/>
      </w:pPr>
    </w:p>
    <w:p w14:paraId="6C010B8C" w14:textId="79F39930" w:rsidR="00E83532" w:rsidRPr="00933EA2" w:rsidRDefault="00B705CF" w:rsidP="00933EA2">
      <w:pPr>
        <w:pStyle w:val="BodyText"/>
        <w:keepNext/>
        <w:keepLines/>
        <w:jc w:val="center"/>
        <w:rPr>
          <w:b/>
        </w:rPr>
      </w:pPr>
      <w:r>
        <w:rPr>
          <w:b/>
        </w:rPr>
        <w:t xml:space="preserve">Člen 34</w:t>
      </w:r>
    </w:p>
    <w:p w14:paraId="7F24E3CE" w14:textId="77777777" w:rsidR="00E83532" w:rsidRPr="00933EA2" w:rsidRDefault="00E83532" w:rsidP="00933EA2">
      <w:pPr>
        <w:keepNext/>
        <w:keepLines/>
        <w:rPr>
          <w:b/>
        </w:rPr>
      </w:pPr>
    </w:p>
    <w:p w14:paraId="4544500B" w14:textId="77777777" w:rsidR="00E83532" w:rsidRPr="00933EA2" w:rsidRDefault="00E83532" w:rsidP="00933EA2">
      <w:pPr>
        <w:jc w:val="both"/>
      </w:pPr>
      <w:r>
        <w:t xml:space="preserve">Trženje športnih zvez in organizatorjev športnih prireditev na podlagi pravice do organizacije stav poteka po nediskriminatornem posvetovalnem postopku, v katerega se lahko vključijo vsi prireditelji, ki so pridobili dovoljenje prireditelja športnih stav iz člena 21 zgoraj omenjenega zakona z dne 12. maja 2010.</w:t>
      </w:r>
    </w:p>
    <w:p w14:paraId="68BF99B9" w14:textId="77777777" w:rsidR="00E83532" w:rsidRPr="00933EA2" w:rsidRDefault="00E83532" w:rsidP="00933EA2">
      <w:pPr>
        <w:jc w:val="both"/>
      </w:pPr>
      <w:r>
        <w:t xml:space="preserve">Trženje ne more biti predmet ločenih sklopov.</w:t>
      </w:r>
    </w:p>
    <w:p w14:paraId="19794558" w14:textId="77777777" w:rsidR="00E83532" w:rsidRPr="00933EA2" w:rsidRDefault="00E83532" w:rsidP="00933EA2">
      <w:pPr>
        <w:jc w:val="both"/>
      </w:pPr>
      <w:r>
        <w:t xml:space="preserve">Specifikacije, ki jih pripravi športna zveza ali organizator športnih prireditev, se pošljejo vsakemu prireditelju z dovoljenjem, ki zanje zaprosi.</w:t>
      </w:r>
    </w:p>
    <w:p w14:paraId="5C661377" w14:textId="77777777" w:rsidR="00E83532" w:rsidRPr="00933EA2" w:rsidRDefault="00E83532" w:rsidP="00933EA2">
      <w:pPr>
        <w:jc w:val="both"/>
      </w:pPr>
      <w:r>
        <w:t xml:space="preserve">Specifikacije:</w:t>
      </w:r>
    </w:p>
    <w:p w14:paraId="5305958B" w14:textId="77777777" w:rsidR="00E83532" w:rsidRPr="00933EA2" w:rsidRDefault="00E83532" w:rsidP="00933EA2">
      <w:pPr>
        <w:jc w:val="both"/>
      </w:pPr>
      <w:r>
        <w:t xml:space="preserve">1. določajo časovni razpored postopka oddaje in pravila, ki urejajo posvetovanje, zlasti glede določanja cene v skladu s pogoji iz člena 36;</w:t>
      </w:r>
    </w:p>
    <w:p w14:paraId="1846E31E" w14:textId="77777777" w:rsidR="00E83532" w:rsidRPr="00933EA2" w:rsidRDefault="00E83532" w:rsidP="00933EA2">
      <w:pPr>
        <w:jc w:val="both"/>
      </w:pPr>
      <w:r>
        <w:t xml:space="preserve">2. določajo predmet posvetovanja, ki se lahko nanaša na enega ali več športnih prireditev ali tekmovanj, ob upoštevanju kategorij športnih prireditev in tekmovanj, ki jih določi Nacionalni organ za igre na srečo;</w:t>
      </w:r>
    </w:p>
    <w:p w14:paraId="7283C5C5" w14:textId="77777777" w:rsidR="00E83532" w:rsidRPr="00933EA2" w:rsidRDefault="00E83532" w:rsidP="00933EA2">
      <w:pPr>
        <w:jc w:val="both"/>
      </w:pPr>
      <w:r>
        <w:t xml:space="preserve">3. določajo trajanje pravice do prirejanja;</w:t>
      </w:r>
    </w:p>
    <w:p w14:paraId="44470888" w14:textId="77777777" w:rsidR="00E83532" w:rsidRPr="00933EA2" w:rsidRDefault="00E83532" w:rsidP="00933EA2">
      <w:pPr>
        <w:jc w:val="both"/>
      </w:pPr>
      <w:r>
        <w:t xml:space="preserve">4. določajo ukrepe nadzora in odkrivanja, ki jih namerava športna zveza ali organizator športnih prireditev sprejeti v smislu preprečevanja tveganj, ki bi lahko ogrozila integriteto športnih tekmovanj ali prireditev, ki so predmet posvetovanja;</w:t>
      </w:r>
    </w:p>
    <w:p w14:paraId="741F2DE2" w14:textId="77777777" w:rsidR="00E83532" w:rsidRPr="00933EA2" w:rsidRDefault="00E83532" w:rsidP="00933EA2">
      <w:pPr>
        <w:jc w:val="both"/>
      </w:pPr>
      <w:r>
        <w:t xml:space="preserve">5. določa obveznosti obveščanja in preglednosti prireditelja z dovoljenjem pri odkrivanju goljufij in preprečevanju tveganj za integriteto športnih prireditev in tekmovanj.</w:t>
      </w:r>
    </w:p>
    <w:p w14:paraId="6B302731" w14:textId="77777777" w:rsidR="00E83532" w:rsidRPr="00933EA2" w:rsidRDefault="00E83532" w:rsidP="00933EA2">
      <w:pPr>
        <w:jc w:val="both"/>
      </w:pPr>
    </w:p>
    <w:p w14:paraId="315C78D0" w14:textId="1148D27B" w:rsidR="00E83532" w:rsidRPr="00933EA2" w:rsidRDefault="00B705CF" w:rsidP="00933EA2">
      <w:pPr>
        <w:pStyle w:val="BodyText"/>
        <w:keepNext/>
        <w:keepLines/>
        <w:jc w:val="center"/>
        <w:rPr>
          <w:b/>
        </w:rPr>
      </w:pPr>
      <w:r>
        <w:rPr>
          <w:b/>
        </w:rPr>
        <w:t xml:space="preserve">Člen 35</w:t>
      </w:r>
    </w:p>
    <w:p w14:paraId="4393A0B3" w14:textId="77777777" w:rsidR="00E83532" w:rsidRPr="00933EA2" w:rsidRDefault="00E83532" w:rsidP="00933EA2">
      <w:pPr>
        <w:keepNext/>
        <w:keepLines/>
        <w:rPr>
          <w:b/>
        </w:rPr>
      </w:pPr>
    </w:p>
    <w:p w14:paraId="1188C467" w14:textId="3F4FD285" w:rsidR="00116832" w:rsidRPr="00933EA2" w:rsidRDefault="00E83532" w:rsidP="00933EA2">
      <w:pPr>
        <w:jc w:val="both"/>
      </w:pPr>
      <w:r>
        <w:t xml:space="preserve">Pogodba o organizaciji stav, ki se v skladu s členom L. 333-1-2 Zakonika o športu sklene med športno zvezo ali organizatorjem športnih prireditev in družbo, ki ima izključne pravice za organizacijo in prirejanje športnih stavnih iger na podlagi določb iz člena 137(I) zgoraj omenjenega zakona z dne 22. maja 2019, določa zlasti:</w:t>
      </w:r>
    </w:p>
    <w:p w14:paraId="46E360EF" w14:textId="77777777" w:rsidR="00E83532" w:rsidRPr="00933EA2" w:rsidRDefault="00E83532" w:rsidP="00933EA2">
      <w:pPr>
        <w:jc w:val="both"/>
      </w:pPr>
      <w:r>
        <w:t xml:space="preserve">1. ukrepe nadzora in odkrivanja, ki jih namerava športna zveza ali organizator športnih prireditev sprejeti v smislu preprečevanja tveganj, ki bi lahko ogrozila integriteto športnih tekmovanj ali prireditev, ki so predmet pogodbe;</w:t>
      </w:r>
    </w:p>
    <w:p w14:paraId="1C0A8F89" w14:textId="77777777" w:rsidR="00E83532" w:rsidRPr="00933EA2" w:rsidRDefault="00E83532" w:rsidP="00933EA2">
      <w:pPr>
        <w:jc w:val="both"/>
      </w:pPr>
      <w:r>
        <w:t xml:space="preserve">2. obveznosti obveščanja in preglednosti družbe, ki ima izključne pravice na področju odkrivanja goljufij in preprečevanja tveganj za integriteto športnih prireditev in tekmovanj.</w:t>
      </w:r>
    </w:p>
    <w:p w14:paraId="5C314506" w14:textId="77777777" w:rsidR="00E83532" w:rsidRPr="00933EA2" w:rsidRDefault="00E83532" w:rsidP="00933EA2">
      <w:pPr>
        <w:jc w:val="both"/>
        <w:rPr>
          <w:b/>
        </w:rPr>
      </w:pPr>
    </w:p>
    <w:p w14:paraId="6931D13E" w14:textId="31BF7EE5" w:rsidR="00E83532" w:rsidRPr="00933EA2" w:rsidRDefault="00B705CF" w:rsidP="00933EA2">
      <w:pPr>
        <w:pStyle w:val="BodyText"/>
        <w:keepNext/>
        <w:keepLines/>
        <w:jc w:val="center"/>
        <w:rPr>
          <w:b/>
        </w:rPr>
      </w:pPr>
      <w:r>
        <w:rPr>
          <w:b/>
        </w:rPr>
        <w:t xml:space="preserve">Člen 36</w:t>
      </w:r>
    </w:p>
    <w:p w14:paraId="37351E1A" w14:textId="77777777" w:rsidR="00E83532" w:rsidRPr="00933EA2" w:rsidRDefault="00E83532" w:rsidP="00933EA2">
      <w:pPr>
        <w:keepNext/>
        <w:keepLines/>
        <w:rPr>
          <w:b/>
        </w:rPr>
      </w:pPr>
    </w:p>
    <w:p w14:paraId="0BD0987A" w14:textId="77777777" w:rsidR="00E83532" w:rsidRPr="00933EA2" w:rsidRDefault="00E83532" w:rsidP="00933EA2">
      <w:r>
        <w:t xml:space="preserve">Cena za dodelitev pravice do organizacije stav je izražena sorazmerno z vložki.</w:t>
      </w:r>
    </w:p>
    <w:p w14:paraId="5C76294E" w14:textId="77777777" w:rsidR="00E83532" w:rsidRPr="00933EA2" w:rsidRDefault="00E83532" w:rsidP="00933EA2">
      <w:pPr>
        <w:jc w:val="both"/>
        <w:rPr>
          <w:b/>
        </w:rPr>
      </w:pPr>
    </w:p>
    <w:p w14:paraId="3C1B7CE3" w14:textId="1A73D23D" w:rsidR="00E83532" w:rsidRPr="00933EA2" w:rsidRDefault="00E83532" w:rsidP="00933EA2">
      <w:pPr>
        <w:pStyle w:val="BodyText"/>
        <w:keepNext/>
        <w:keepLines/>
        <w:jc w:val="center"/>
        <w:rPr>
          <w:b/>
        </w:rPr>
      </w:pPr>
      <w:r>
        <w:rPr>
          <w:b/>
        </w:rPr>
        <w:t xml:space="preserve">Člen 37</w:t>
      </w:r>
    </w:p>
    <w:p w14:paraId="0592EB5B" w14:textId="77777777" w:rsidR="00E83532" w:rsidRPr="00933EA2" w:rsidRDefault="00E83532" w:rsidP="00933EA2">
      <w:pPr>
        <w:keepNext/>
        <w:keepLines/>
        <w:rPr>
          <w:b/>
        </w:rPr>
      </w:pPr>
    </w:p>
    <w:p w14:paraId="705BC232" w14:textId="6647C347" w:rsidR="00E83532" w:rsidRPr="00933EA2" w:rsidRDefault="00E83532" w:rsidP="00933EA2">
      <w:pPr>
        <w:jc w:val="both"/>
      </w:pPr>
      <w:r>
        <w:t xml:space="preserve">Dodelitev pravice do organizacije stav mora biti odobrena vsakemu pooblaščenemu prireditelju, ki to zahteva v obdobju delovanja, omenjenega v členu 34(3), in v preostalem obdobju, če izpolnjuje vse pogoje iz specifikacij in sprejme ceno, določeno v okviru posvetovanja iz člena 34.</w:t>
      </w:r>
    </w:p>
    <w:p w14:paraId="0B35E497" w14:textId="77777777" w:rsidR="00E83532" w:rsidRPr="00933EA2" w:rsidRDefault="00E83532" w:rsidP="00933EA2">
      <w:pPr>
        <w:jc w:val="both"/>
      </w:pPr>
    </w:p>
    <w:p w14:paraId="2D8F220A" w14:textId="685526BB" w:rsidR="00E83532" w:rsidRPr="00933EA2" w:rsidRDefault="000546D5" w:rsidP="00933EA2">
      <w:pPr>
        <w:pStyle w:val="BodyText"/>
        <w:keepNext/>
        <w:keepLines/>
        <w:jc w:val="center"/>
        <w:rPr>
          <w:b/>
        </w:rPr>
      </w:pPr>
      <w:r>
        <w:rPr>
          <w:b/>
        </w:rPr>
        <w:t xml:space="preserve">Člen 38</w:t>
      </w:r>
    </w:p>
    <w:p w14:paraId="6719A169" w14:textId="77777777" w:rsidR="00E83532" w:rsidRPr="00933EA2" w:rsidRDefault="00E83532" w:rsidP="00933EA2">
      <w:pPr>
        <w:keepNext/>
        <w:keepLines/>
        <w:rPr>
          <w:b/>
        </w:rPr>
      </w:pPr>
    </w:p>
    <w:p w14:paraId="5D5239CC" w14:textId="77777777" w:rsidR="00E83532" w:rsidRPr="00933EA2" w:rsidRDefault="00E83532" w:rsidP="00933EA2">
      <w:pPr>
        <w:jc w:val="both"/>
      </w:pPr>
      <w:r>
        <w:t xml:space="preserve">Pogodba o organizaciji stav, sklenjena med športno zvezo ali organizatorjem športnih prireditev in prirediteljem z dovoljenjem v skladu s členom L. 333-1-2 Zakonika o športu, avtomatično preneha veljati v primeru, da prireditelj izgubi dovoljenje iz člena 21 zgoraj omenjenega zakona z dne 22. maja 2019.</w:t>
      </w:r>
    </w:p>
    <w:p w14:paraId="36801C3B" w14:textId="77777777" w:rsidR="00757561" w:rsidRPr="00933EA2" w:rsidRDefault="00757561" w:rsidP="00933EA2">
      <w:pPr>
        <w:jc w:val="both"/>
      </w:pPr>
    </w:p>
    <w:p w14:paraId="6BC7C418" w14:textId="22A119E4" w:rsidR="00E83532" w:rsidRPr="00933EA2" w:rsidRDefault="00E83532" w:rsidP="00933EA2">
      <w:pPr>
        <w:jc w:val="center"/>
        <w:rPr>
          <w:b/>
        </w:rPr>
      </w:pPr>
      <w:r>
        <w:rPr>
          <w:b/>
        </w:rPr>
        <w:t xml:space="preserve">NASLOV VI:</w:t>
      </w:r>
      <w:r>
        <w:rPr>
          <w:b/>
        </w:rPr>
        <w:t xml:space="preserve"> </w:t>
      </w:r>
      <w:r>
        <w:rPr>
          <w:b/>
        </w:rPr>
        <w:t xml:space="preserve">ŠPORTNA TEKMOVANJA IN VRSTE ŠPORTNIH REZULTATOV, KI JIH DOLOČI NACIONALNI ORGAN ZA IGRE NA SREČO</w:t>
      </w:r>
    </w:p>
    <w:p w14:paraId="69BAC38E" w14:textId="77777777" w:rsidR="00E83532" w:rsidRPr="00933EA2" w:rsidRDefault="00E83532" w:rsidP="00933EA2">
      <w:pPr>
        <w:jc w:val="center"/>
        <w:rPr>
          <w:b/>
        </w:rPr>
      </w:pPr>
    </w:p>
    <w:p w14:paraId="3CECFBB9" w14:textId="25BBB318" w:rsidR="00E83532" w:rsidRPr="00933EA2" w:rsidRDefault="000546D5" w:rsidP="00933EA2">
      <w:pPr>
        <w:pStyle w:val="BodyText"/>
        <w:keepNext/>
        <w:keepLines/>
        <w:jc w:val="center"/>
        <w:rPr>
          <w:b/>
        </w:rPr>
      </w:pPr>
      <w:r>
        <w:rPr>
          <w:b/>
        </w:rPr>
        <w:t xml:space="preserve">Člen 39</w:t>
      </w:r>
    </w:p>
    <w:p w14:paraId="6A81B994" w14:textId="77777777" w:rsidR="00E83532" w:rsidRPr="00933EA2" w:rsidRDefault="00E83532" w:rsidP="00933EA2">
      <w:pPr>
        <w:keepNext/>
        <w:keepLines/>
        <w:rPr>
          <w:b/>
        </w:rPr>
      </w:pPr>
    </w:p>
    <w:p w14:paraId="0DB946A6" w14:textId="77777777" w:rsidR="00E83532" w:rsidRPr="00933EA2" w:rsidRDefault="00E83532" w:rsidP="00933EA2">
      <w:pPr>
        <w:jc w:val="both"/>
      </w:pPr>
      <w:r>
        <w:t xml:space="preserve">Vsak prireditelj športnih stav, ki ima dovoljenje iz člena 21 zgoraj omenjenega zakona z dne 12. maja 2010, ali družba, ki ima izključne pravice iz člena 137 zgoraj omenjenega zakona z dne 22. maja 2019, lahko organizira športne stave, če se nanašajo na:</w:t>
      </w:r>
    </w:p>
    <w:p w14:paraId="17D806A7" w14:textId="10AEBFC3" w:rsidR="00E83532" w:rsidRPr="00933EA2" w:rsidRDefault="001D2F2A" w:rsidP="00933EA2">
      <w:pPr>
        <w:jc w:val="both"/>
      </w:pPr>
      <w:r>
        <w:t xml:space="preserve">1. eno od športnih tekmovanj ali prireditev, ki jih opredeli Nacionalni organ za igre na srečo v skladu s postopkom, določenim v členu 40 te uredbe;</w:t>
      </w:r>
    </w:p>
    <w:p w14:paraId="5583FEEC" w14:textId="31F4AAB1" w:rsidR="00E83532" w:rsidRPr="00933EA2" w:rsidRDefault="001D2F2A" w:rsidP="00933EA2">
      <w:pPr>
        <w:jc w:val="both"/>
      </w:pPr>
      <w:r>
        <w:t xml:space="preserve">2. vrsto rezultatov, ki jih opredeli Nacionalni organ za igre na srečo v skladu s postopkom, določenim v členu 41 te uredbe.</w:t>
      </w:r>
    </w:p>
    <w:p w14:paraId="43D77DCC" w14:textId="77777777" w:rsidR="00E83532" w:rsidRPr="00933EA2" w:rsidRDefault="00E83532" w:rsidP="00933EA2">
      <w:pPr>
        <w:jc w:val="both"/>
      </w:pPr>
    </w:p>
    <w:p w14:paraId="3D01E1B0" w14:textId="2CD26D6C" w:rsidR="00E83532" w:rsidRPr="00933EA2" w:rsidRDefault="000546D5" w:rsidP="00933EA2">
      <w:pPr>
        <w:pStyle w:val="BodyText"/>
        <w:keepNext/>
        <w:keepLines/>
        <w:jc w:val="center"/>
        <w:rPr>
          <w:b/>
        </w:rPr>
      </w:pPr>
      <w:r>
        <w:rPr>
          <w:b/>
        </w:rPr>
        <w:t xml:space="preserve">Člen 40</w:t>
      </w:r>
    </w:p>
    <w:p w14:paraId="0C3BE9F8" w14:textId="77777777" w:rsidR="00E83532" w:rsidRPr="00933EA2" w:rsidRDefault="00E83532" w:rsidP="00933EA2">
      <w:pPr>
        <w:keepNext/>
        <w:keepLines/>
        <w:rPr>
          <w:b/>
        </w:rPr>
      </w:pPr>
    </w:p>
    <w:p w14:paraId="718B7814" w14:textId="77777777" w:rsidR="00E83532" w:rsidRPr="00933EA2" w:rsidRDefault="00E83532" w:rsidP="00933EA2">
      <w:pPr>
        <w:jc w:val="both"/>
      </w:pPr>
      <w:r>
        <w:t xml:space="preserve">I. Nacionalni organ za igre na srečo za vsako športno disciplino določi športna tekmovanja ali prireditve, ki lahko služijo kot osnova pri organizaciji športnih stav, in po potrebi razlikuje med stavami pod izključnimi pravicami in spletnimi stavami.</w:t>
      </w:r>
    </w:p>
    <w:p w14:paraId="0E8A7ED2" w14:textId="77777777" w:rsidR="00E83532" w:rsidRPr="00933EA2" w:rsidRDefault="000546D5" w:rsidP="00933EA2">
      <w:pPr>
        <w:jc w:val="both"/>
      </w:pPr>
      <w:r>
        <w:t xml:space="preserve">II.</w:t>
      </w:r>
      <w:r>
        <w:t xml:space="preserve"> </w:t>
      </w:r>
      <w:r>
        <w:t xml:space="preserve">Športna tekmovanja ali prireditve, ki so osnova za stave, se po posvetovanju s pristojno delegatsko zvezo opredelijo v sodelovanju s profesionalno ligo, če je bila ustanovljena, v nasprotnem primeru pa z ministrom, pristojnim za šport, zlasti glede na:</w:t>
      </w:r>
    </w:p>
    <w:p w14:paraId="722FF2F6" w14:textId="5172B280" w:rsidR="00E83532" w:rsidRPr="00933EA2" w:rsidRDefault="00E83532" w:rsidP="00933EA2">
      <w:pPr>
        <w:jc w:val="both"/>
      </w:pPr>
      <w:r>
        <w:t xml:space="preserve">1. vrsto organizatorja športnega tekmovanja ali prireditve, ki mora biti bodisi:</w:t>
      </w:r>
    </w:p>
    <w:p w14:paraId="3488BBCF" w14:textId="25AC620C" w:rsidR="00E83532" w:rsidRPr="00933EA2" w:rsidRDefault="001D2F2A" w:rsidP="00933EA2">
      <w:pPr>
        <w:jc w:val="both"/>
      </w:pPr>
      <w:r>
        <w:t xml:space="preserve">a) športna zveza, omenjena v členu L. 131-1 Zakonika o športu;</w:t>
      </w:r>
    </w:p>
    <w:p w14:paraId="7C99B229" w14:textId="0EBB845F" w:rsidR="00E83532" w:rsidRPr="00933EA2" w:rsidRDefault="001D2F2A" w:rsidP="00933EA2">
      <w:pPr>
        <w:jc w:val="both"/>
      </w:pPr>
      <w:r>
        <w:t xml:space="preserve">b) mednarodna športna zveza;</w:t>
      </w:r>
    </w:p>
    <w:p w14:paraId="2F54D76A" w14:textId="73157C35" w:rsidR="00E83532" w:rsidRPr="00933EA2" w:rsidRDefault="001D2F2A" w:rsidP="00933EA2">
      <w:pPr>
        <w:jc w:val="both"/>
      </w:pPr>
      <w:r>
        <w:t xml:space="preserve">c) mednarodna športna organizacija;</w:t>
      </w:r>
    </w:p>
    <w:p w14:paraId="64D8D58C" w14:textId="467D8AC5" w:rsidR="00E83532" w:rsidRPr="00933EA2" w:rsidRDefault="001D2F2A" w:rsidP="00933EA2">
      <w:pPr>
        <w:jc w:val="both"/>
      </w:pPr>
      <w:r>
        <w:t xml:space="preserve">d) organizator športnih prireditev iz člena L. 331-5 ali L. 331-4-1 Zakonika o športu;</w:t>
      </w:r>
    </w:p>
    <w:p w14:paraId="6D85461B" w14:textId="41B7DCD3" w:rsidR="00E83532" w:rsidRPr="00933EA2" w:rsidRDefault="001D2F2A" w:rsidP="00933EA2">
      <w:pPr>
        <w:jc w:val="both"/>
      </w:pPr>
      <w:r>
        <w:t xml:space="preserve">e) organizator športnih prireditev, zakonito organiziranih v tujini;</w:t>
      </w:r>
    </w:p>
    <w:p w14:paraId="2CDF6961" w14:textId="38CAF493" w:rsidR="00E83532" w:rsidRPr="00933EA2" w:rsidRDefault="001D2F2A" w:rsidP="00933EA2">
      <w:pPr>
        <w:jc w:val="both"/>
      </w:pPr>
      <w:r>
        <w:t xml:space="preserve">2. predpise, ki se uporabljajo za zadevna športna tekmovanja ali prireditve;</w:t>
      </w:r>
      <w:r>
        <w:t xml:space="preserve"> </w:t>
      </w:r>
    </w:p>
    <w:p w14:paraId="11DA738D" w14:textId="1DBC6C2A" w:rsidR="00E83532" w:rsidRPr="00933EA2" w:rsidRDefault="001D2F2A" w:rsidP="00933EA2">
      <w:pPr>
        <w:jc w:val="both"/>
      </w:pPr>
      <w:r>
        <w:t xml:space="preserve">3. dostopnost rezultatov športnega tekmovanja ali prireditve;</w:t>
      </w:r>
    </w:p>
    <w:p w14:paraId="048F9C60" w14:textId="0BDBD468" w:rsidR="00E83532" w:rsidRPr="00933EA2" w:rsidRDefault="001D2F2A" w:rsidP="00933EA2">
      <w:pPr>
        <w:jc w:val="both"/>
      </w:pPr>
      <w:r>
        <w:t xml:space="preserve">4. starost športnih udeležencev, ki lahko sodelujejo pri teh športnih tekmovanjih ali prireditvah;</w:t>
      </w:r>
    </w:p>
    <w:p w14:paraId="146ED28A" w14:textId="4C2DC76F" w:rsidR="00E83532" w:rsidRPr="00933EA2" w:rsidRDefault="001D2F2A" w:rsidP="00933EA2">
      <w:pPr>
        <w:jc w:val="both"/>
      </w:pPr>
      <w:r>
        <w:t xml:space="preserve">5. ugled in izzive športnega tekmovanja ali prireditve;</w:t>
      </w:r>
      <w:r>
        <w:t xml:space="preserve"> </w:t>
      </w:r>
    </w:p>
    <w:p w14:paraId="7A8FAC6E" w14:textId="6EB98374" w:rsidR="00E83532" w:rsidRPr="00933EA2" w:rsidRDefault="001D2F2A" w:rsidP="00933EA2">
      <w:pPr>
        <w:jc w:val="both"/>
      </w:pPr>
      <w:r>
        <w:t xml:space="preserve">6. nevarnosti prirejanja rezultatov, ki jih predstavljajo športna tekmovanja ali prireditve.</w:t>
      </w:r>
    </w:p>
    <w:p w14:paraId="74D6EFEB" w14:textId="77777777" w:rsidR="00E83532" w:rsidRPr="00933EA2" w:rsidRDefault="00E83532" w:rsidP="00933EA2">
      <w:pPr>
        <w:jc w:val="both"/>
      </w:pPr>
    </w:p>
    <w:p w14:paraId="74BF033A" w14:textId="1A8A113B" w:rsidR="00E83532" w:rsidRPr="00933EA2" w:rsidRDefault="000546D5" w:rsidP="00933EA2">
      <w:pPr>
        <w:jc w:val="both"/>
      </w:pPr>
      <w:r>
        <w:t xml:space="preserve">III.</w:t>
      </w:r>
      <w:r>
        <w:t xml:space="preserve"> </w:t>
      </w:r>
      <w:r>
        <w:t xml:space="preserve">Nacionalni organ za igre na srečo lahko na seznam vpiše le del športnega tekmovanja ali prireditve v skladu z merili iz odstavka II tega člena.</w:t>
      </w:r>
    </w:p>
    <w:p w14:paraId="165DB7F5" w14:textId="77777777" w:rsidR="00E83532" w:rsidRPr="00933EA2" w:rsidRDefault="00E83532" w:rsidP="00933EA2">
      <w:pPr>
        <w:jc w:val="both"/>
      </w:pPr>
    </w:p>
    <w:p w14:paraId="2466DE5D" w14:textId="1FBC8993" w:rsidR="00E83532" w:rsidRPr="00933EA2" w:rsidRDefault="000546D5" w:rsidP="00933EA2">
      <w:pPr>
        <w:jc w:val="center"/>
        <w:rPr>
          <w:b/>
        </w:rPr>
      </w:pPr>
      <w:r>
        <w:rPr>
          <w:b/>
        </w:rPr>
        <w:t xml:space="preserve">Člen 41</w:t>
      </w:r>
    </w:p>
    <w:p w14:paraId="196D5DA5" w14:textId="77777777" w:rsidR="00E83532" w:rsidRPr="00933EA2" w:rsidRDefault="00E83532" w:rsidP="00933EA2">
      <w:pPr>
        <w:keepNext/>
        <w:keepLines/>
        <w:rPr>
          <w:b/>
        </w:rPr>
      </w:pPr>
    </w:p>
    <w:p w14:paraId="13AE3DD7" w14:textId="2172B9F8" w:rsidR="00E83532" w:rsidRPr="00933EA2" w:rsidRDefault="00E83532" w:rsidP="00933EA2">
      <w:pPr>
        <w:jc w:val="both"/>
      </w:pPr>
      <w:r>
        <w:t xml:space="preserve">I. Za vsako športno disciplino in po potrebi za vsako športno tekmovanje ali prireditev, opredeljeno v skladu s členom 40, Nacionalni organ za igre na srečo po posvetovanju s pristojno delegatsko zvezo v sodelovanju s profesionalno ligo, če je bila ustanovljena, v nasprotnem primeru pa z ministrom, pristojnim za šport, določi vrste rezultatov in ustrezne faze igre, ki so lahko predmet športnih stav, in po potrebi loči med stavami pod izključnimi pravicami in spletnimi stavami.</w:t>
      </w:r>
    </w:p>
    <w:p w14:paraId="52F1E19B" w14:textId="77777777" w:rsidR="00933EA2" w:rsidRDefault="00933EA2" w:rsidP="00933EA2">
      <w:pPr>
        <w:jc w:val="both"/>
      </w:pPr>
    </w:p>
    <w:p w14:paraId="1E870BBE" w14:textId="69770689" w:rsidR="00E83532" w:rsidRPr="00933EA2" w:rsidRDefault="000546D5" w:rsidP="00933EA2">
      <w:pPr>
        <w:jc w:val="both"/>
      </w:pPr>
      <w:r>
        <w:t xml:space="preserve">II. Vrste rezultatov se opredelijo ob upoštevanju tveganj glede prirejanja rezultatov, ki ga predstavljajo, in posebnosti zadevne športne discipline.</w:t>
      </w:r>
    </w:p>
    <w:p w14:paraId="3DDA3910" w14:textId="77777777" w:rsidR="00E83532" w:rsidRPr="00933EA2" w:rsidRDefault="00E83532" w:rsidP="00933EA2">
      <w:pPr>
        <w:jc w:val="both"/>
      </w:pPr>
    </w:p>
    <w:p w14:paraId="77CBE7C3" w14:textId="77777777" w:rsidR="00E83532" w:rsidRPr="00933EA2" w:rsidRDefault="00E83532" w:rsidP="00933EA2">
      <w:pPr>
        <w:jc w:val="both"/>
      </w:pPr>
      <w:r>
        <w:t xml:space="preserve">Te vrste rezultatov so lahko:</w:t>
      </w:r>
      <w:r>
        <w:t xml:space="preserve"> </w:t>
      </w:r>
    </w:p>
    <w:p w14:paraId="64871295" w14:textId="77777777" w:rsidR="00E83532" w:rsidRPr="00933EA2" w:rsidRDefault="00E83532" w:rsidP="00933EA2">
      <w:pPr>
        <w:jc w:val="both"/>
      </w:pPr>
    </w:p>
    <w:p w14:paraId="46B057BA" w14:textId="767E0100" w:rsidR="00E83532" w:rsidRPr="00933EA2" w:rsidRDefault="001D2F2A" w:rsidP="00933EA2">
      <w:pPr>
        <w:jc w:val="both"/>
      </w:pPr>
      <w:r>
        <w:t xml:space="preserve">1. končni rezultati športnih tekmovanj in prireditev;</w:t>
      </w:r>
    </w:p>
    <w:p w14:paraId="76225C59" w14:textId="499CFFB9" w:rsidR="00E83532" w:rsidRPr="00933EA2" w:rsidRDefault="001D2F2A" w:rsidP="00933EA2">
      <w:pPr>
        <w:jc w:val="both"/>
      </w:pPr>
      <w:r>
        <w:t xml:space="preserve">2. rezultati faz iger športnih tekmovanj in prireditev;</w:t>
      </w:r>
    </w:p>
    <w:p w14:paraId="1F3DC41C" w14:textId="4063A425" w:rsidR="00E83532" w:rsidRPr="00933EA2" w:rsidRDefault="001D2F2A" w:rsidP="00933EA2">
      <w:pPr>
        <w:jc w:val="both"/>
      </w:pPr>
      <w:r>
        <w:t xml:space="preserve">3. vsak športni dogodek s športnim izzivom, ki poteka med športnim tekmovanjem in prireditvijo ali fazo igre.</w:t>
      </w:r>
    </w:p>
    <w:p w14:paraId="1F9930BA" w14:textId="77777777" w:rsidR="00E83532" w:rsidRPr="00933EA2" w:rsidRDefault="00E83532" w:rsidP="00933EA2">
      <w:pPr>
        <w:jc w:val="both"/>
      </w:pPr>
    </w:p>
    <w:p w14:paraId="52EF1F25" w14:textId="77777777" w:rsidR="00E83532" w:rsidRPr="00933EA2" w:rsidRDefault="00E83532" w:rsidP="00933EA2">
      <w:pPr>
        <w:jc w:val="both"/>
      </w:pPr>
      <w:r>
        <w:t xml:space="preserve">Te vrste rezultatov odražajo objektivno in merljivo športno uspešnost udeležencev športnega tekmovanja ali prireditve.</w:t>
      </w:r>
      <w:r>
        <w:t xml:space="preserve"> </w:t>
      </w:r>
    </w:p>
    <w:p w14:paraId="3A8AA489" w14:textId="77777777" w:rsidR="00E83532" w:rsidRPr="00933EA2" w:rsidRDefault="00E83532" w:rsidP="00933EA2">
      <w:pPr>
        <w:jc w:val="both"/>
      </w:pPr>
    </w:p>
    <w:p w14:paraId="73D6EA4B" w14:textId="77777777" w:rsidR="00E83532" w:rsidRPr="00933EA2" w:rsidRDefault="00E83532" w:rsidP="00933EA2">
      <w:pPr>
        <w:jc w:val="both"/>
      </w:pPr>
      <w:r>
        <w:t xml:space="preserve">Nacionalni organ za igre na srečo lahko odloči, da se lahko določena vrsta rezultata kot osnova za stavo uporabi samo za del športnega tekmovanja ali prireditve zaradi nevarnostmi prirejanja rezultatov, ki ga predstavlja.</w:t>
      </w:r>
    </w:p>
    <w:p w14:paraId="16E726E0" w14:textId="19901B18" w:rsidR="00E83532" w:rsidRDefault="00E83532" w:rsidP="00933EA2">
      <w:pPr>
        <w:jc w:val="both"/>
      </w:pPr>
    </w:p>
    <w:p w14:paraId="486C3665" w14:textId="77777777" w:rsidR="00933EA2" w:rsidRPr="00933EA2" w:rsidRDefault="00933EA2" w:rsidP="00933EA2">
      <w:pPr>
        <w:jc w:val="both"/>
      </w:pPr>
    </w:p>
    <w:p w14:paraId="3CCB1AF2" w14:textId="77777777" w:rsidR="00E83532" w:rsidRPr="00933EA2" w:rsidRDefault="00E83532" w:rsidP="00933EA2">
      <w:pPr>
        <w:jc w:val="both"/>
      </w:pPr>
      <w:r>
        <w:t xml:space="preserve">III.</w:t>
      </w:r>
      <w:r>
        <w:t xml:space="preserve"> </w:t>
      </w:r>
      <w:r>
        <w:t xml:space="preserve">Stave potekajo na podlagi rezultatov športnega tekmovanja ali prireditve, kot jih napove organizator športnega tekmovanja.</w:t>
      </w:r>
    </w:p>
    <w:p w14:paraId="24EFF772" w14:textId="77777777" w:rsidR="00933EA2" w:rsidRDefault="00933EA2" w:rsidP="00933EA2">
      <w:pPr>
        <w:jc w:val="both"/>
      </w:pPr>
    </w:p>
    <w:p w14:paraId="56D578E6" w14:textId="7A6F8FE3" w:rsidR="00E83532" w:rsidRPr="00933EA2" w:rsidRDefault="00E83532" w:rsidP="00933EA2">
      <w:pPr>
        <w:jc w:val="both"/>
      </w:pPr>
      <w:r>
        <w:t xml:space="preserve">Stave se zaključijo ob prvi napovedi rezultatov s strani organizatorja športnega tekmovanja ali prireditve, tudi v primeru, da je treba pozneje rezultate spremeniti v skladu s predpisi, ki veljajo na tem tekmovanju.</w:t>
      </w:r>
    </w:p>
    <w:p w14:paraId="52BEBFC2" w14:textId="77777777" w:rsidR="00E83532" w:rsidRPr="00933EA2" w:rsidRDefault="00E83532" w:rsidP="00933EA2">
      <w:pPr>
        <w:jc w:val="both"/>
      </w:pPr>
    </w:p>
    <w:p w14:paraId="7ACF4486" w14:textId="1EF68EDE" w:rsidR="00E83532" w:rsidRPr="00933EA2" w:rsidRDefault="000546D5" w:rsidP="00933EA2">
      <w:pPr>
        <w:pStyle w:val="BodyText"/>
        <w:keepNext/>
        <w:keepLines/>
        <w:jc w:val="center"/>
        <w:rPr>
          <w:b/>
        </w:rPr>
      </w:pPr>
      <w:r>
        <w:rPr>
          <w:b/>
        </w:rPr>
        <w:t xml:space="preserve">Člen 42</w:t>
      </w:r>
    </w:p>
    <w:p w14:paraId="7C84BAB8" w14:textId="77777777" w:rsidR="00E83532" w:rsidRPr="00933EA2" w:rsidRDefault="00E83532" w:rsidP="00933EA2">
      <w:pPr>
        <w:keepNext/>
        <w:keepLines/>
        <w:rPr>
          <w:b/>
        </w:rPr>
      </w:pPr>
    </w:p>
    <w:p w14:paraId="030CB2CE" w14:textId="5AF94B71" w:rsidR="00E83532" w:rsidRPr="00933EA2" w:rsidRDefault="00E83532" w:rsidP="00933EA2">
      <w:pPr>
        <w:jc w:val="both"/>
      </w:pPr>
      <w:r>
        <w:t xml:space="preserve">I. Vsak prireditelj športnih stav, ki ima dovoljenje iz člena 21 zgoraj omenjenega zakona z dne 12. maja 2010, ali družba, ki ima izključne pravice iz člena 137 zgoraj omenjenega zakona z dne 22. maja 2019, lahko Nacionalnemu organu za igre na srečo posreduje zahtevek za:</w:t>
      </w:r>
    </w:p>
    <w:p w14:paraId="19343559" w14:textId="35AB4324" w:rsidR="00E83532" w:rsidRPr="00933EA2" w:rsidRDefault="001D2F2A" w:rsidP="00933EA2">
      <w:pPr>
        <w:jc w:val="both"/>
      </w:pPr>
      <w:r>
        <w:t xml:space="preserve">1. vpis športnega tekmovanja ali prireditve na seznam tekmovanj, ki bi lahko predstavljala osnovo za športne stave;</w:t>
      </w:r>
    </w:p>
    <w:p w14:paraId="02EF46C5" w14:textId="143E50B7" w:rsidR="00E83532" w:rsidRPr="00933EA2" w:rsidRDefault="001D2F2A" w:rsidP="00933EA2">
      <w:pPr>
        <w:jc w:val="both"/>
      </w:pPr>
      <w:r>
        <w:t xml:space="preserve">2. vpis določene vrste rezultata na seznam vrst rezultatov, ki bi lahko predstavljali osnovo za športne stave.</w:t>
      </w:r>
    </w:p>
    <w:p w14:paraId="307A96DC" w14:textId="130F35FA" w:rsidR="00E83532" w:rsidRPr="00933EA2" w:rsidRDefault="001D2F2A" w:rsidP="00933EA2">
      <w:pPr>
        <w:jc w:val="both"/>
      </w:pPr>
      <w:r>
        <w:t xml:space="preserve">II.</w:t>
      </w:r>
      <w:r>
        <w:t xml:space="preserve"> </w:t>
      </w:r>
      <w:r>
        <w:t xml:space="preserve">Ta zahtevek se utemelji in Nacionalnemu organu za igre na srečo posreduje skupaj z dokumentacijo, v kateri so predstavljene značilnosti športnih tekmovanj ali prireditev in vrst rezultatov, ki so predmet zadevnega zahtevka.</w:t>
      </w:r>
    </w:p>
    <w:p w14:paraId="69FA3E9A" w14:textId="217460B5" w:rsidR="00E83532" w:rsidRPr="00933EA2" w:rsidRDefault="001D2F2A" w:rsidP="00933EA2">
      <w:pPr>
        <w:jc w:val="both"/>
      </w:pPr>
      <w:r>
        <w:t xml:space="preserve">III.</w:t>
      </w:r>
      <w:r>
        <w:t xml:space="preserve"> </w:t>
      </w:r>
      <w:r>
        <w:t xml:space="preserve">Nacionalni organ za igre na srečo po prejemu dokumentacije iz odstavka II v roku treh mesecev sprejme odločitev o zahtevku iz odstavka I.</w:t>
      </w:r>
    </w:p>
    <w:p w14:paraId="40409221" w14:textId="77777777" w:rsidR="00E83532" w:rsidRPr="00933EA2" w:rsidRDefault="00E83532" w:rsidP="00933EA2">
      <w:pPr>
        <w:jc w:val="both"/>
      </w:pPr>
      <w:r>
        <w:t xml:space="preserve">Nacionalni organ za igre na srečo stopi v stik s pristojno delegatsko zvezo, ki ima en mesec časa za izdajo mnenja o zahtevku iz odstavka I. Kopija mnenja se pošlje ministru, pristojnemu za šport.</w:t>
      </w:r>
    </w:p>
    <w:p w14:paraId="0832E351" w14:textId="77777777" w:rsidR="00E83532" w:rsidRPr="00933EA2" w:rsidRDefault="00E83532" w:rsidP="00933EA2">
      <w:pPr>
        <w:jc w:val="both"/>
      </w:pPr>
      <w:r>
        <w:t xml:space="preserve">Če zveza ne poda svojega mnenja, organ zahteva mnenje ministra, pristojnega za šport, ki odloči v roku enega meseca.</w:t>
      </w:r>
    </w:p>
    <w:p w14:paraId="23476069" w14:textId="77777777" w:rsidR="00E83532" w:rsidRPr="00933EA2" w:rsidRDefault="00E83532" w:rsidP="00933EA2">
      <w:pPr>
        <w:jc w:val="both"/>
      </w:pPr>
    </w:p>
    <w:p w14:paraId="044A68A6" w14:textId="73D3928B" w:rsidR="00E83532" w:rsidRPr="00933EA2" w:rsidRDefault="000546D5" w:rsidP="00933EA2">
      <w:pPr>
        <w:pStyle w:val="BodyText"/>
        <w:keepNext/>
        <w:keepLines/>
        <w:jc w:val="center"/>
        <w:rPr>
          <w:b/>
        </w:rPr>
      </w:pPr>
      <w:r>
        <w:rPr>
          <w:b/>
        </w:rPr>
        <w:t xml:space="preserve">Člen 43</w:t>
      </w:r>
    </w:p>
    <w:p w14:paraId="359D6D3D" w14:textId="77777777" w:rsidR="00E83532" w:rsidRPr="00933EA2" w:rsidRDefault="00E83532" w:rsidP="00933EA2">
      <w:pPr>
        <w:keepNext/>
        <w:keepLines/>
        <w:rPr>
          <w:b/>
        </w:rPr>
      </w:pPr>
    </w:p>
    <w:p w14:paraId="73749B31" w14:textId="538D2E7B" w:rsidR="00E83532" w:rsidRPr="00933EA2" w:rsidRDefault="00E83532" w:rsidP="00933EA2">
      <w:pPr>
        <w:jc w:val="both"/>
      </w:pPr>
      <w:r>
        <w:t xml:space="preserve">I. Delegatska zveza lahko v sodelovanju s profesionalno ligo, če je bila ustanovljena, Nacionalnemu organu za igre na srečo posreduje zahtevek za:</w:t>
      </w:r>
    </w:p>
    <w:p w14:paraId="5B72A56E" w14:textId="77777777" w:rsidR="00E83532" w:rsidRPr="00933EA2" w:rsidRDefault="00E83532" w:rsidP="00933EA2">
      <w:pPr>
        <w:jc w:val="both"/>
      </w:pPr>
    </w:p>
    <w:p w14:paraId="584145E6" w14:textId="77777777" w:rsidR="00E83532" w:rsidRPr="00933EA2" w:rsidRDefault="00E83532" w:rsidP="00933EA2">
      <w:pPr>
        <w:jc w:val="both"/>
      </w:pPr>
      <w:r>
        <w:t xml:space="preserve">1. vpis športnega tekmovanja ali prireditve, ki jo organizira, na seznam tekmovanj, ki bi lahko predstavljala osnovo za športne stave, oziroma izbris s tega seznama;</w:t>
      </w:r>
    </w:p>
    <w:p w14:paraId="5B2379B2" w14:textId="77777777" w:rsidR="00E83532" w:rsidRPr="00933EA2" w:rsidRDefault="00E83532" w:rsidP="00933EA2">
      <w:pPr>
        <w:jc w:val="both"/>
      </w:pPr>
      <w:r>
        <w:t xml:space="preserve">2. vpis ali izbris vrst rezultatov športnih tekmovanj ali prireditev, ki jih organizira, ali le del teh tekmovanj.</w:t>
      </w:r>
    </w:p>
    <w:p w14:paraId="7B008624" w14:textId="77777777" w:rsidR="00E83532" w:rsidRPr="00933EA2" w:rsidRDefault="00E83532" w:rsidP="00933EA2">
      <w:pPr>
        <w:jc w:val="both"/>
      </w:pPr>
    </w:p>
    <w:p w14:paraId="5E27032B" w14:textId="6C334152" w:rsidR="00E83532" w:rsidRPr="00933EA2" w:rsidRDefault="00E83532" w:rsidP="00933EA2">
      <w:pPr>
        <w:jc w:val="both"/>
      </w:pPr>
      <w:r>
        <w:t xml:space="preserve">II.</w:t>
      </w:r>
      <w:r>
        <w:t xml:space="preserve"> </w:t>
      </w:r>
      <w:r>
        <w:t xml:space="preserve">Ta zahtevek se utemelji in Nacionalnemu organu za igre na srečo posreduje skupaj z dokumentacijo, v kateri so predstavljene značilnosti tekmovanja in vrst rezultatov, ki so predmet zadevnega zahtevka.</w:t>
      </w:r>
    </w:p>
    <w:p w14:paraId="19B17EA3" w14:textId="77777777" w:rsidR="00E83532" w:rsidRPr="00933EA2" w:rsidRDefault="00E83532" w:rsidP="00933EA2">
      <w:pPr>
        <w:jc w:val="both"/>
      </w:pPr>
    </w:p>
    <w:p w14:paraId="4953E9EA" w14:textId="734C9153" w:rsidR="00E83532" w:rsidRPr="00933EA2" w:rsidRDefault="00E83532" w:rsidP="00933EA2">
      <w:pPr>
        <w:jc w:val="both"/>
      </w:pPr>
      <w:r>
        <w:t xml:space="preserve">III.</w:t>
      </w:r>
      <w:r>
        <w:t xml:space="preserve"> </w:t>
      </w:r>
      <w:r>
        <w:t xml:space="preserve">Nacionalni organ za igre na srečo po prejemu dokumentacije iz odstavka II v roku dveh mesecev sprejme odločitev o zahtevku iz odstavka I.</w:t>
      </w:r>
    </w:p>
    <w:p w14:paraId="3341806A" w14:textId="77777777" w:rsidR="00834E0B" w:rsidRPr="00933EA2" w:rsidRDefault="00834E0B" w:rsidP="00933EA2">
      <w:pPr>
        <w:jc w:val="both"/>
      </w:pPr>
    </w:p>
    <w:p w14:paraId="72E82424" w14:textId="16A9CBAB" w:rsidR="00834E0B" w:rsidRPr="00933EA2" w:rsidRDefault="000546D5" w:rsidP="00933EA2">
      <w:pPr>
        <w:pStyle w:val="BodyText"/>
        <w:keepNext/>
        <w:keepLines/>
        <w:jc w:val="center"/>
        <w:rPr>
          <w:b/>
        </w:rPr>
      </w:pPr>
      <w:r>
        <w:rPr>
          <w:b/>
        </w:rPr>
        <w:t xml:space="preserve">Člen 44</w:t>
      </w:r>
    </w:p>
    <w:p w14:paraId="4EBF7DC7" w14:textId="77777777" w:rsidR="00834E0B" w:rsidRPr="00933EA2" w:rsidRDefault="00834E0B" w:rsidP="00933EA2">
      <w:pPr>
        <w:keepNext/>
        <w:keepLines/>
        <w:rPr>
          <w:b/>
        </w:rPr>
      </w:pPr>
    </w:p>
    <w:p w14:paraId="23490925" w14:textId="3CD7655A" w:rsidR="00834E0B" w:rsidRPr="00933EA2" w:rsidRDefault="00834E0B" w:rsidP="00933EA2">
      <w:r>
        <w:t xml:space="preserve">1. V točki 2 člena D. 561-53 Monetarnega in finančnega zakonika se besedilo „generalni direktor Regulativnega organa za spletne igre ali njegov zastopnik“ nadomesti z besedilom „generalni direktor Nacionalnega organa za igre na srečo“.</w:t>
      </w:r>
      <w:r>
        <w:t xml:space="preserve"> </w:t>
      </w:r>
    </w:p>
    <w:p w14:paraId="43F09FB7" w14:textId="77777777" w:rsidR="00E83532" w:rsidRPr="00933EA2" w:rsidRDefault="00E83532" w:rsidP="00933EA2">
      <w:pPr>
        <w:jc w:val="both"/>
        <w:rPr>
          <w:b/>
        </w:rPr>
      </w:pPr>
    </w:p>
    <w:p w14:paraId="012C1011" w14:textId="0AF72BA0" w:rsidR="00BD5FA1" w:rsidRPr="00933EA2" w:rsidRDefault="000546D5" w:rsidP="00933EA2">
      <w:pPr>
        <w:pStyle w:val="BodyText"/>
        <w:keepNext/>
        <w:keepLines/>
        <w:jc w:val="center"/>
        <w:rPr>
          <w:b/>
        </w:rPr>
      </w:pPr>
      <w:r>
        <w:rPr>
          <w:b/>
        </w:rPr>
        <w:t xml:space="preserve">Člen 45</w:t>
      </w:r>
    </w:p>
    <w:p w14:paraId="1738A26C" w14:textId="77777777" w:rsidR="008701C9" w:rsidRPr="00933EA2" w:rsidRDefault="008701C9" w:rsidP="00933EA2">
      <w:pPr>
        <w:keepNext/>
        <w:keepLines/>
        <w:rPr>
          <w:b/>
        </w:rPr>
      </w:pPr>
    </w:p>
    <w:p w14:paraId="72BBB7F3" w14:textId="02F1FBE2" w:rsidR="008701C9" w:rsidRPr="00933EA2" w:rsidRDefault="00BC35EB" w:rsidP="00933EA2">
      <w:pPr>
        <w:pStyle w:val="BodyText"/>
        <w:jc w:val="both"/>
      </w:pPr>
      <w:r>
        <w:t xml:space="preserve">1. V zadnjem pododstavku člena 8 Uredbe št. 2019-1061 z dne 17. oktobra 2019 se besedilo „zgoraj navedena uredba z dne 12. maja 2010 “ nadomesti z besedilom „Uredba št. XXXX-XXXX z dne XXXXX o regulativnih postopkih Nacionalnega organa za igre na srečo (CPAB1930945D)“.</w:t>
      </w:r>
    </w:p>
    <w:p w14:paraId="3D08313E" w14:textId="77777777" w:rsidR="00C342AB" w:rsidRPr="00933EA2" w:rsidRDefault="00C342AB" w:rsidP="00933EA2">
      <w:pPr>
        <w:pStyle w:val="BodyText"/>
        <w:jc w:val="both"/>
      </w:pPr>
    </w:p>
    <w:p w14:paraId="7E55EF43" w14:textId="77777777" w:rsidR="00142531" w:rsidRPr="00933EA2" w:rsidRDefault="00834E0B" w:rsidP="00933EA2">
      <w:pPr>
        <w:keepNext/>
        <w:keepLines/>
        <w:spacing w:after="200" w:line="276" w:lineRule="auto"/>
        <w:jc w:val="center"/>
        <w:rPr>
          <w:b/>
          <w:rFonts w:eastAsiaTheme="minorHAnsi"/>
        </w:rPr>
      </w:pPr>
      <w:r>
        <w:rPr>
          <w:b/>
        </w:rPr>
        <w:t xml:space="preserve">NASLOV VII:</w:t>
      </w:r>
      <w:r>
        <w:rPr>
          <w:b/>
        </w:rPr>
        <w:t xml:space="preserve"> </w:t>
      </w:r>
      <w:r>
        <w:rPr>
          <w:b/>
        </w:rPr>
        <w:t xml:space="preserve">PREDPISI O KOMERCIALNIH SPOROČILIH PRIREDITELJEV IGER NA SREČO IN OBVEŠČANJU IGRALCEV O TVEGANJIH, KI SO POVEZANA Z IGRANJEM IGRE NA SREČO</w:t>
      </w:r>
    </w:p>
    <w:p w14:paraId="41C8D214" w14:textId="47515E0F" w:rsidR="00142531" w:rsidRDefault="00C342AB" w:rsidP="00933EA2">
      <w:pPr>
        <w:pStyle w:val="BodyText"/>
        <w:keepNext/>
        <w:keepLines/>
        <w:jc w:val="center"/>
        <w:rPr>
          <w:b/>
        </w:rPr>
      </w:pPr>
      <w:r>
        <w:rPr>
          <w:b/>
        </w:rPr>
        <w:t xml:space="preserve">Člen 46</w:t>
      </w:r>
    </w:p>
    <w:p w14:paraId="4DE26176" w14:textId="77777777" w:rsidR="00933EA2" w:rsidRPr="00933EA2" w:rsidRDefault="00933EA2" w:rsidP="00933EA2">
      <w:pPr>
        <w:keepNext/>
        <w:keepLines/>
        <w:rPr>
          <w:b/>
        </w:rPr>
      </w:pPr>
    </w:p>
    <w:p w14:paraId="5030231B" w14:textId="20E653AC" w:rsidR="00142531" w:rsidRPr="00933EA2" w:rsidRDefault="00142531" w:rsidP="00933EA2">
      <w:pPr>
        <w:pStyle w:val="BodyText"/>
        <w:jc w:val="both"/>
      </w:pPr>
      <w:r>
        <w:t xml:space="preserve">Na začetku naslova II zvezka III Zakonika o notranji varnosti se vstavi naslednje uvodno poglavje:</w:t>
      </w:r>
      <w:r>
        <w:t xml:space="preserve"> </w:t>
      </w:r>
    </w:p>
    <w:p w14:paraId="61BF947B" w14:textId="7FEB993C" w:rsidR="00142531" w:rsidRPr="00933EA2" w:rsidRDefault="00142531" w:rsidP="00933EA2">
      <w:pPr>
        <w:pStyle w:val="BodyText"/>
      </w:pPr>
      <w:r>
        <w:t xml:space="preserve">„</w:t>
      </w:r>
      <w:r>
        <w:rPr>
          <w:i/>
        </w:rPr>
        <w:t xml:space="preserve">Uvodno poglavje</w:t>
      </w:r>
      <w:r>
        <w:rPr>
          <w:i/>
        </w:rPr>
        <w:t xml:space="preserve"> </w:t>
      </w:r>
    </w:p>
    <w:p w14:paraId="0DB00C14" w14:textId="3E68E4D5" w:rsidR="00142531" w:rsidRPr="00933EA2" w:rsidRDefault="00142531" w:rsidP="00933EA2">
      <w:pPr>
        <w:pStyle w:val="BodyText"/>
      </w:pPr>
      <w:r>
        <w:rPr>
          <w:i/>
        </w:rPr>
        <w:t xml:space="preserve">Splošne določbe</w:t>
      </w:r>
      <w:r>
        <w:t xml:space="preserve"> </w:t>
      </w:r>
    </w:p>
    <w:p w14:paraId="35CC0321" w14:textId="2A20C3B8" w:rsidR="00142531" w:rsidRPr="00933EA2" w:rsidRDefault="00142531" w:rsidP="00933EA2">
      <w:pPr>
        <w:pStyle w:val="BodyText"/>
        <w:tabs>
          <w:tab w:val="left" w:pos="1659"/>
        </w:tabs>
      </w:pPr>
      <w:r>
        <w:rPr>
          <w:i/>
        </w:rPr>
        <w:t xml:space="preserve">Oddelek 1</w:t>
      </w:r>
      <w:r>
        <w:rPr>
          <w:i/>
        </w:rPr>
        <w:tab/>
      </w:r>
    </w:p>
    <w:p w14:paraId="6EA0D4BD" w14:textId="36B722F7" w:rsidR="00142531" w:rsidRPr="00933EA2" w:rsidRDefault="00142531" w:rsidP="00933EA2">
      <w:pPr>
        <w:pStyle w:val="BodyText"/>
      </w:pPr>
      <w:r>
        <w:rPr>
          <w:i/>
        </w:rPr>
        <w:t xml:space="preserve">Prepoved prodaje iger na srečo mladoletnikom</w:t>
      </w:r>
    </w:p>
    <w:p w14:paraId="2B0E4901" w14:textId="6BE602B7" w:rsidR="00142531" w:rsidRPr="00933EA2" w:rsidRDefault="00142531" w:rsidP="00933EA2">
      <w:pPr>
        <w:pStyle w:val="BodyText"/>
        <w:jc w:val="both"/>
      </w:pPr>
      <w:r>
        <w:rPr>
          <w:i/>
        </w:rPr>
        <w:t xml:space="preserve">Člen D. 320-1.</w:t>
      </w:r>
      <w:r>
        <w:rPr>
          <w:i/>
        </w:rPr>
        <w:t xml:space="preserve"> </w:t>
      </w:r>
      <w:r>
        <w:t xml:space="preserve">Obvestilo o določbah členov L. 320-8 in L. 320-9 se namesti na javnih mestih na prijavnih okencih za loterijske igre, športne stave ali stave na konjske dirke.</w:t>
      </w:r>
      <w:r>
        <w:t xml:space="preserve"> </w:t>
      </w:r>
      <w:r>
        <w:t xml:space="preserve">Z odredbo ministra za zdravje se določijo vzorci in mesta za pritrditev teh obvestil.</w:t>
      </w:r>
    </w:p>
    <w:p w14:paraId="5E136608" w14:textId="7D1E02AF" w:rsidR="00142531" w:rsidRPr="00933EA2" w:rsidRDefault="00142531" w:rsidP="00933EA2">
      <w:pPr>
        <w:pStyle w:val="BodyText"/>
        <w:spacing w:before="120"/>
      </w:pPr>
      <w:r>
        <w:rPr>
          <w:i/>
        </w:rPr>
        <w:t xml:space="preserve">Oddelek 2</w:t>
      </w:r>
      <w:r>
        <w:rPr>
          <w:i/>
        </w:rPr>
        <w:t xml:space="preserve"> </w:t>
      </w:r>
    </w:p>
    <w:p w14:paraId="293E235D" w14:textId="2BF2B62A" w:rsidR="00142531" w:rsidRPr="00933EA2" w:rsidRDefault="00142531" w:rsidP="00933EA2">
      <w:pPr>
        <w:pStyle w:val="BodyText"/>
        <w:spacing w:before="120"/>
      </w:pPr>
      <w:r>
        <w:rPr>
          <w:i/>
        </w:rPr>
        <w:t xml:space="preserve">Tržno komuniciranje v korist prirediteljev iger na srečo</w:t>
      </w:r>
    </w:p>
    <w:p w14:paraId="4FDF742F" w14:textId="733125A6" w:rsidR="00142531" w:rsidRPr="00933EA2" w:rsidRDefault="00142531" w:rsidP="00933EA2">
      <w:pPr>
        <w:spacing w:before="120" w:after="120"/>
        <w:jc w:val="both"/>
      </w:pPr>
      <w:r>
        <w:t xml:space="preserve">Člen</w:t>
      </w:r>
      <w:r>
        <w:rPr>
          <w:i/>
        </w:rPr>
        <w:t xml:space="preserve"> D. 320-2</w:t>
      </w:r>
      <w:r>
        <w:t xml:space="preserve">.</w:t>
      </w:r>
      <w:r>
        <w:t xml:space="preserve"> </w:t>
      </w:r>
      <w:r>
        <w:t xml:space="preserve">Vsa komercialna sporočila prirediteljev iger na srečo spremlja opozorilno sporočilo o tveganjih, povezanih z igranjem iger na srečo.</w:t>
      </w:r>
      <w:r>
        <w:t xml:space="preserve"> </w:t>
      </w:r>
      <w:r>
        <w:t xml:space="preserve">To sporočilo, ki mora biti prikazano na vsakem oglaševalskem ali promocijskem mediju, vsebuje zlasti številko spletne javne komunikacijske storitve za pomoč igralcem, ki je bila ustanovljena v okviru pristojnosti nacionalne agencije za javno zdravje.</w:t>
      </w:r>
      <w:r>
        <w:t xml:space="preserve"> </w:t>
      </w:r>
    </w:p>
    <w:p w14:paraId="4A792144" w14:textId="68DC3E7F" w:rsidR="00142531" w:rsidRPr="00933EA2" w:rsidRDefault="00142531" w:rsidP="00933EA2">
      <w:pPr>
        <w:spacing w:before="120" w:after="120"/>
        <w:jc w:val="both"/>
      </w:pPr>
      <w:r>
        <w:t xml:space="preserve">Predstavljeno je na dostopen in lahko berljiv način, ki je v skladu s cilji javnega zdravja, ter se jasno razlikuje od oglasnega ali promocijskega sporočila, ki ga spremlja.</w:t>
      </w:r>
    </w:p>
    <w:p w14:paraId="23FE00A7" w14:textId="641BB9C1" w:rsidR="00142531" w:rsidRPr="00933EA2" w:rsidRDefault="00142531" w:rsidP="00933EA2">
      <w:pPr>
        <w:spacing w:before="120" w:after="120"/>
        <w:jc w:val="both"/>
      </w:pPr>
      <w:r>
        <w:t xml:space="preserve">V odredbi ministra za zdravje se določijo vsebina, načini prikaza in razširjanje tega sporočila.</w:t>
      </w:r>
    </w:p>
    <w:p w14:paraId="626BBD10" w14:textId="4878EBD5" w:rsidR="00142531" w:rsidRPr="00933EA2" w:rsidRDefault="00142531" w:rsidP="00933EA2">
      <w:pPr>
        <w:spacing w:before="120" w:after="120"/>
        <w:jc w:val="both"/>
      </w:pPr>
      <w:r>
        <w:rPr>
          <w:i/>
        </w:rPr>
        <w:t xml:space="preserve">Člen D. 320-3.</w:t>
      </w:r>
      <w:r>
        <w:t xml:space="preserve"> </w:t>
      </w:r>
      <w:r>
        <w:t xml:space="preserve">Če se oglasna, sponzorska ali promocijska sporočila predvajajo v kinematografih ali v okviru avdiovizualnih komunikacijskih storitev, se opozorilna sporočila iz člena D. 320-2:</w:t>
      </w:r>
    </w:p>
    <w:p w14:paraId="5A410A11" w14:textId="231FD1D5" w:rsidR="00142531" w:rsidRPr="00933EA2" w:rsidRDefault="001D2F2A" w:rsidP="00933EA2">
      <w:pPr>
        <w:spacing w:before="120" w:after="120"/>
        <w:jc w:val="both"/>
      </w:pPr>
      <w:r>
        <w:t xml:space="preserve">1. prikažejo na fiksnem ali spustnem pasu, ki je prisoten ves čas predvajanja oglaševalskega sporočila; ta pas pokriva vsaj 7 % višine zaslona;</w:t>
      </w:r>
    </w:p>
    <w:p w14:paraId="0C2C26AA" w14:textId="1F4C469D" w:rsidR="00142531" w:rsidRPr="00933EA2" w:rsidRDefault="001D2F2A" w:rsidP="00933EA2">
      <w:pPr>
        <w:spacing w:before="120" w:after="120"/>
        <w:jc w:val="both"/>
      </w:pPr>
      <w:r>
        <w:t xml:space="preserve">2. prikažejo na zaslonu takoj po oglasu.</w:t>
      </w:r>
    </w:p>
    <w:p w14:paraId="14D3FE3C" w14:textId="77257C5A" w:rsidR="00142531" w:rsidRPr="00933EA2" w:rsidRDefault="00142531" w:rsidP="00933EA2">
      <w:pPr>
        <w:spacing w:before="120" w:after="120"/>
        <w:jc w:val="both"/>
      </w:pPr>
      <w:r>
        <w:rPr>
          <w:i/>
        </w:rPr>
        <w:t xml:space="preserve">Člen D. 320-4.</w:t>
      </w:r>
      <w:r>
        <w:t xml:space="preserve"> </w:t>
      </w:r>
      <w:r>
        <w:t xml:space="preserve">Če se oglasna ali promocijska sporočila predvajajo na radiu, se opozorilno sporočilo iz člena D. 320-2 predvaja takoj po oglasnem sporočilu.</w:t>
      </w:r>
    </w:p>
    <w:p w14:paraId="23CCF94C" w14:textId="1B3FBE9F" w:rsidR="00142531" w:rsidRPr="00933EA2" w:rsidRDefault="00142531" w:rsidP="00933EA2">
      <w:pPr>
        <w:spacing w:before="120" w:after="120"/>
        <w:jc w:val="both"/>
      </w:pPr>
      <w:r>
        <w:rPr>
          <w:i/>
        </w:rPr>
        <w:t xml:space="preserve">Člen D. 320-5.</w:t>
      </w:r>
      <w:r>
        <w:t xml:space="preserve"> </w:t>
      </w:r>
      <w:r>
        <w:t xml:space="preserve">Pri predvajanju opozorilnega sporočila iz člena D. 320-2 se upoštevajo načela, določena v členih D. 320-8 in D. 320-9, ter dobre prakse predstavnikov stroke in Visokega sveta za avdiovizualno področje.</w:t>
      </w:r>
    </w:p>
    <w:p w14:paraId="0984A69D" w14:textId="1DB680CB" w:rsidR="00142531" w:rsidRPr="00933EA2" w:rsidRDefault="00142531" w:rsidP="00933EA2">
      <w:pPr>
        <w:spacing w:before="120" w:after="120"/>
        <w:jc w:val="both"/>
      </w:pPr>
      <w:r>
        <w:rPr>
          <w:i/>
        </w:rPr>
        <w:t xml:space="preserve">Člen D. 320-6.</w:t>
      </w:r>
      <w:r>
        <w:t xml:space="preserve"> </w:t>
      </w:r>
      <w:r>
        <w:t xml:space="preserve">Če se oglasna ali promocijska sporočila objavijo v tiskanih medijih, je opozorilno sporočilo iz člena D. 320-2 napisano v vodoravnem prostoru, ki je namenjen besedilu in zajema vsaj 7 % oglaševalske površine.</w:t>
      </w:r>
      <w:r>
        <w:t xml:space="preserve"> </w:t>
      </w:r>
    </w:p>
    <w:p w14:paraId="40F88BE2" w14:textId="11C28D40" w:rsidR="00142531" w:rsidRPr="00933EA2" w:rsidRDefault="00142531" w:rsidP="00933EA2">
      <w:pPr>
        <w:spacing w:before="120" w:after="120"/>
        <w:jc w:val="both"/>
      </w:pPr>
      <w:r>
        <w:t xml:space="preserve">V primeru, da se na istem mediju pojavi več oglasnih ali promocijskih sporočil istega prireditelja iger na srečo, se lahko opozorilno sporočilo iz člena D. 320-2 samo enkrat vključi v pas, ki pokriva vsaj 7 % površine nosilca.</w:t>
      </w:r>
      <w:r>
        <w:t xml:space="preserve"> </w:t>
      </w:r>
    </w:p>
    <w:p w14:paraId="1A1B3572" w14:textId="77777777" w:rsidR="00142531" w:rsidRPr="00933EA2" w:rsidRDefault="00142531" w:rsidP="00933EA2">
      <w:pPr>
        <w:spacing w:before="120" w:after="120"/>
        <w:jc w:val="both"/>
      </w:pPr>
      <w:r>
        <w:t xml:space="preserve"> </w:t>
      </w:r>
      <w:r>
        <w:rPr>
          <w:i/>
        </w:rPr>
        <w:t xml:space="preserve">Člen D. 320-7.</w:t>
      </w:r>
      <w:r>
        <w:t xml:space="preserve"> </w:t>
      </w:r>
      <w:r>
        <w:t xml:space="preserve">Določbe člena D. 320-6 se ne uporabljajo za športne izdelke, ki jih tržijo ali dajejo na voljo športne zveze, organizatorji športnih prireditev iz prvega pododstavka člena L. 331-5 Zakonika o športu ali športna društva in združenja iz členov L. 122-1 in L. 122-2 navedenega zakonika.</w:t>
      </w:r>
    </w:p>
    <w:p w14:paraId="20DE0FD0" w14:textId="06A478EE" w:rsidR="00142531" w:rsidRPr="00933EA2" w:rsidRDefault="00142531" w:rsidP="00933EA2">
      <w:pPr>
        <w:spacing w:before="120" w:after="120"/>
        <w:jc w:val="both"/>
      </w:pPr>
      <w:r>
        <w:rPr>
          <w:i/>
        </w:rPr>
        <w:t xml:space="preserve">Člen</w:t>
      </w:r>
      <w:r>
        <w:t xml:space="preserve"> </w:t>
      </w:r>
      <w:r>
        <w:rPr>
          <w:i/>
        </w:rPr>
        <w:t xml:space="preserve">D. 320-8.</w:t>
      </w:r>
      <w:r>
        <w:rPr>
          <w:i/>
        </w:rPr>
        <w:t xml:space="preserve"> </w:t>
      </w:r>
      <w:r>
        <w:t xml:space="preserve">Če se oglasna, sponzorska ali promocijska sporočila širijo prek spletne javne komunikacijske storitve, se opozorilno sporočilo iz člena D. 320-2 pojavi hkrati z oglasnim ali promocijskim sporočilom, ki ga spremlja.</w:t>
      </w:r>
      <w:r>
        <w:t xml:space="preserve"> </w:t>
      </w:r>
      <w:r>
        <w:t xml:space="preserve">To sporočilo se prikaže tako, da igralec s klikom nanj odpre stran spletne javne komunikacijske storitve sistema za pomoč igralcem, ki je bila ustanovljena v okviru pristojnosti nacionalne agencije za javno zdravje.</w:t>
      </w:r>
    </w:p>
    <w:p w14:paraId="0211574A" w14:textId="6BA01978" w:rsidR="00142531" w:rsidRPr="00933EA2" w:rsidRDefault="00142531" w:rsidP="00933EA2">
      <w:pPr>
        <w:spacing w:before="120" w:after="120"/>
        <w:jc w:val="both"/>
      </w:pPr>
      <w:r>
        <w:t xml:space="preserve">To sporočilo je predstavljeno na dostopen in lahko berljiv način, ki je v skladu s cilji javnega zdravja, ter se jasno razlikuje od oglasnega sporočila, ki ga spremlja.</w:t>
      </w:r>
    </w:p>
    <w:p w14:paraId="20AB5999" w14:textId="77777777" w:rsidR="001D2F2A" w:rsidRPr="00933EA2" w:rsidRDefault="001D2F2A" w:rsidP="00933EA2">
      <w:pPr>
        <w:spacing w:before="120" w:after="120"/>
        <w:jc w:val="both"/>
        <w:rPr>
          <w:i/>
        </w:rPr>
      </w:pPr>
    </w:p>
    <w:p w14:paraId="6E4E5240" w14:textId="67A68190" w:rsidR="00142531" w:rsidRPr="00933EA2" w:rsidRDefault="00142531" w:rsidP="00933EA2">
      <w:pPr>
        <w:spacing w:before="120" w:after="120"/>
        <w:jc w:val="both"/>
      </w:pPr>
      <w:r>
        <w:rPr>
          <w:i/>
        </w:rPr>
        <w:t xml:space="preserve">Oddelek 3</w:t>
      </w:r>
    </w:p>
    <w:p w14:paraId="4DB64D13" w14:textId="241703DB" w:rsidR="00142531" w:rsidRPr="00933EA2" w:rsidRDefault="00142531" w:rsidP="00933EA2">
      <w:pPr>
        <w:spacing w:before="120" w:after="120"/>
        <w:jc w:val="both"/>
      </w:pPr>
      <w:r>
        <w:rPr>
          <w:i/>
        </w:rPr>
        <w:t xml:space="preserve">Prepoved komercialnih sporočil prirediteljev iger na srečo v določenih medijih</w:t>
      </w:r>
    </w:p>
    <w:p w14:paraId="65B7AAFD" w14:textId="4E24C55A" w:rsidR="00142531" w:rsidRPr="00933EA2" w:rsidRDefault="00142531" w:rsidP="00933EA2">
      <w:pPr>
        <w:spacing w:before="120" w:after="120"/>
        <w:jc w:val="both"/>
      </w:pPr>
      <w:r>
        <w:rPr>
          <w:i/>
        </w:rPr>
        <w:t xml:space="preserve">Člen D. 320-9.</w:t>
      </w:r>
      <w:r>
        <w:rPr>
          <w:i/>
        </w:rPr>
        <w:t xml:space="preserve"> </w:t>
      </w:r>
      <w:r>
        <w:t xml:space="preserve">Komercialna sporočila prireditelja iger na srečo so prepovedana:</w:t>
      </w:r>
    </w:p>
    <w:p w14:paraId="5227AAFD" w14:textId="59F3EB5A" w:rsidR="00142531" w:rsidRPr="00933EA2" w:rsidRDefault="001D2F2A" w:rsidP="00933EA2">
      <w:pPr>
        <w:spacing w:before="120" w:after="120"/>
        <w:jc w:val="both"/>
      </w:pPr>
      <w:r>
        <w:t xml:space="preserve">1. če spodbujajo prekomerno igranje na srečo, trivializira ali spodbuja tovrstno prakso;</w:t>
      </w:r>
    </w:p>
    <w:p w14:paraId="56D78825" w14:textId="6753909C" w:rsidR="00142531" w:rsidRPr="00933EA2" w:rsidRDefault="001D2F2A" w:rsidP="00933EA2">
      <w:pPr>
        <w:spacing w:before="120" w:after="120"/>
        <w:jc w:val="both"/>
      </w:pPr>
      <w:r>
        <w:t xml:space="preserve">2. če namigujejo, da igra prispeva k družbenemu uspehu;</w:t>
      </w:r>
    </w:p>
    <w:p w14:paraId="258EE449" w14:textId="1E8E9EB0" w:rsidR="00142531" w:rsidRPr="00933EA2" w:rsidRDefault="001D2F2A" w:rsidP="00933EA2">
      <w:pPr>
        <w:spacing w:before="120" w:after="120"/>
        <w:jc w:val="both"/>
      </w:pPr>
      <w:r>
        <w:t xml:space="preserve">3. če vsebujejo neutemeljene trditve o možnostih, ki jih imajo igralci za zmago, ali dobitkih, ki jih lahko pričakujejo;</w:t>
      </w:r>
      <w:r>
        <w:t xml:space="preserve"> </w:t>
      </w:r>
    </w:p>
    <w:p w14:paraId="75D88D1F" w14:textId="45A3AEE0" w:rsidR="00142531" w:rsidRPr="00933EA2" w:rsidRDefault="001D2F2A" w:rsidP="00933EA2">
      <w:pPr>
        <w:spacing w:before="120" w:after="120"/>
        <w:jc w:val="both"/>
      </w:pPr>
      <w:r>
        <w:t xml:space="preserve">4. če namigujejo, da je igranje rešitev za osebne, poklicne, socialne ali psihološke težave;</w:t>
      </w:r>
    </w:p>
    <w:p w14:paraId="0FAADED8" w14:textId="35A26E98" w:rsidR="0096792E" w:rsidRPr="00933EA2" w:rsidRDefault="001D2F2A" w:rsidP="00933EA2">
      <w:pPr>
        <w:spacing w:before="120" w:after="120"/>
        <w:jc w:val="both"/>
      </w:pPr>
      <w:r>
        <w:t xml:space="preserve">5. če igre na srečo predstavljajo kot dejavnost, ki omogoča preživetje ali kot alternativo plačanemu delu.</w:t>
      </w:r>
      <w:r>
        <w:t xml:space="preserve"> </w:t>
      </w:r>
    </w:p>
    <w:p w14:paraId="2933AC42" w14:textId="5857A6A2" w:rsidR="00142531" w:rsidRPr="00933EA2" w:rsidRDefault="00142531" w:rsidP="00933EA2">
      <w:pPr>
        <w:spacing w:before="120" w:after="120"/>
        <w:jc w:val="both"/>
      </w:pPr>
      <w:r>
        <w:rPr>
          <w:i/>
        </w:rPr>
        <w:t xml:space="preserve">Člen D. 320-10.</w:t>
      </w:r>
      <w:r>
        <w:t xml:space="preserve"> V komercialnih oglasih za igre na srečo so prepovedani:</w:t>
      </w:r>
    </w:p>
    <w:p w14:paraId="3E6424C3" w14:textId="1E87439B" w:rsidR="00142531" w:rsidRPr="00933EA2" w:rsidRDefault="001D2F2A" w:rsidP="00933EA2">
      <w:pPr>
        <w:spacing w:before="120" w:after="120"/>
        <w:jc w:val="both"/>
      </w:pPr>
      <w:r>
        <w:t xml:space="preserve">1. prikazovanje mladoletnikov ali zastopanje mladoletnikov pri nakupu;</w:t>
      </w:r>
    </w:p>
    <w:p w14:paraId="22E31CF1" w14:textId="21F617D1" w:rsidR="00142531" w:rsidRPr="00933EA2" w:rsidRDefault="001D2F2A" w:rsidP="00933EA2">
      <w:pPr>
        <w:spacing w:before="120" w:after="120"/>
        <w:jc w:val="both"/>
      </w:pPr>
      <w:r>
        <w:t xml:space="preserve">2. oglaševanje, ki mladoletnike napeljuje k temu, da je igranje iger na srečo običajen del njihovega prostega časa;</w:t>
      </w:r>
    </w:p>
    <w:p w14:paraId="7DDA03B1" w14:textId="092451E4" w:rsidR="00142531" w:rsidRPr="00933EA2" w:rsidRDefault="001D2F2A" w:rsidP="00933EA2">
      <w:pPr>
        <w:spacing w:before="120" w:after="120"/>
        <w:jc w:val="both"/>
      </w:pPr>
      <w:r>
        <w:t xml:space="preserve">3. prikazovanje znanih osebnosti ali likov, ki spadajo v svet mladoletnikov;</w:t>
      </w:r>
    </w:p>
    <w:p w14:paraId="2FCC9BB5" w14:textId="66D1AD53" w:rsidR="00142531" w:rsidRPr="00933EA2" w:rsidRDefault="001D2F2A" w:rsidP="00933EA2">
      <w:pPr>
        <w:spacing w:before="120" w:after="120"/>
        <w:jc w:val="both"/>
      </w:pPr>
      <w:r>
        <w:t xml:space="preserve">4. oglaševanje, namenjeno otrokom ali mladostnikom ali posebej privlačno zanje, zlasti zaradi vizualnih, zvočnih, besednih ali pisnih elementov.“</w:t>
      </w:r>
      <w:r>
        <w:t xml:space="preserve"> </w:t>
      </w:r>
    </w:p>
    <w:p w14:paraId="577E32B6" w14:textId="77777777" w:rsidR="00142531" w:rsidRPr="00933EA2" w:rsidRDefault="00142531" w:rsidP="00933EA2">
      <w:pPr>
        <w:spacing w:after="200" w:line="276" w:lineRule="auto"/>
        <w:jc w:val="both"/>
        <w:rPr>
          <w:rFonts w:eastAsiaTheme="minorHAnsi"/>
          <w:b/>
          <w:lang w:eastAsia="en-US"/>
        </w:rPr>
      </w:pPr>
    </w:p>
    <w:p w14:paraId="1F6C66A8" w14:textId="512A3E12" w:rsidR="00142531" w:rsidRPr="00933EA2" w:rsidRDefault="00142531" w:rsidP="00933EA2">
      <w:pPr>
        <w:keepNext/>
        <w:keepLines/>
        <w:spacing w:after="200" w:line="276" w:lineRule="auto"/>
        <w:jc w:val="center"/>
        <w:rPr>
          <w:b/>
          <w:rFonts w:eastAsiaTheme="minorHAnsi"/>
        </w:rPr>
      </w:pPr>
      <w:r>
        <w:rPr>
          <w:b/>
        </w:rPr>
        <w:t xml:space="preserve">NASLOV VIII:</w:t>
      </w:r>
      <w:r>
        <w:rPr>
          <w:b/>
        </w:rPr>
        <w:t xml:space="preserve"> </w:t>
      </w:r>
      <w:r>
        <w:rPr>
          <w:b/>
        </w:rPr>
        <w:t xml:space="preserve">DOLOČBE, KI SE NANAŠAJO NA UREJANJE PONUDBE LOTERIJSKIH IGER IN ŠPORTNIH STAV V FIZIČNEM DISTRIBUCIJSKEM OMREŽJU</w:t>
      </w:r>
    </w:p>
    <w:p w14:paraId="1CAAFC25" w14:textId="1792437D" w:rsidR="00142531" w:rsidRDefault="00C342AB" w:rsidP="00933EA2">
      <w:pPr>
        <w:pStyle w:val="BodyText"/>
        <w:keepNext/>
        <w:keepLines/>
        <w:jc w:val="center"/>
        <w:rPr>
          <w:b/>
        </w:rPr>
      </w:pPr>
      <w:r>
        <w:rPr>
          <w:b/>
        </w:rPr>
        <w:t xml:space="preserve">Člen 47</w:t>
      </w:r>
    </w:p>
    <w:p w14:paraId="3659547E" w14:textId="77777777" w:rsidR="00933EA2" w:rsidRPr="00933EA2" w:rsidRDefault="00933EA2" w:rsidP="00933EA2">
      <w:pPr>
        <w:keepNext/>
        <w:keepLines/>
        <w:rPr>
          <w:b/>
        </w:rPr>
      </w:pPr>
    </w:p>
    <w:p w14:paraId="6697EB5C" w14:textId="77777777" w:rsidR="00142531" w:rsidRPr="00933EA2" w:rsidRDefault="00142531" w:rsidP="00933EA2">
      <w:pPr>
        <w:spacing w:after="200" w:line="276" w:lineRule="auto"/>
        <w:jc w:val="both"/>
        <w:rPr>
          <w:rFonts w:eastAsiaTheme="minorHAnsi"/>
        </w:rPr>
      </w:pPr>
      <w:r>
        <w:t xml:space="preserve">Za poglavjem II naslova II zvezka III navedenega zakonika se vstavita poglavji IIb in IIc</w:t>
      </w:r>
      <w:r>
        <w:t xml:space="preserve">, ki se glasita:</w:t>
      </w:r>
      <w:r>
        <w:t xml:space="preserve"> </w:t>
      </w:r>
    </w:p>
    <w:p w14:paraId="6D2D130B" w14:textId="77777777" w:rsidR="00142531" w:rsidRPr="00933EA2" w:rsidRDefault="00142531" w:rsidP="00933EA2">
      <w:pPr>
        <w:spacing w:after="200" w:line="276" w:lineRule="auto"/>
        <w:jc w:val="both"/>
        <w:rPr>
          <w:rFonts w:eastAsiaTheme="minorHAnsi"/>
        </w:rPr>
      </w:pPr>
      <w:r>
        <w:t xml:space="preserve">„</w:t>
      </w:r>
      <w:r>
        <w:rPr>
          <w:i/>
        </w:rPr>
        <w:t xml:space="preserve">Poglavje IIb</w:t>
      </w:r>
      <w:r>
        <w:t xml:space="preserve"> </w:t>
      </w:r>
    </w:p>
    <w:p w14:paraId="7540790A" w14:textId="77777777" w:rsidR="00142531" w:rsidRPr="00933EA2" w:rsidRDefault="00142531" w:rsidP="00933EA2">
      <w:pPr>
        <w:spacing w:after="200" w:line="276" w:lineRule="auto"/>
        <w:jc w:val="both"/>
        <w:rPr>
          <w:rFonts w:eastAsiaTheme="minorHAnsi"/>
        </w:rPr>
      </w:pPr>
      <w:r>
        <w:rPr>
          <w:i/>
        </w:rPr>
        <w:t xml:space="preserve">Loterijske igre, za katere velja režim izključnih pravic</w:t>
      </w:r>
      <w:r>
        <w:t xml:space="preserve"> </w:t>
      </w:r>
    </w:p>
    <w:p w14:paraId="45707223" w14:textId="77777777" w:rsidR="00142531" w:rsidRPr="00933EA2" w:rsidRDefault="00142531" w:rsidP="00933EA2">
      <w:pPr>
        <w:spacing w:after="200" w:line="276" w:lineRule="auto"/>
        <w:jc w:val="both"/>
        <w:rPr>
          <w:rFonts w:eastAsiaTheme="minorHAnsi"/>
        </w:rPr>
      </w:pPr>
      <w:r>
        <w:rPr>
          <w:i/>
        </w:rPr>
        <w:t xml:space="preserve">Člen D. 322-9.</w:t>
      </w:r>
      <w:r>
        <w:t xml:space="preserve"> </w:t>
      </w:r>
      <w:r>
        <w:t xml:space="preserve">Stave so zneski, ki jih igralci plačajo družbi Française des jeux in se dodelijo neposredno igri.</w:t>
      </w:r>
    </w:p>
    <w:p w14:paraId="05D78C26" w14:textId="77777777" w:rsidR="00142531" w:rsidRPr="00933EA2" w:rsidRDefault="00142531" w:rsidP="00933EA2">
      <w:pPr>
        <w:spacing w:after="200" w:line="276" w:lineRule="auto"/>
        <w:jc w:val="both"/>
        <w:rPr>
          <w:rFonts w:eastAsiaTheme="minorHAnsi"/>
        </w:rPr>
      </w:pPr>
      <w:r>
        <w:rPr>
          <w:i/>
        </w:rPr>
        <w:t xml:space="preserve">Člen D. 322-10.</w:t>
      </w:r>
      <w:r>
        <w:t xml:space="preserve"> </w:t>
      </w:r>
      <w:r>
        <w:t xml:space="preserve">V povprečju za vse loterijske igre skupaj in tudi za vsako posebej mora matematična verjetnost zmage za igralce znašati med 45 % in 75 % skupnih stav.</w:t>
      </w:r>
    </w:p>
    <w:p w14:paraId="392842B4" w14:textId="77777777" w:rsidR="00142531" w:rsidRPr="00933EA2" w:rsidRDefault="00142531" w:rsidP="00933EA2">
      <w:pPr>
        <w:spacing w:after="200" w:line="276" w:lineRule="auto"/>
        <w:jc w:val="both"/>
        <w:rPr>
          <w:rFonts w:eastAsiaTheme="minorHAnsi"/>
        </w:rPr>
      </w:pPr>
      <w:r>
        <w:t xml:space="preserve">Deleži vsote stav, namenjenih dobitku na loterijskih igrah, so naslednji:</w:t>
      </w:r>
    </w:p>
    <w:p w14:paraId="5893D65F" w14:textId="1FE88D6B" w:rsidR="00142531" w:rsidRPr="00933EA2" w:rsidRDefault="001D2F2A" w:rsidP="00933EA2">
      <w:pPr>
        <w:spacing w:after="200" w:line="276" w:lineRule="auto"/>
        <w:jc w:val="both"/>
        <w:rPr>
          <w:rFonts w:eastAsiaTheme="minorHAnsi"/>
        </w:rPr>
      </w:pPr>
      <w:r>
        <w:t xml:space="preserve">1. v primeru žrebanja delež, namenjen zmagovalcem, znaša med 50 % in 60 % za vsako tradicionalno žrebanje, med 59 % in 70 % za vsako dodatno žrebanje in med 65 % in 72 % za vsako naslednje žrebanje;</w:t>
      </w:r>
    </w:p>
    <w:p w14:paraId="3A93D254" w14:textId="28A3AEB2" w:rsidR="00142531" w:rsidRPr="00933EA2" w:rsidRDefault="001D2F2A" w:rsidP="00933EA2">
      <w:pPr>
        <w:spacing w:after="200" w:line="276" w:lineRule="auto"/>
        <w:jc w:val="both"/>
        <w:rPr>
          <w:rFonts w:eastAsiaTheme="minorHAnsi"/>
        </w:rPr>
      </w:pPr>
      <w:r>
        <w:t xml:space="preserve">2. v primeru iger s takojšnjim dobitkom delež, dodeljen zmagovalcem, znaša med 62 % in 75 % za vsako hitro srečko, med 65 % in 75 % za vsako igro z neposrednim naključnim elementom in med 60 % in 70 % za vsako dodatno igro;</w:t>
      </w:r>
    </w:p>
    <w:p w14:paraId="53F8B5DC" w14:textId="66B5C56A" w:rsidR="00142531" w:rsidRPr="00933EA2" w:rsidRDefault="001D2F2A" w:rsidP="00933EA2">
      <w:pPr>
        <w:spacing w:after="200" w:line="276" w:lineRule="auto"/>
        <w:jc w:val="both"/>
        <w:rPr>
          <w:rFonts w:eastAsiaTheme="minorHAnsi"/>
        </w:rPr>
      </w:pPr>
      <w:r>
        <w:t xml:space="preserve">3. za vse hitre srečke na spletu in v fizičnem distribucijskem omrežju in za veliko število izdaj povprečni delež, ki je dodeljen zmagovalcem, znaša najmanj 50 % in največ 70,5 % nominalne vrednosti izdaj.</w:t>
      </w:r>
    </w:p>
    <w:p w14:paraId="07658E7E" w14:textId="77777777" w:rsidR="00142531" w:rsidRPr="00933EA2" w:rsidRDefault="00142531" w:rsidP="00933EA2">
      <w:pPr>
        <w:spacing w:after="200" w:line="276" w:lineRule="auto"/>
        <w:jc w:val="both"/>
        <w:rPr>
          <w:rFonts w:eastAsiaTheme="minorHAnsi"/>
        </w:rPr>
      </w:pPr>
      <w:r>
        <w:rPr>
          <w:i/>
        </w:rPr>
        <w:t xml:space="preserve">Člen D. 322-11.</w:t>
      </w:r>
      <w:r>
        <w:rPr>
          <w:i/>
        </w:rPr>
        <w:t xml:space="preserve"> </w:t>
      </w:r>
      <w:r>
        <w:t xml:space="preserve">Iger z neposrednim naključnim elementom, opredeljenih v členu L. 322-9-2(2), ni dovoljeno ponujati na terminalih, če človeško posredovanje ni na voljo igralcem loterijskih registracijskih točkah iz drugega pododstavka člena L. 320-5.</w:t>
      </w:r>
    </w:p>
    <w:p w14:paraId="5E183BE2" w14:textId="77777777" w:rsidR="00142531" w:rsidRPr="00933EA2" w:rsidRDefault="00142531" w:rsidP="00933EA2">
      <w:pPr>
        <w:spacing w:after="200" w:line="276" w:lineRule="auto"/>
        <w:jc w:val="both"/>
        <w:rPr>
          <w:rFonts w:eastAsiaTheme="minorHAnsi"/>
        </w:rPr>
      </w:pPr>
      <w:r>
        <w:rPr>
          <w:i/>
        </w:rPr>
        <w:t xml:space="preserve">Člen D. 322-12.</w:t>
      </w:r>
      <w:r>
        <w:t xml:space="preserve"> </w:t>
      </w:r>
      <w:r>
        <w:t xml:space="preserve">Loterijske igre, ki jim družba Française des jeux odobri opravljanje dejavnosti, temeljijo na dogodkih, rezultatih naključnih dodelitev ali žrebanjih, ki se lahko nanašajo zlasti na številke, črke, barve, znake ali simbole ali na zaporedja številk, črk, barv, znakov ali simbolov.</w:t>
      </w:r>
      <w:r>
        <w:t xml:space="preserve"> </w:t>
      </w:r>
      <w:r>
        <w:t xml:space="preserve">Njihovo delovanje lahko omogoča individualno ali skupinsko udeležbo igralcev.</w:t>
      </w:r>
      <w:r>
        <w:t xml:space="preserve"> </w:t>
      </w:r>
      <w:r>
        <w:t xml:space="preserve">Njihova pravila lahko igralcu omogočajo izvajanje dejanj ali sprejemanje odločitev, ki lahko vplivajo na parametre iger, kot je pogostost ali znesek dobitkov ali delež stav, ki so jim bile dodeljene.</w:t>
      </w:r>
    </w:p>
    <w:p w14:paraId="62BE2B36" w14:textId="77777777" w:rsidR="00142531" w:rsidRPr="00933EA2" w:rsidRDefault="00142531" w:rsidP="00933EA2">
      <w:pPr>
        <w:spacing w:after="200" w:line="276" w:lineRule="auto"/>
        <w:jc w:val="both"/>
        <w:rPr>
          <w:rFonts w:eastAsiaTheme="minorHAnsi"/>
        </w:rPr>
      </w:pPr>
      <w:r>
        <w:t xml:space="preserve">Te igre se lahko ponujajo v načinu za več igralcev, ki omogoča sodelovanje več igralcev ali skupin ali skupnosti igralcev v skladu z mehanizmom igranja eden proti drugemu ali sodelovanja ali kombinacije obeh.</w:t>
      </w:r>
    </w:p>
    <w:p w14:paraId="348C95DA" w14:textId="77777777" w:rsidR="00142531" w:rsidRPr="00933EA2" w:rsidRDefault="00142531" w:rsidP="00933EA2">
      <w:pPr>
        <w:spacing w:after="200" w:line="276" w:lineRule="auto"/>
        <w:jc w:val="both"/>
        <w:rPr>
          <w:rFonts w:eastAsiaTheme="minorHAnsi"/>
        </w:rPr>
      </w:pPr>
      <w:r>
        <w:rPr>
          <w:i/>
        </w:rPr>
        <w:t xml:space="preserve">Člen D. 322-13.</w:t>
      </w:r>
      <w:r>
        <w:t xml:space="preserve"> </w:t>
      </w:r>
      <w:r>
        <w:t xml:space="preserve">Udeležba pri igrah, omenjenih v členu D. 322-12, poteka prek fizičnega distribucijskega omrežja družbe Française des jeux in oseb, ki jih družba pooblasti v skladu s pogoji iz člena R. 322-18 -1, ali prek spletne javne komunikacijske storitve.</w:t>
      </w:r>
    </w:p>
    <w:p w14:paraId="105DA0DE" w14:textId="45720C17" w:rsidR="00142531" w:rsidRPr="00933EA2" w:rsidRDefault="00142531" w:rsidP="00933EA2">
      <w:pPr>
        <w:spacing w:after="200" w:line="276" w:lineRule="auto"/>
        <w:jc w:val="both"/>
        <w:rPr>
          <w:rFonts w:eastAsiaTheme="minorHAnsi"/>
        </w:rPr>
      </w:pPr>
      <w:r>
        <w:rPr>
          <w:i/>
        </w:rPr>
        <w:t xml:space="preserve">Člen D. 322-14.</w:t>
      </w:r>
      <w:r>
        <w:t xml:space="preserve"> </w:t>
      </w:r>
      <w:r>
        <w:t xml:space="preserve">Ponudba loterijskih iger družbe Française des jeux je urejena, kot sledi:</w:t>
      </w:r>
    </w:p>
    <w:p w14:paraId="72F121DD" w14:textId="08FFD438" w:rsidR="00142531" w:rsidRPr="00933EA2" w:rsidRDefault="001D2F2A" w:rsidP="00933EA2">
      <w:pPr>
        <w:spacing w:after="200" w:line="276" w:lineRule="auto"/>
        <w:jc w:val="both"/>
        <w:rPr>
          <w:rFonts w:eastAsiaTheme="minorHAnsi"/>
        </w:rPr>
      </w:pPr>
      <w:r>
        <w:t xml:space="preserve">1. skupno število loterijskih iger, ki se izvajajo hkrati v fizičnem distribucijskem omrežju, je omejeno na največ štirideset iger;</w:t>
      </w:r>
    </w:p>
    <w:p w14:paraId="27AD047C" w14:textId="2F845A41" w:rsidR="00142531" w:rsidRPr="00933EA2" w:rsidRDefault="001D2F2A" w:rsidP="00933EA2">
      <w:pPr>
        <w:spacing w:after="200" w:line="276" w:lineRule="auto"/>
        <w:jc w:val="both"/>
        <w:rPr>
          <w:rFonts w:eastAsiaTheme="minorHAnsi"/>
        </w:rPr>
      </w:pPr>
      <w:r>
        <w:t xml:space="preserve">2. število loterijskih iger veh kategorij, ki se hkrati izvajajo prek spleta, je omejeno na največ sto iger;</w:t>
      </w:r>
    </w:p>
    <w:p w14:paraId="3391E3C9" w14:textId="7875B4AC" w:rsidR="00142531" w:rsidRPr="00933EA2" w:rsidRDefault="001D2F2A" w:rsidP="00933EA2">
      <w:pPr>
        <w:spacing w:after="200" w:line="276" w:lineRule="auto"/>
        <w:jc w:val="both"/>
        <w:rPr>
          <w:rFonts w:eastAsiaTheme="minorHAnsi"/>
        </w:rPr>
      </w:pPr>
      <w:r>
        <w:t xml:space="preserve">3. pravila igre omejujejo skupni znesek dobitkov, dejansko izplačanih zmagovalcem, ob vsakem naključnem dogodku na 250 000 000 EUR v primeru prve nagrade posamezne loterijske igre in 100 000 000 EUR za loterijske igre, ki temeljijo na načelu nasprotne strani.</w:t>
      </w:r>
    </w:p>
    <w:p w14:paraId="7EDC6E95" w14:textId="77777777" w:rsidR="00142531" w:rsidRPr="00933EA2" w:rsidRDefault="00142531" w:rsidP="00933EA2">
      <w:pPr>
        <w:spacing w:after="200" w:line="276" w:lineRule="auto"/>
        <w:jc w:val="both"/>
        <w:rPr>
          <w:rFonts w:eastAsiaTheme="minorHAnsi"/>
        </w:rPr>
      </w:pPr>
      <w:r>
        <w:rPr>
          <w:i/>
        </w:rPr>
        <w:t xml:space="preserve">Člen D. 322-15</w:t>
      </w:r>
      <w:r>
        <w:t xml:space="preserve">.</w:t>
      </w:r>
      <w:r>
        <w:t xml:space="preserve"> </w:t>
      </w:r>
      <w:r>
        <w:t xml:space="preserve">Dodelitev dobitkov ali nagrad zmagovalcem je odvisna od sreče ali dogodka, kot je dejanje igralca.</w:t>
      </w:r>
      <w:r>
        <w:t xml:space="preserve"> </w:t>
      </w:r>
      <w:r>
        <w:t xml:space="preserve">Ena loterijska igra lahko vključuje več načinov za določanje dobitkov ali nagrad in njihovo dodelitev zmagovalcem.</w:t>
      </w:r>
    </w:p>
    <w:p w14:paraId="698B3ECA" w14:textId="77777777" w:rsidR="00142531" w:rsidRPr="00933EA2" w:rsidRDefault="00142531" w:rsidP="00933EA2">
      <w:pPr>
        <w:spacing w:after="200" w:line="276" w:lineRule="auto"/>
        <w:jc w:val="both"/>
        <w:rPr>
          <w:rFonts w:eastAsiaTheme="minorHAnsi"/>
        </w:rPr>
      </w:pPr>
      <w:r>
        <w:rPr>
          <w:i/>
        </w:rPr>
        <w:t xml:space="preserve">Člen D. 322-16.</w:t>
      </w:r>
      <w:r>
        <w:t xml:space="preserve"> </w:t>
      </w:r>
      <w:r>
        <w:t xml:space="preserve">Naključni dogodek v igri na srečo je predhoden, če se dobitek ali nagrade naključno dodelijo nosilcem zmagovalnih iger v obliki skritega napisa, ki se javnosti razkrije po koncu igre.</w:t>
      </w:r>
    </w:p>
    <w:p w14:paraId="1DF4C48B" w14:textId="77777777" w:rsidR="00142531" w:rsidRPr="00933EA2" w:rsidRDefault="00142531" w:rsidP="00933EA2">
      <w:pPr>
        <w:spacing w:after="200" w:line="276" w:lineRule="auto"/>
        <w:jc w:val="both"/>
        <w:rPr>
          <w:rFonts w:eastAsiaTheme="minorHAnsi"/>
        </w:rPr>
      </w:pPr>
      <w:r>
        <w:t xml:space="preserve">Naključni dogodek je hkraten, če ga sproži dogodek, kot je dejanje igralca prek nosilca, omogočeno z ustrezno napravo ali postopkom.</w:t>
      </w:r>
    </w:p>
    <w:p w14:paraId="5224D752" w14:textId="77777777" w:rsidR="00142531" w:rsidRPr="00933EA2" w:rsidRDefault="00142531" w:rsidP="00933EA2">
      <w:pPr>
        <w:spacing w:after="200" w:line="276" w:lineRule="auto"/>
        <w:jc w:val="both"/>
        <w:rPr>
          <w:rFonts w:eastAsiaTheme="minorHAnsi"/>
        </w:rPr>
      </w:pPr>
      <w:r>
        <w:t xml:space="preserve">Naključni dogodek je naknadni, če temelji na rezultatih enega ali več naključnih žrebanj ali dodelitev, ki se lahko nanašajo na številke, črke, barve, znake ali simbole ali na zaporedja številk, črk, barv, znakov ali simbolov.</w:t>
      </w:r>
    </w:p>
    <w:p w14:paraId="6A6541EC" w14:textId="77777777" w:rsidR="00142531" w:rsidRPr="00933EA2" w:rsidRDefault="00142531" w:rsidP="00933EA2">
      <w:pPr>
        <w:spacing w:after="200" w:line="276" w:lineRule="auto"/>
        <w:jc w:val="both"/>
        <w:rPr>
          <w:rFonts w:eastAsiaTheme="minorHAnsi"/>
        </w:rPr>
      </w:pPr>
      <w:r>
        <w:t xml:space="preserve"> </w:t>
      </w:r>
      <w:r>
        <w:rPr>
          <w:i/>
        </w:rPr>
        <w:t xml:space="preserve">Člen D. 322-17.</w:t>
      </w:r>
      <w:r>
        <w:t xml:space="preserve"> </w:t>
      </w:r>
      <w:r>
        <w:t xml:space="preserve">Dobitki ali nagrade, ki se dodelijo zmagovalcem, so lahko denarni ali stvarni.</w:t>
      </w:r>
      <w:r>
        <w:t xml:space="preserve"> </w:t>
      </w:r>
      <w:r>
        <w:t xml:space="preserve">Stvarni dobitki se beležijo v skladu z njihovo tržno vrednostjo.</w:t>
      </w:r>
    </w:p>
    <w:p w14:paraId="499EF278" w14:textId="77777777" w:rsidR="00142531" w:rsidRPr="00933EA2" w:rsidRDefault="00142531" w:rsidP="00933EA2">
      <w:pPr>
        <w:spacing w:after="200" w:line="276" w:lineRule="auto"/>
        <w:jc w:val="both"/>
        <w:rPr>
          <w:rFonts w:eastAsiaTheme="minorHAnsi"/>
        </w:rPr>
      </w:pPr>
      <w:r>
        <w:rPr>
          <w:i/>
        </w:rPr>
        <w:t xml:space="preserve">Člen D. 322-18.</w:t>
      </w:r>
      <w:r>
        <w:t xml:space="preserve"> </w:t>
      </w:r>
      <w:r>
        <w:t xml:space="preserve">Če določena loterijska igra uporablja načelo dodelitve in načelo nasprotne strani hkrati, mora biti vsak del igre v skladu z ustreznim načelom.</w:t>
      </w:r>
    </w:p>
    <w:p w14:paraId="71C8C978" w14:textId="77777777" w:rsidR="00142531" w:rsidRPr="00933EA2" w:rsidRDefault="00142531" w:rsidP="00933EA2">
      <w:pPr>
        <w:spacing w:after="200" w:line="276" w:lineRule="auto"/>
        <w:jc w:val="both"/>
        <w:rPr>
          <w:rFonts w:eastAsiaTheme="minorHAnsi"/>
        </w:rPr>
      </w:pPr>
      <w:r>
        <w:rPr>
          <w:i/>
        </w:rPr>
        <w:t xml:space="preserve">Poglavje II</w:t>
      </w:r>
      <w:r>
        <w:t xml:space="preserve">c</w:t>
      </w:r>
    </w:p>
    <w:p w14:paraId="3EE605AB" w14:textId="77777777" w:rsidR="00142531" w:rsidRPr="00933EA2" w:rsidRDefault="00142531" w:rsidP="00933EA2">
      <w:pPr>
        <w:spacing w:after="200" w:line="276" w:lineRule="auto"/>
        <w:jc w:val="both"/>
        <w:rPr>
          <w:rFonts w:eastAsiaTheme="minorHAnsi"/>
        </w:rPr>
      </w:pPr>
      <w:r>
        <w:rPr>
          <w:i/>
        </w:rPr>
        <w:t xml:space="preserve">Športne stave in stave na konjske dirke</w:t>
      </w:r>
    </w:p>
    <w:p w14:paraId="19743B61" w14:textId="77777777" w:rsidR="00142531" w:rsidRPr="00933EA2" w:rsidRDefault="00142531" w:rsidP="00933EA2">
      <w:pPr>
        <w:spacing w:after="200" w:line="276" w:lineRule="auto"/>
        <w:jc w:val="both"/>
        <w:rPr>
          <w:rFonts w:eastAsiaTheme="minorHAnsi"/>
        </w:rPr>
      </w:pPr>
      <w:r>
        <w:rPr>
          <w:i/>
        </w:rPr>
        <w:t xml:space="preserve">Člen D. 322-19</w:t>
      </w:r>
      <w:r>
        <w:t xml:space="preserve">.</w:t>
      </w:r>
      <w:r>
        <w:t xml:space="preserve"> </w:t>
      </w:r>
      <w:r>
        <w:t xml:space="preserve">Za vse športne stave, ki so omenjene v členu L. 322-13 in ki jih družba Française des jeux trži v fizičnem distribucijskem omrežju, je delež vloženih dobitkov v povprečju največ 76,5 % v koledarskem letu.</w:t>
      </w:r>
    </w:p>
    <w:p w14:paraId="1B16ABF1" w14:textId="77777777" w:rsidR="00142531" w:rsidRPr="00933EA2" w:rsidRDefault="00142531" w:rsidP="00933EA2">
      <w:pPr>
        <w:spacing w:after="200" w:line="276" w:lineRule="auto"/>
        <w:jc w:val="both"/>
        <w:rPr>
          <w:rFonts w:eastAsiaTheme="minorHAnsi"/>
        </w:rPr>
      </w:pPr>
      <w:r>
        <w:rPr>
          <w:i/>
        </w:rPr>
        <w:t xml:space="preserve">Člen D. 322-20.</w:t>
      </w:r>
      <w:r>
        <w:t xml:space="preserve"> </w:t>
      </w:r>
      <w:r>
        <w:t xml:space="preserve">Dodelitev dobitkov ali nagrad zmagovalcem se določi glede na rezultate športnih prireditev.</w:t>
      </w:r>
      <w:r>
        <w:t xml:space="preserve"> </w:t>
      </w:r>
      <w:r>
        <w:t xml:space="preserve">Ena športna stava lahko vključuje več načinov za določanje dobitkov ali nagrad in njihovo dodelitev zmagovalcem.</w:t>
      </w:r>
    </w:p>
    <w:p w14:paraId="4FCEFCC4" w14:textId="77777777" w:rsidR="00142531" w:rsidRPr="00933EA2" w:rsidRDefault="00142531" w:rsidP="00933EA2">
      <w:pPr>
        <w:spacing w:after="200" w:line="276" w:lineRule="auto"/>
        <w:jc w:val="both"/>
        <w:rPr>
          <w:rFonts w:eastAsiaTheme="minorHAnsi"/>
        </w:rPr>
      </w:pPr>
      <w:r>
        <w:rPr>
          <w:i/>
        </w:rPr>
        <w:t xml:space="preserve">Člen D. 322-21.</w:t>
      </w:r>
      <w:r>
        <w:t xml:space="preserve"> </w:t>
      </w:r>
      <w:r>
        <w:t xml:space="preserve">Dobitki ali nagrade, ki se dodelijo zmagovalcem, so lahko denarni ali stvarni.</w:t>
      </w:r>
      <w:r>
        <w:t xml:space="preserve"> </w:t>
      </w:r>
      <w:r>
        <w:t xml:space="preserve">Stvarni dobitki se beležijo v skladu z njihovo tržno vrednostjo.</w:t>
      </w:r>
    </w:p>
    <w:p w14:paraId="52C3B83B" w14:textId="77777777" w:rsidR="00142531" w:rsidRPr="00933EA2" w:rsidRDefault="00142531" w:rsidP="00933EA2">
      <w:pPr>
        <w:spacing w:after="200" w:line="276" w:lineRule="auto"/>
        <w:jc w:val="both"/>
        <w:rPr>
          <w:rFonts w:eastAsiaTheme="minorHAnsi"/>
        </w:rPr>
      </w:pPr>
      <w:r>
        <w:rPr>
          <w:i/>
        </w:rPr>
        <w:t xml:space="preserve">Člen D. 322-22.</w:t>
      </w:r>
      <w:r>
        <w:t xml:space="preserve"> </w:t>
      </w:r>
      <w:r>
        <w:t xml:space="preserve">Če določena športna stava uporablja načelo dodelitve in načelo nasprotne strani hkrati, mora biti vsak del igre v skladu z ustreznim načelom.“</w:t>
      </w:r>
    </w:p>
    <w:p w14:paraId="397F7EC9" w14:textId="6B79B966" w:rsidR="00142531" w:rsidRPr="00933EA2" w:rsidRDefault="00142531" w:rsidP="00933EA2">
      <w:pPr>
        <w:keepNext/>
        <w:keepLines/>
        <w:spacing w:after="200" w:line="276" w:lineRule="auto"/>
        <w:jc w:val="center"/>
        <w:rPr>
          <w:b/>
          <w:rFonts w:eastAsiaTheme="minorHAnsi"/>
        </w:rPr>
      </w:pPr>
      <w:r>
        <w:rPr>
          <w:b/>
        </w:rPr>
        <w:t xml:space="preserve">NASLOV IX:</w:t>
      </w:r>
      <w:r>
        <w:rPr>
          <w:b/>
        </w:rPr>
        <w:t xml:space="preserve"> </w:t>
      </w:r>
      <w:r>
        <w:rPr>
          <w:b/>
        </w:rPr>
        <w:t xml:space="preserve">RAZNE DOLOČBE</w:t>
      </w:r>
    </w:p>
    <w:p w14:paraId="6B2FA634" w14:textId="6133C450" w:rsidR="00142531" w:rsidRPr="00933EA2" w:rsidRDefault="00142531" w:rsidP="00933EA2">
      <w:pPr>
        <w:pStyle w:val="BodyText"/>
        <w:keepNext/>
        <w:keepLines/>
        <w:jc w:val="center"/>
        <w:rPr>
          <w:b/>
        </w:rPr>
      </w:pPr>
      <w:r>
        <w:rPr>
          <w:b/>
        </w:rPr>
        <w:t xml:space="preserve">Člen 48</w:t>
      </w:r>
    </w:p>
    <w:p w14:paraId="1E081A25" w14:textId="77777777" w:rsidR="00142531" w:rsidRPr="00933EA2" w:rsidRDefault="00142531" w:rsidP="00933EA2">
      <w:pPr>
        <w:keepNext/>
        <w:keepLines/>
        <w:rPr>
          <w:b/>
        </w:rPr>
      </w:pPr>
    </w:p>
    <w:p w14:paraId="37DFBDA8" w14:textId="6B10418A" w:rsidR="00142531" w:rsidRPr="00933EA2" w:rsidRDefault="00142531" w:rsidP="00933EA2">
      <w:pPr>
        <w:pStyle w:val="BodyText"/>
        <w:jc w:val="both"/>
      </w:pPr>
      <w:r>
        <w:t xml:space="preserve">Uredba št. 2019-1061 z dne 17. oktobra 2019 se spremeni:</w:t>
      </w:r>
    </w:p>
    <w:p w14:paraId="1D7BA30F" w14:textId="01D3777C" w:rsidR="00142531" w:rsidRPr="00933EA2" w:rsidRDefault="00B84182" w:rsidP="00933EA2">
      <w:pPr>
        <w:pStyle w:val="BodyText"/>
        <w:jc w:val="both"/>
        <w:rPr>
          <w:rFonts w:eastAsia="Calibri"/>
        </w:rPr>
      </w:pPr>
      <w:r>
        <w:t xml:space="preserve">1. člen 8 se spremeni:</w:t>
      </w:r>
      <w:r>
        <w:t xml:space="preserve"> </w:t>
      </w:r>
    </w:p>
    <w:p w14:paraId="2B2B45CD" w14:textId="6E5CBC85" w:rsidR="00142531" w:rsidRPr="00933EA2" w:rsidRDefault="00F77C81" w:rsidP="00933EA2">
      <w:pPr>
        <w:pStyle w:val="BodyText"/>
        <w:jc w:val="both"/>
      </w:pPr>
      <w:r>
        <w:t xml:space="preserve">a) prvi, tretji do sedmi pododstavek, deveti do šestnajsti pododstavek in prvi pododstavek odstavka II se črtajo;</w:t>
      </w:r>
    </w:p>
    <w:p w14:paraId="36218AA9" w14:textId="7EC300FB" w:rsidR="00142531" w:rsidRPr="00933EA2" w:rsidRDefault="00F77C81" w:rsidP="00933EA2">
      <w:pPr>
        <w:pStyle w:val="BodyText"/>
        <w:jc w:val="both"/>
      </w:pPr>
      <w:r>
        <w:t xml:space="preserve">b) v drugem pododstavku se doda besedilo</w:t>
      </w:r>
      <w:r>
        <w:t xml:space="preserve"> </w:t>
      </w:r>
      <w:r>
        <w:t xml:space="preserve">„iz člena L. 322-9-1 in L. 322-9-2 Zakonika o notranji varnosti“;</w:t>
      </w:r>
    </w:p>
    <w:p w14:paraId="3FD15048" w14:textId="5FCE4042" w:rsidR="00142531" w:rsidRPr="00933EA2" w:rsidRDefault="00F77C81" w:rsidP="00933EA2">
      <w:pPr>
        <w:pStyle w:val="BodyText"/>
        <w:jc w:val="both"/>
      </w:pPr>
      <w:r>
        <w:t xml:space="preserve">c) v osmem pododstavku se besedilo</w:t>
      </w:r>
      <w:r>
        <w:t xml:space="preserve"> </w:t>
      </w:r>
      <w:r>
        <w:t xml:space="preserve">„iz tega člena“ nadomesti z besedilom</w:t>
      </w:r>
      <w:r>
        <w:t xml:space="preserve"> </w:t>
      </w:r>
      <w:r>
        <w:t xml:space="preserve">„iz člena D. 322-10 in D. 322-19 Zakonika o notranji varnosti“;</w:t>
      </w:r>
      <w:r>
        <w:t xml:space="preserve"> </w:t>
      </w:r>
    </w:p>
    <w:p w14:paraId="5C01C0A8" w14:textId="08EE0C3D" w:rsidR="00142531" w:rsidRPr="00933EA2" w:rsidRDefault="00F77C81" w:rsidP="00933EA2">
      <w:pPr>
        <w:pStyle w:val="BodyText"/>
        <w:jc w:val="both"/>
      </w:pPr>
      <w:r>
        <w:t xml:space="preserve">d) v sedemnajstem pododstavku se besedilo</w:t>
      </w:r>
      <w:r>
        <w:t xml:space="preserve"> </w:t>
      </w:r>
      <w:r>
        <w:t xml:space="preserve">„v točke 2 tega odstavka I " nadomesti z besedilom</w:t>
      </w:r>
      <w:r>
        <w:t xml:space="preserve"> </w:t>
      </w:r>
      <w:r>
        <w:t xml:space="preserve">„iz člena L. 322-14“;</w:t>
      </w:r>
    </w:p>
    <w:p w14:paraId="4A48D974" w14:textId="6354E1D2" w:rsidR="00142531" w:rsidRPr="00933EA2" w:rsidRDefault="003A7FAA" w:rsidP="00933EA2">
      <w:pPr>
        <w:pStyle w:val="BodyText"/>
        <w:jc w:val="both"/>
      </w:pPr>
      <w:r>
        <w:t xml:space="preserve">2. člen 9 se spremeni:</w:t>
      </w:r>
      <w:r>
        <w:t xml:space="preserve"> </w:t>
      </w:r>
    </w:p>
    <w:p w14:paraId="67CB0A9C" w14:textId="0B61CF64" w:rsidR="00142531" w:rsidRPr="00933EA2" w:rsidRDefault="00F77C81" w:rsidP="00933EA2">
      <w:pPr>
        <w:pStyle w:val="BodyText"/>
        <w:jc w:val="both"/>
      </w:pPr>
      <w:r>
        <w:t xml:space="preserve">a)</w:t>
      </w:r>
      <w:r>
        <w:t xml:space="preserve"> v prvem pododstavku se besedilo</w:t>
      </w:r>
      <w:r>
        <w:t xml:space="preserve"> </w:t>
      </w:r>
      <w:r>
        <w:t xml:space="preserve">„I.“ črta;</w:t>
      </w:r>
    </w:p>
    <w:p w14:paraId="7362E9D8" w14:textId="26A4CC94" w:rsidR="00142531" w:rsidRPr="00933EA2" w:rsidRDefault="00F77C81" w:rsidP="00933EA2">
      <w:pPr>
        <w:pStyle w:val="BodyText"/>
        <w:jc w:val="both"/>
      </w:pPr>
      <w:r>
        <w:t xml:space="preserve">b) odstavek II se razveljavi;</w:t>
      </w:r>
    </w:p>
    <w:p w14:paraId="34B2083E" w14:textId="5E389661" w:rsidR="00142531" w:rsidRPr="00933EA2" w:rsidRDefault="003A7FAA" w:rsidP="00933EA2">
      <w:pPr>
        <w:pStyle w:val="BodyText"/>
        <w:jc w:val="both"/>
      </w:pPr>
      <w:r>
        <w:t xml:space="preserve">3. prvi pododstavek člena 11 se črta;</w:t>
      </w:r>
    </w:p>
    <w:p w14:paraId="2CF30745" w14:textId="77777777" w:rsidR="00142531" w:rsidRPr="00933EA2" w:rsidRDefault="003A7FAA" w:rsidP="00933EA2">
      <w:pPr>
        <w:pStyle w:val="BodyText"/>
        <w:jc w:val="both"/>
      </w:pPr>
      <w:r>
        <w:t xml:space="preserve">4. člena 10 in 16 se črtata.</w:t>
      </w:r>
    </w:p>
    <w:p w14:paraId="026AA641" w14:textId="19FF09DB" w:rsidR="00142531" w:rsidRDefault="00C342AB" w:rsidP="00933EA2">
      <w:pPr>
        <w:pStyle w:val="BodyText"/>
        <w:jc w:val="center"/>
        <w:rPr>
          <w:b/>
        </w:rPr>
      </w:pPr>
      <w:r>
        <w:rPr>
          <w:b/>
        </w:rPr>
        <w:t xml:space="preserve">Člen 49</w:t>
      </w:r>
    </w:p>
    <w:p w14:paraId="20CC2A42" w14:textId="77777777" w:rsidR="00933EA2" w:rsidRPr="00933EA2" w:rsidRDefault="00933EA2" w:rsidP="00933EA2">
      <w:pPr>
        <w:keepNext/>
        <w:keepLines/>
        <w:rPr>
          <w:b/>
        </w:rPr>
      </w:pPr>
    </w:p>
    <w:p w14:paraId="5078CA54" w14:textId="77777777" w:rsidR="003A46B9" w:rsidRPr="00933EA2" w:rsidRDefault="00142531" w:rsidP="00933EA2">
      <w:pPr>
        <w:pStyle w:val="BodyText"/>
        <w:jc w:val="both"/>
      </w:pPr>
      <w:r>
        <w:t xml:space="preserve">Uredba št. 2010-624 z dne 8. junija 2010 o ureditvi komercialnih sporočil prirediteljev iger na srečo in obveščanju igralcev o tveganjih, povezanih z igranjem igre na srečo, se razveljavi, z izjemo člena 1.</w:t>
      </w:r>
    </w:p>
    <w:p w14:paraId="44F6D3A1" w14:textId="77777777" w:rsidR="003A46B9" w:rsidRPr="00933EA2" w:rsidRDefault="003A46B9" w:rsidP="00933EA2">
      <w:pPr>
        <w:pStyle w:val="BodyText"/>
        <w:jc w:val="both"/>
      </w:pPr>
      <w:r>
        <w:t xml:space="preserve">Člen 1 navedene uredbe z dne 8. junija 2010 se razveljavi na dan začetka veljavnosti odloka iz člena D. 320-2 Zakonika o notranji varnosti.</w:t>
      </w:r>
    </w:p>
    <w:p w14:paraId="43F165C3" w14:textId="77777777" w:rsidR="00142531" w:rsidRPr="00933EA2" w:rsidRDefault="00142531" w:rsidP="00933EA2">
      <w:pPr>
        <w:pStyle w:val="BodyText"/>
        <w:jc w:val="both"/>
      </w:pPr>
    </w:p>
    <w:p w14:paraId="1ED9BF43" w14:textId="30760737" w:rsidR="00142531" w:rsidRPr="00933EA2" w:rsidRDefault="00142531" w:rsidP="00933EA2">
      <w:pPr>
        <w:keepNext/>
        <w:keepLines/>
        <w:pageBreakBefore/>
        <w:spacing w:after="200" w:line="276" w:lineRule="auto"/>
        <w:jc w:val="center"/>
        <w:rPr>
          <w:b/>
          <w:rFonts w:eastAsiaTheme="minorHAnsi"/>
        </w:rPr>
      </w:pPr>
      <w:r>
        <w:rPr>
          <w:b/>
        </w:rPr>
        <w:t xml:space="preserve">NASLOV X:</w:t>
      </w:r>
      <w:r>
        <w:rPr>
          <w:b/>
        </w:rPr>
        <w:t xml:space="preserve"> </w:t>
      </w:r>
      <w:r>
        <w:rPr>
          <w:b/>
        </w:rPr>
        <w:t xml:space="preserve">DOLOČBE O ČEZMORSKIH OZEMLJIH</w:t>
      </w:r>
    </w:p>
    <w:p w14:paraId="228B2384" w14:textId="6829D366" w:rsidR="00142531" w:rsidRDefault="00C342AB" w:rsidP="00933EA2">
      <w:pPr>
        <w:pStyle w:val="BodyText"/>
        <w:keepNext/>
        <w:keepLines/>
        <w:jc w:val="center"/>
        <w:rPr>
          <w:b/>
        </w:rPr>
      </w:pPr>
      <w:r>
        <w:rPr>
          <w:b/>
        </w:rPr>
        <w:t xml:space="preserve">Člen 50</w:t>
      </w:r>
    </w:p>
    <w:p w14:paraId="64A668A0" w14:textId="77777777" w:rsidR="00933EA2" w:rsidRPr="00933EA2" w:rsidRDefault="00933EA2" w:rsidP="00933EA2">
      <w:pPr>
        <w:pStyle w:val="BodyText"/>
        <w:keepNext/>
        <w:keepLines/>
        <w:jc w:val="center"/>
        <w:rPr>
          <w:b/>
        </w:rPr>
      </w:pPr>
    </w:p>
    <w:p w14:paraId="4EDE3EF1" w14:textId="78A68B88" w:rsidR="00142531" w:rsidRPr="00933EA2" w:rsidRDefault="00142531" w:rsidP="00933EA2">
      <w:pPr>
        <w:spacing w:before="120" w:after="120"/>
        <w:jc w:val="both"/>
      </w:pPr>
      <w:r>
        <w:t xml:space="preserve">Naslov II zvezka II Zakonika o notranji varnosti se spremeni:</w:t>
      </w:r>
      <w:r>
        <w:t xml:space="preserve"> </w:t>
      </w:r>
    </w:p>
    <w:p w14:paraId="3F218209" w14:textId="4E3D9BBB" w:rsidR="00142531" w:rsidRPr="00933EA2" w:rsidRDefault="00142531" w:rsidP="00933EA2">
      <w:pPr>
        <w:spacing w:before="120" w:after="120"/>
        <w:jc w:val="both"/>
      </w:pPr>
      <w:r>
        <w:t xml:space="preserve">1. za členom R. 344-1 se vstavi člen D. 344-1-1, ki se glasi:</w:t>
      </w:r>
      <w:r>
        <w:t xml:space="preserve"> </w:t>
      </w:r>
    </w:p>
    <w:p w14:paraId="03866EFC" w14:textId="4280BBD7" w:rsidR="00142531" w:rsidRPr="00933EA2" w:rsidRDefault="00142531" w:rsidP="00933EA2">
      <w:pPr>
        <w:spacing w:before="120" w:after="120"/>
        <w:jc w:val="both"/>
      </w:pPr>
      <w:r>
        <w:t xml:space="preserve">„</w:t>
      </w:r>
      <w:r>
        <w:rPr>
          <w:bCs/>
          <w:i/>
          <w:iCs/>
        </w:rPr>
        <w:t xml:space="preserve">Člen D. 344-1-1</w:t>
      </w:r>
      <w:r>
        <w:t xml:space="preserve">.</w:t>
      </w:r>
      <w:r>
        <w:t xml:space="preserve"> </w:t>
      </w:r>
      <w:r>
        <w:t xml:space="preserve">V Francoski Polineziji se določbe tega zvezka, navedene v levem stolpcu spodnje preglednice, uporabljajo v besedilu, navedenem v desnem stolpcu preglednice:</w:t>
      </w:r>
      <w:r>
        <w:t xml:space="preserve"> </w:t>
      </w:r>
    </w:p>
    <w:p w14:paraId="575C799C" w14:textId="77777777" w:rsidR="00142531" w:rsidRPr="00933EA2" w:rsidRDefault="00142531" w:rsidP="00933EA2">
      <w:pPr>
        <w:spacing w:before="120" w:after="120"/>
      </w:pPr>
      <w:r>
        <w:t xml:space="preserve">„</w:t>
      </w:r>
    </w:p>
    <w:tbl>
      <w:tblPr>
        <w:tblW w:w="0" w:type="auto"/>
        <w:tblInd w:w="-15" w:type="dxa"/>
        <w:tblLayout w:type="fixed"/>
        <w:tblLook w:val="0000" w:firstRow="0" w:lastRow="0" w:firstColumn="0" w:lastColumn="0" w:noHBand="0" w:noVBand="0"/>
      </w:tblPr>
      <w:tblGrid>
        <w:gridCol w:w="4747"/>
        <w:gridCol w:w="4777"/>
      </w:tblGrid>
      <w:tr w:rsidR="00142531" w:rsidRPr="00933EA2" w14:paraId="0E2EAEC9"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1B23B21" w14:textId="77777777" w:rsidR="00142531" w:rsidRPr="00933EA2" w:rsidRDefault="00142531" w:rsidP="00933EA2">
            <w:pPr>
              <w:spacing w:before="120" w:after="120"/>
              <w:jc w:val="center"/>
            </w:pPr>
            <w:r>
              <w:t xml:space="preserve">VELJAVNE DOLOČBE</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7D931236" w14:textId="77777777" w:rsidR="00142531" w:rsidRPr="00933EA2" w:rsidRDefault="00142531" w:rsidP="00933EA2">
            <w:pPr>
              <w:spacing w:before="120" w:after="120"/>
              <w:jc w:val="center"/>
            </w:pPr>
            <w:r>
              <w:t xml:space="preserve">V BESEDILU</w:t>
            </w:r>
          </w:p>
        </w:tc>
      </w:tr>
      <w:tr w:rsidR="00142531" w:rsidRPr="00933EA2" w14:paraId="412D33D7"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2FF41097" w14:textId="77777777" w:rsidR="00142531" w:rsidRPr="00933EA2" w:rsidRDefault="00142531" w:rsidP="00933EA2">
            <w:pPr>
              <w:spacing w:before="120" w:after="120"/>
              <w:jc w:val="both"/>
            </w:pPr>
            <w:r>
              <w:t xml:space="preserve">Naslov II</w:t>
            </w:r>
          </w:p>
        </w:tc>
      </w:tr>
      <w:tr w:rsidR="00142531" w:rsidRPr="00933EA2" w14:paraId="7935333B"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7E2AA7C7" w14:textId="77777777" w:rsidR="00142531" w:rsidRPr="00933EA2" w:rsidRDefault="00142531" w:rsidP="00933EA2">
            <w:pPr>
              <w:spacing w:before="120" w:after="120"/>
              <w:jc w:val="both"/>
            </w:pPr>
            <w:r>
              <w:t xml:space="preserve">D. 320-1 do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57373FB" w14:textId="77777777" w:rsidR="00142531" w:rsidRPr="00933EA2" w:rsidRDefault="00142531" w:rsidP="00933EA2">
            <w:pPr>
              <w:spacing w:before="120" w:after="120"/>
              <w:jc w:val="both"/>
            </w:pPr>
            <w:r>
              <w:t xml:space="preserve">iz Uredbe št. XXX z dne XXX</w:t>
            </w:r>
          </w:p>
        </w:tc>
      </w:tr>
      <w:tr w:rsidR="00142531" w:rsidRPr="00933EA2" w14:paraId="58B6C442"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08FB507A" w14:textId="77777777" w:rsidR="00142531" w:rsidRPr="00933EA2" w:rsidRDefault="00142531" w:rsidP="00933EA2">
            <w:pPr>
              <w:spacing w:before="120" w:after="120"/>
              <w:jc w:val="both"/>
              <w:rPr>
                <w:bCs/>
                <w:iCs/>
              </w:rPr>
            </w:pPr>
            <w:r>
              <w:t xml:space="preserve">D. 322-9 do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2C4B1D7B" w14:textId="77777777" w:rsidR="00142531" w:rsidRPr="00933EA2" w:rsidRDefault="00142531" w:rsidP="00933EA2">
            <w:pPr>
              <w:spacing w:before="120" w:after="120"/>
              <w:jc w:val="both"/>
            </w:pPr>
            <w:r>
              <w:t xml:space="preserve">iz Uredbe št. XXX z dne XXX</w:t>
            </w:r>
          </w:p>
        </w:tc>
      </w:tr>
    </w:tbl>
    <w:p w14:paraId="76940A3D" w14:textId="70749E61" w:rsidR="00142531" w:rsidRPr="00933EA2" w:rsidRDefault="00142531" w:rsidP="00933EA2">
      <w:pPr>
        <w:spacing w:before="120" w:after="120"/>
        <w:jc w:val="right"/>
      </w:pPr>
      <w:r>
        <w:t xml:space="preserve">“;</w:t>
      </w:r>
    </w:p>
    <w:p w14:paraId="2859C670" w14:textId="4C9A029D" w:rsidR="00142531" w:rsidRPr="00933EA2" w:rsidRDefault="00F77C81" w:rsidP="00933EA2">
      <w:pPr>
        <w:spacing w:before="120" w:after="120"/>
        <w:jc w:val="both"/>
      </w:pPr>
      <w:r>
        <w:t xml:space="preserve">2. člen D. 345-2 se spremeni:</w:t>
      </w:r>
      <w:r>
        <w:t xml:space="preserve"> </w:t>
      </w:r>
    </w:p>
    <w:p w14:paraId="171E8F55" w14:textId="345E314C" w:rsidR="00142531" w:rsidRPr="00933EA2" w:rsidRDefault="00142531" w:rsidP="00933EA2">
      <w:pPr>
        <w:spacing w:before="120" w:after="120"/>
        <w:jc w:val="both"/>
      </w:pPr>
      <w:r>
        <w:t xml:space="preserve">a) za vrstico</w:t>
      </w:r>
      <w:r>
        <w:t xml:space="preserve"> </w:t>
      </w:r>
    </w:p>
    <w:p w14:paraId="0A6D5ECA" w14:textId="4260D7DB" w:rsidR="00142531" w:rsidRPr="00933EA2" w:rsidRDefault="00142531" w:rsidP="00933EA2">
      <w:pPr>
        <w:spacing w:before="120" w:after="120"/>
        <w:jc w:val="both"/>
      </w:pPr>
      <w:r>
        <w:t xml:space="preserve">„</w:t>
      </w:r>
      <w:r>
        <w:t xml:space="preserve"> </w:t>
      </w:r>
    </w:p>
    <w:tbl>
      <w:tblPr>
        <w:tblW w:w="0" w:type="auto"/>
        <w:tblInd w:w="-15" w:type="dxa"/>
        <w:tblLayout w:type="fixed"/>
        <w:tblLook w:val="0000" w:firstRow="0" w:lastRow="0" w:firstColumn="0" w:lastColumn="0" w:noHBand="0" w:noVBand="0"/>
      </w:tblPr>
      <w:tblGrid>
        <w:gridCol w:w="9524"/>
      </w:tblGrid>
      <w:tr w:rsidR="00142531" w:rsidRPr="00933EA2" w14:paraId="692F82FE" w14:textId="77777777" w:rsidTr="00933EA2">
        <w:trPr>
          <w:cantSplit/>
        </w:trPr>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20DA139F" w14:textId="77777777" w:rsidR="00142531" w:rsidRPr="00933EA2" w:rsidRDefault="00142531" w:rsidP="00933EA2">
            <w:pPr>
              <w:spacing w:before="120" w:after="120"/>
              <w:jc w:val="both"/>
            </w:pPr>
            <w:r>
              <w:t xml:space="preserve">Naslov II</w:t>
            </w:r>
          </w:p>
        </w:tc>
      </w:tr>
    </w:tbl>
    <w:p w14:paraId="5EC12802" w14:textId="77777777" w:rsidR="00142531" w:rsidRPr="00933EA2" w:rsidRDefault="00142531" w:rsidP="00933EA2">
      <w:pPr>
        <w:spacing w:before="120" w:after="120"/>
        <w:jc w:val="right"/>
      </w:pPr>
      <w:r>
        <w:t xml:space="preserve">“</w:t>
      </w:r>
    </w:p>
    <w:p w14:paraId="3328B77C" w14:textId="47ADEAAB" w:rsidR="00142531" w:rsidRPr="00933EA2" w:rsidRDefault="00142531" w:rsidP="00933EA2">
      <w:pPr>
        <w:spacing w:before="120" w:after="120"/>
        <w:jc w:val="both"/>
      </w:pPr>
      <w:r>
        <w:t xml:space="preserve">se vstavi naslednja vrstica:</w:t>
      </w:r>
      <w:r>
        <w:t xml:space="preserve"> </w:t>
      </w:r>
    </w:p>
    <w:p w14:paraId="3C13D2F5" w14:textId="6F23188C" w:rsidR="00142531" w:rsidRPr="00933EA2" w:rsidRDefault="00142531" w:rsidP="00933EA2">
      <w:pPr>
        <w:spacing w:before="120" w:after="120"/>
        <w:jc w:val="both"/>
      </w:pPr>
      <w:r>
        <w:t xml:space="preserve">„</w:t>
      </w: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0A2B46FE"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5F90E2B5" w14:textId="77777777" w:rsidR="00142531" w:rsidRPr="00933EA2" w:rsidRDefault="00142531" w:rsidP="00933EA2">
            <w:pPr>
              <w:spacing w:before="120" w:after="120"/>
              <w:jc w:val="both"/>
            </w:pPr>
            <w:r>
              <w:t xml:space="preserve">D. 320-1 do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5456348F" w14:textId="77777777" w:rsidR="00142531" w:rsidRPr="00933EA2" w:rsidRDefault="00142531" w:rsidP="00933EA2">
            <w:pPr>
              <w:spacing w:before="120" w:after="120"/>
              <w:jc w:val="both"/>
            </w:pPr>
            <w:r>
              <w:t xml:space="preserve">iz Uredbe št. XXX z dne XXX</w:t>
            </w:r>
          </w:p>
        </w:tc>
      </w:tr>
    </w:tbl>
    <w:p w14:paraId="394F271C" w14:textId="15007DC9" w:rsidR="00142531" w:rsidRPr="00933EA2" w:rsidRDefault="00142531" w:rsidP="00933EA2">
      <w:pPr>
        <w:spacing w:before="120" w:after="120"/>
        <w:jc w:val="right"/>
      </w:pPr>
      <w:r>
        <w:t xml:space="preserve">“;</w:t>
      </w:r>
    </w:p>
    <w:p w14:paraId="2C9C36CA" w14:textId="748A8604" w:rsidR="00142531" w:rsidRPr="00933EA2" w:rsidRDefault="00142531" w:rsidP="00933EA2">
      <w:pPr>
        <w:spacing w:before="120" w:after="120"/>
        <w:jc w:val="both"/>
      </w:pPr>
      <w:r>
        <w:t xml:space="preserve">b) za vrstico:</w:t>
      </w:r>
      <w:r>
        <w:t xml:space="preserve"> </w:t>
      </w:r>
    </w:p>
    <w:p w14:paraId="7FEEA025" w14:textId="3404E3A0" w:rsidR="00142531" w:rsidRPr="00933EA2" w:rsidRDefault="00142531" w:rsidP="00933EA2">
      <w:pPr>
        <w:spacing w:before="120" w:after="120"/>
        <w:jc w:val="both"/>
      </w:pPr>
      <w:r>
        <w:t xml:space="preserve">„</w:t>
      </w: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7C02A6C7"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0082B790" w14:textId="77777777" w:rsidR="00142531" w:rsidRPr="00933EA2" w:rsidRDefault="00142531" w:rsidP="00933EA2">
            <w:pPr>
              <w:spacing w:before="120" w:after="120"/>
              <w:jc w:val="both"/>
            </w:pPr>
            <w:r>
              <w:t xml:space="preserve">D. 322-4</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31C8B634" w14:textId="77777777" w:rsidR="00142531" w:rsidRPr="00933EA2" w:rsidRDefault="00142531" w:rsidP="00933EA2">
            <w:pPr>
              <w:spacing w:before="120" w:after="120"/>
              <w:jc w:val="both"/>
            </w:pPr>
            <w:r>
              <w:t xml:space="preserve">iz Uredbe št. 2014-1253 z dne 27. oktobra 2014 o določbah iz zvezkov III, VI in VII normativnega dela Zakonika o notranji varnosti (uredbe državnega sveta in enostavne uredbe)</w:t>
            </w:r>
          </w:p>
        </w:tc>
      </w:tr>
    </w:tbl>
    <w:p w14:paraId="0CC52D59" w14:textId="77777777" w:rsidR="00142531" w:rsidRPr="00933EA2" w:rsidRDefault="00142531" w:rsidP="00933EA2">
      <w:pPr>
        <w:spacing w:before="120" w:after="120"/>
        <w:jc w:val="right"/>
      </w:pPr>
      <w:r>
        <w:t xml:space="preserve">“</w:t>
      </w:r>
    </w:p>
    <w:p w14:paraId="036973BF" w14:textId="3EF8A6EA" w:rsidR="00142531" w:rsidRPr="00933EA2" w:rsidRDefault="00142531" w:rsidP="00933EA2">
      <w:pPr>
        <w:spacing w:before="120" w:after="120"/>
        <w:jc w:val="both"/>
      </w:pPr>
      <w:r>
        <w:t xml:space="preserve">se vstavi naslednja vrstica:</w:t>
      </w:r>
      <w:r>
        <w:t xml:space="preserve"> </w:t>
      </w:r>
    </w:p>
    <w:p w14:paraId="7F8A13A4" w14:textId="7461E24A" w:rsidR="00142531" w:rsidRPr="00933EA2" w:rsidRDefault="00142531" w:rsidP="00933EA2">
      <w:pPr>
        <w:spacing w:before="120" w:after="120"/>
        <w:jc w:val="both"/>
      </w:pPr>
      <w:r>
        <w:t xml:space="preserve">„</w:t>
      </w: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53804408"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6F206FB0" w14:textId="77777777" w:rsidR="00142531" w:rsidRPr="00933EA2" w:rsidRDefault="00142531" w:rsidP="00933EA2">
            <w:pPr>
              <w:spacing w:before="120" w:after="120"/>
              <w:jc w:val="both"/>
            </w:pPr>
            <w:r>
              <w:t xml:space="preserve">D. 322-9 do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A69AF8B" w14:textId="77777777" w:rsidR="00142531" w:rsidRPr="00933EA2" w:rsidRDefault="00142531" w:rsidP="00933EA2">
            <w:pPr>
              <w:spacing w:before="120" w:after="120"/>
              <w:jc w:val="both"/>
            </w:pPr>
            <w:r>
              <w:t xml:space="preserve">iz Uredbe št. XXX z dne XXX</w:t>
            </w:r>
          </w:p>
        </w:tc>
      </w:tr>
    </w:tbl>
    <w:p w14:paraId="7ABECD41" w14:textId="459EF0D1" w:rsidR="00142531" w:rsidRPr="00933EA2" w:rsidRDefault="00142531" w:rsidP="00933EA2">
      <w:pPr>
        <w:spacing w:before="120" w:after="120"/>
        <w:jc w:val="right"/>
      </w:pPr>
      <w:r>
        <w:t xml:space="preserve">“;</w:t>
      </w:r>
    </w:p>
    <w:p w14:paraId="04D53B77" w14:textId="17B7F537" w:rsidR="00142531" w:rsidRPr="00933EA2" w:rsidRDefault="00142531" w:rsidP="00933EA2">
      <w:pPr>
        <w:spacing w:before="120" w:after="120"/>
        <w:jc w:val="both"/>
      </w:pPr>
      <w:r>
        <w:t xml:space="preserve">3. za členom R. 346-1-1 se vstavi člen R. 346-1-2, ki se glasi:</w:t>
      </w:r>
      <w:r>
        <w:t xml:space="preserve"> </w:t>
      </w:r>
    </w:p>
    <w:p w14:paraId="0356F9A9" w14:textId="36D1FF27" w:rsidR="00142531" w:rsidRPr="00933EA2" w:rsidRDefault="00142531" w:rsidP="00933EA2">
      <w:pPr>
        <w:spacing w:before="120" w:after="120"/>
        <w:jc w:val="both"/>
      </w:pPr>
      <w:r>
        <w:t xml:space="preserve">„</w:t>
      </w:r>
      <w:r>
        <w:rPr>
          <w:bCs/>
          <w:i/>
          <w:iCs/>
        </w:rPr>
        <w:t xml:space="preserve">Člen D. 346-1-2</w:t>
      </w:r>
      <w:r>
        <w:t xml:space="preserve">.</w:t>
      </w:r>
      <w:r>
        <w:t xml:space="preserve"> </w:t>
      </w:r>
      <w:r>
        <w:t xml:space="preserve">Na otokih Wallis in Futuna se določbe tega zvezka, navedene v levem stolpcu spodnje preglednice, uporabljajo v besedilu, navedenem v desnem stolpcu preglednice:</w:t>
      </w:r>
      <w:r>
        <w:t xml:space="preserve"> </w:t>
      </w:r>
    </w:p>
    <w:p w14:paraId="3AB46910" w14:textId="77777777" w:rsidR="00142531" w:rsidRPr="00933EA2" w:rsidRDefault="00142531" w:rsidP="00933EA2">
      <w:pPr>
        <w:spacing w:before="120" w:after="120"/>
      </w:pPr>
      <w:r>
        <w:t xml:space="preserve">„</w:t>
      </w:r>
    </w:p>
    <w:tbl>
      <w:tblPr>
        <w:tblW w:w="0" w:type="auto"/>
        <w:tblInd w:w="-15" w:type="dxa"/>
        <w:tblLayout w:type="fixed"/>
        <w:tblLook w:val="0000" w:firstRow="0" w:lastRow="0" w:firstColumn="0" w:lastColumn="0" w:noHBand="0" w:noVBand="0"/>
      </w:tblPr>
      <w:tblGrid>
        <w:gridCol w:w="4747"/>
        <w:gridCol w:w="4777"/>
      </w:tblGrid>
      <w:tr w:rsidR="00142531" w:rsidRPr="00933EA2" w14:paraId="4D743C10"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362F6C25" w14:textId="77777777" w:rsidR="00142531" w:rsidRPr="00933EA2" w:rsidRDefault="00142531" w:rsidP="00933EA2">
            <w:pPr>
              <w:spacing w:before="120" w:after="120"/>
              <w:jc w:val="center"/>
            </w:pPr>
            <w:r>
              <w:t xml:space="preserve">VELJAVNE DOLOČBE</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54549F68" w14:textId="77777777" w:rsidR="00142531" w:rsidRPr="00933EA2" w:rsidRDefault="00142531" w:rsidP="00933EA2">
            <w:pPr>
              <w:spacing w:before="120" w:after="120"/>
              <w:jc w:val="center"/>
            </w:pPr>
            <w:r>
              <w:t xml:space="preserve">V BESEDILU</w:t>
            </w:r>
          </w:p>
        </w:tc>
      </w:tr>
      <w:tr w:rsidR="00142531" w:rsidRPr="00933EA2" w14:paraId="15B8CCF1"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7F30FF23" w14:textId="77777777" w:rsidR="00142531" w:rsidRPr="00933EA2" w:rsidRDefault="00142531" w:rsidP="00933EA2">
            <w:pPr>
              <w:spacing w:before="120" w:after="120"/>
              <w:jc w:val="both"/>
            </w:pPr>
            <w:r>
              <w:t xml:space="preserve">Naslov II</w:t>
            </w:r>
          </w:p>
        </w:tc>
      </w:tr>
      <w:tr w:rsidR="00142531" w:rsidRPr="00933EA2" w14:paraId="3EC8EE75"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6D9AEA54" w14:textId="77777777" w:rsidR="00142531" w:rsidRPr="00933EA2" w:rsidRDefault="00142531" w:rsidP="00933EA2">
            <w:pPr>
              <w:spacing w:before="120" w:after="120"/>
              <w:jc w:val="both"/>
            </w:pPr>
            <w:r>
              <w:t xml:space="preserve">D. 320-1 do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6B1C7BDE" w14:textId="77777777" w:rsidR="00142531" w:rsidRPr="00933EA2" w:rsidRDefault="00142531" w:rsidP="00933EA2">
            <w:pPr>
              <w:spacing w:before="120" w:after="120"/>
              <w:jc w:val="both"/>
            </w:pPr>
            <w:r>
              <w:t xml:space="preserve">iz Uredbe št. XXX z dne XXX</w:t>
            </w:r>
          </w:p>
        </w:tc>
      </w:tr>
      <w:tr w:rsidR="00142531" w:rsidRPr="00933EA2" w14:paraId="441A2A26"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3D70CD41" w14:textId="77777777" w:rsidR="00142531" w:rsidRPr="00933EA2" w:rsidRDefault="00142531" w:rsidP="00933EA2">
            <w:pPr>
              <w:spacing w:before="120" w:after="120"/>
              <w:jc w:val="both"/>
            </w:pPr>
            <w:r>
              <w:t xml:space="preserve">D. 322-9 do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2B7F0CC8" w14:textId="77777777" w:rsidR="00142531" w:rsidRPr="00933EA2" w:rsidRDefault="00142531" w:rsidP="00933EA2">
            <w:pPr>
              <w:spacing w:before="120" w:after="120"/>
              <w:jc w:val="both"/>
            </w:pPr>
            <w:r>
              <w:t xml:space="preserve">iz Uredbe št. XXX z dne XXX</w:t>
            </w:r>
          </w:p>
        </w:tc>
      </w:tr>
    </w:tbl>
    <w:p w14:paraId="3ACFD74F" w14:textId="0DC3CFC1" w:rsidR="00142531" w:rsidRPr="00933EA2" w:rsidRDefault="00142531" w:rsidP="00933EA2">
      <w:pPr>
        <w:spacing w:before="120" w:after="120"/>
        <w:jc w:val="right"/>
      </w:pPr>
      <w:r>
        <w:t xml:space="preserve">“;</w:t>
      </w:r>
    </w:p>
    <w:p w14:paraId="5283D3EE" w14:textId="765E5D2C" w:rsidR="00142531" w:rsidRPr="00933EA2" w:rsidRDefault="00142531" w:rsidP="00933EA2">
      <w:pPr>
        <w:spacing w:before="120" w:after="120"/>
        <w:jc w:val="both"/>
      </w:pPr>
      <w:r>
        <w:t xml:space="preserve">4. poglavje VII se dopolni s členom D. 347-1, ki se glasi:</w:t>
      </w:r>
      <w:r>
        <w:t xml:space="preserve"> </w:t>
      </w:r>
    </w:p>
    <w:p w14:paraId="26663052" w14:textId="4598AC2D" w:rsidR="00142531" w:rsidRPr="00933EA2" w:rsidRDefault="00142531" w:rsidP="00933EA2">
      <w:pPr>
        <w:spacing w:before="120" w:after="120"/>
        <w:jc w:val="both"/>
      </w:pPr>
      <w:r>
        <w:t xml:space="preserve">„</w:t>
      </w:r>
      <w:r>
        <w:rPr>
          <w:bCs/>
          <w:i/>
          <w:iCs/>
        </w:rPr>
        <w:t xml:space="preserve">Člen D. 347-1</w:t>
      </w:r>
      <w:r>
        <w:t xml:space="preserve">.</w:t>
      </w:r>
      <w:r>
        <w:t xml:space="preserve"> </w:t>
      </w:r>
      <w:r>
        <w:t xml:space="preserve">V Francoskih južnih in antarktičnih ozemljih se določbe tega zvezka, navedene v levem stolpcu spodnje preglednice, uporabljajo v besedilu, navedenem v desnem stolpcu preglednice:</w:t>
      </w:r>
      <w:r>
        <w:t xml:space="preserve"> </w:t>
      </w:r>
    </w:p>
    <w:p w14:paraId="395891FB" w14:textId="77777777" w:rsidR="00142531" w:rsidRPr="00933EA2" w:rsidRDefault="00142531" w:rsidP="00933EA2">
      <w:pPr>
        <w:spacing w:before="120" w:after="120"/>
      </w:pPr>
      <w:r>
        <w:t xml:space="preserve">„</w:t>
      </w:r>
    </w:p>
    <w:tbl>
      <w:tblPr>
        <w:tblW w:w="0" w:type="auto"/>
        <w:tblInd w:w="-15" w:type="dxa"/>
        <w:tblLayout w:type="fixed"/>
        <w:tblLook w:val="0000" w:firstRow="0" w:lastRow="0" w:firstColumn="0" w:lastColumn="0" w:noHBand="0" w:noVBand="0"/>
      </w:tblPr>
      <w:tblGrid>
        <w:gridCol w:w="4747"/>
        <w:gridCol w:w="4777"/>
      </w:tblGrid>
      <w:tr w:rsidR="00142531" w:rsidRPr="00933EA2" w14:paraId="19620149"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5E51C02" w14:textId="77777777" w:rsidR="00142531" w:rsidRPr="00933EA2" w:rsidRDefault="00142531" w:rsidP="00933EA2">
            <w:pPr>
              <w:spacing w:before="120" w:after="120"/>
              <w:jc w:val="center"/>
            </w:pPr>
            <w:r>
              <w:t xml:space="preserve">VELJAVNE DOLOČBE</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117039B1" w14:textId="77777777" w:rsidR="00142531" w:rsidRPr="00933EA2" w:rsidRDefault="00142531" w:rsidP="00933EA2">
            <w:pPr>
              <w:spacing w:before="120" w:after="120"/>
              <w:jc w:val="center"/>
            </w:pPr>
            <w:r>
              <w:t xml:space="preserve">V BESEDILU</w:t>
            </w:r>
          </w:p>
        </w:tc>
      </w:tr>
      <w:tr w:rsidR="00142531" w:rsidRPr="00933EA2" w14:paraId="006B1D1E"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5FD81A05" w14:textId="77777777" w:rsidR="00142531" w:rsidRPr="00933EA2" w:rsidRDefault="00142531" w:rsidP="00933EA2">
            <w:pPr>
              <w:spacing w:before="120" w:after="120"/>
              <w:jc w:val="both"/>
            </w:pPr>
            <w:r>
              <w:t xml:space="preserve">Naslov II</w:t>
            </w:r>
          </w:p>
        </w:tc>
      </w:tr>
      <w:tr w:rsidR="00142531" w:rsidRPr="00933EA2" w14:paraId="754CC0A0"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2848BF92" w14:textId="77777777" w:rsidR="00142531" w:rsidRPr="00933EA2" w:rsidRDefault="00142531" w:rsidP="00933EA2">
            <w:pPr>
              <w:spacing w:before="120" w:after="120"/>
              <w:jc w:val="both"/>
            </w:pPr>
            <w:r>
              <w:t xml:space="preserve">D. 320-1 do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09EA1C4F" w14:textId="77777777" w:rsidR="00142531" w:rsidRPr="00933EA2" w:rsidRDefault="00142531" w:rsidP="00933EA2">
            <w:pPr>
              <w:spacing w:before="120" w:after="120"/>
              <w:jc w:val="both"/>
            </w:pPr>
            <w:r>
              <w:t xml:space="preserve">iz Uredbe št. XXX z dne XXX</w:t>
            </w:r>
          </w:p>
        </w:tc>
      </w:tr>
      <w:tr w:rsidR="00142531" w:rsidRPr="00933EA2" w14:paraId="5E2E16B3"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C86ABFB" w14:textId="77777777" w:rsidR="00142531" w:rsidRPr="00933EA2" w:rsidRDefault="00142531" w:rsidP="00933EA2">
            <w:pPr>
              <w:spacing w:before="120" w:after="120"/>
              <w:jc w:val="both"/>
            </w:pPr>
            <w:r>
              <w:t xml:space="preserve">D. 322-9 do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758082FD" w14:textId="77777777" w:rsidR="00142531" w:rsidRPr="00933EA2" w:rsidRDefault="00142531" w:rsidP="00933EA2">
            <w:pPr>
              <w:spacing w:before="120" w:after="120"/>
              <w:jc w:val="both"/>
            </w:pPr>
            <w:r>
              <w:t xml:space="preserve">iz Uredbe št. XXX z dne XXX</w:t>
            </w:r>
          </w:p>
        </w:tc>
      </w:tr>
    </w:tbl>
    <w:p w14:paraId="2929B55C" w14:textId="77777777" w:rsidR="00142531" w:rsidRPr="00933EA2" w:rsidRDefault="00142531" w:rsidP="00933EA2">
      <w:pPr>
        <w:spacing w:after="200" w:line="276" w:lineRule="auto"/>
        <w:jc w:val="both"/>
        <w:rPr>
          <w:rFonts w:eastAsiaTheme="minorHAnsi"/>
          <w:b/>
          <w:lang w:eastAsia="en-US"/>
        </w:rPr>
      </w:pPr>
    </w:p>
    <w:p w14:paraId="401F4637" w14:textId="0B71D208" w:rsidR="00834E0B" w:rsidRPr="00933EA2" w:rsidRDefault="00142531" w:rsidP="00933EA2">
      <w:pPr>
        <w:keepNext/>
        <w:keepLines/>
        <w:spacing w:after="200" w:line="276" w:lineRule="auto"/>
        <w:jc w:val="center"/>
        <w:rPr>
          <w:b/>
          <w:rFonts w:eastAsiaTheme="minorHAnsi"/>
        </w:rPr>
      </w:pPr>
      <w:r>
        <w:rPr>
          <w:b/>
        </w:rPr>
        <w:t xml:space="preserve">NASLOV XI:</w:t>
      </w:r>
      <w:r>
        <w:rPr>
          <w:b/>
        </w:rPr>
        <w:t xml:space="preserve"> </w:t>
      </w:r>
      <w:r>
        <w:rPr>
          <w:b/>
        </w:rPr>
        <w:t xml:space="preserve">PREHODNE IN KONČNE DOLOČBE</w:t>
      </w:r>
    </w:p>
    <w:p w14:paraId="0AD583E0" w14:textId="279FDCC7" w:rsidR="00834E0B" w:rsidRDefault="00C342AB" w:rsidP="00933EA2">
      <w:pPr>
        <w:pStyle w:val="BodyText"/>
        <w:keepNext/>
        <w:keepLines/>
        <w:jc w:val="center"/>
        <w:rPr>
          <w:b/>
        </w:rPr>
      </w:pPr>
      <w:r>
        <w:rPr>
          <w:b/>
        </w:rPr>
        <w:t xml:space="preserve">Člen 51</w:t>
      </w:r>
    </w:p>
    <w:p w14:paraId="537DEBBC" w14:textId="77777777" w:rsidR="00933EA2" w:rsidRPr="00933EA2" w:rsidRDefault="00933EA2" w:rsidP="00933EA2">
      <w:pPr>
        <w:keepNext/>
        <w:keepLines/>
        <w:rPr>
          <w:b/>
        </w:rPr>
      </w:pPr>
    </w:p>
    <w:p w14:paraId="3C30DE53" w14:textId="77777777" w:rsidR="00834E0B" w:rsidRPr="00933EA2" w:rsidRDefault="00834E0B" w:rsidP="00933EA2">
      <w:pPr>
        <w:spacing w:after="200" w:line="276" w:lineRule="auto"/>
        <w:jc w:val="both"/>
        <w:rPr>
          <w:rFonts w:eastAsiaTheme="minorHAnsi"/>
        </w:rPr>
      </w:pPr>
      <w:r>
        <w:t xml:space="preserve">Razveljavijo se:</w:t>
      </w:r>
    </w:p>
    <w:p w14:paraId="39CDE79A" w14:textId="34743197" w:rsidR="00834E0B" w:rsidRPr="00933EA2" w:rsidRDefault="00834E0B" w:rsidP="00933EA2">
      <w:pPr>
        <w:spacing w:after="200" w:line="276" w:lineRule="auto"/>
        <w:jc w:val="both"/>
        <w:rPr>
          <w:rFonts w:eastAsiaTheme="minorHAnsi"/>
        </w:rPr>
      </w:pPr>
      <w:r>
        <w:t xml:space="preserve">– Uredba št. 2010-605 z dne 4. junija 2010 o največjem povprečnem deležu zneskov, ki jih prireditelji konjskih stav in spletnih športnih stav z dovoljenjem izplačajo igralcem;</w:t>
      </w:r>
    </w:p>
    <w:p w14:paraId="2B3AC36E" w14:textId="3FA87F31" w:rsidR="00834E0B" w:rsidRPr="00933EA2" w:rsidRDefault="00834E0B" w:rsidP="00933EA2">
      <w:pPr>
        <w:spacing w:after="200" w:line="276" w:lineRule="auto"/>
        <w:jc w:val="both"/>
        <w:rPr>
          <w:rFonts w:eastAsiaTheme="minorHAnsi"/>
        </w:rPr>
      </w:pPr>
      <w:r>
        <w:t xml:space="preserve">– Uredba št. 2010-614 z dne 7. junija 2010 o pogojih trženja pravic v zvezi z organizacijo stav na športni prireditvi ali tekmovanju;</w:t>
      </w:r>
      <w:r>
        <w:t xml:space="preserve"> </w:t>
      </w:r>
    </w:p>
    <w:p w14:paraId="08682D8E" w14:textId="77777777" w:rsidR="00834E0B" w:rsidRPr="00933EA2" w:rsidRDefault="00834E0B" w:rsidP="00933EA2">
      <w:pPr>
        <w:spacing w:after="200" w:line="276" w:lineRule="auto"/>
        <w:jc w:val="both"/>
        <w:rPr>
          <w:rFonts w:eastAsiaTheme="minorHAnsi"/>
        </w:rPr>
      </w:pPr>
      <w:r>
        <w:t xml:space="preserve">– Uredba št. 2010–483 z dne 12. maja 2010 o športnih tekmovanjih in vrstah športnih rezultatov, ki jih opredeli Regulativni organ za spletne igre.</w:t>
      </w:r>
      <w:r>
        <w:t xml:space="preserve"> </w:t>
      </w:r>
    </w:p>
    <w:p w14:paraId="1FA844DB" w14:textId="77777777" w:rsidR="004A5445" w:rsidRPr="00933EA2" w:rsidRDefault="004A5445" w:rsidP="00933EA2">
      <w:pPr>
        <w:pStyle w:val="BodyText"/>
      </w:pPr>
    </w:p>
    <w:p w14:paraId="156635BE" w14:textId="3AE58746" w:rsidR="00045126" w:rsidRPr="00933EA2" w:rsidRDefault="004A5445" w:rsidP="00933EA2">
      <w:pPr>
        <w:pStyle w:val="BodyText"/>
        <w:keepNext/>
        <w:keepLines/>
        <w:jc w:val="center"/>
        <w:rPr>
          <w:b/>
        </w:rPr>
      </w:pPr>
      <w:r>
        <w:rPr>
          <w:b/>
        </w:rPr>
        <w:t xml:space="preserve">Člen 52</w:t>
      </w:r>
    </w:p>
    <w:p w14:paraId="0D2865A3" w14:textId="77777777" w:rsidR="004A5445" w:rsidRPr="00933EA2" w:rsidRDefault="004A5445" w:rsidP="00933EA2">
      <w:pPr>
        <w:keepNext/>
        <w:keepLines/>
        <w:rPr>
          <w:b/>
        </w:rPr>
      </w:pPr>
    </w:p>
    <w:p w14:paraId="61CFC6C0" w14:textId="7C347B30" w:rsidR="00F77C81" w:rsidRPr="00933EA2" w:rsidRDefault="00F77C81" w:rsidP="00933EA2">
      <w:pPr>
        <w:spacing w:after="200" w:line="276" w:lineRule="auto"/>
        <w:jc w:val="both"/>
        <w:rPr>
          <w:rFonts w:eastAsiaTheme="minorHAnsi"/>
        </w:rPr>
      </w:pPr>
      <w:r>
        <w:t xml:space="preserve">Ta uredba začne veljati 15. marca 2020, razen členov 45 in 46, ki začneta veljati s prvim zasedanjem kolegija Nacionalnega organa za igre na srečo, ter členov D. 320-10 in D. 320-12 Zakonika o notranji varnosti v različici, ki izhaja iz te uredbe, ki začneta veljati 1. aprila 2020.</w:t>
      </w:r>
      <w:r>
        <w:t xml:space="preserve"> </w:t>
      </w:r>
    </w:p>
    <w:p w14:paraId="7B0897DA" w14:textId="12835F20" w:rsidR="00F77C81" w:rsidRDefault="00C342AB" w:rsidP="00933EA2">
      <w:pPr>
        <w:pStyle w:val="BodyText"/>
        <w:keepNext/>
        <w:keepLines/>
        <w:jc w:val="center"/>
        <w:rPr>
          <w:b/>
        </w:rPr>
      </w:pPr>
      <w:r>
        <w:rPr>
          <w:b/>
        </w:rPr>
        <w:t xml:space="preserve">Člen 53</w:t>
      </w:r>
    </w:p>
    <w:p w14:paraId="1C294652" w14:textId="77777777" w:rsidR="00933EA2" w:rsidRPr="00933EA2" w:rsidRDefault="00933EA2" w:rsidP="00933EA2">
      <w:pPr>
        <w:keepNext/>
        <w:keepLines/>
        <w:rPr>
          <w:b/>
        </w:rPr>
      </w:pPr>
    </w:p>
    <w:p w14:paraId="13B679D0" w14:textId="77777777" w:rsidR="00045126" w:rsidRPr="00933EA2" w:rsidRDefault="00E47B2C" w:rsidP="00933EA2">
      <w:pPr>
        <w:spacing w:after="200" w:line="276" w:lineRule="auto"/>
        <w:jc w:val="both"/>
        <w:rPr>
          <w:rFonts w:eastAsiaTheme="minorHAnsi"/>
        </w:rPr>
      </w:pPr>
      <w:r>
        <w:t xml:space="preserve">Ministrica za solidarnost in zdravje, minister za gospodarstvo in finance, minister za javno politiko in javne račune ter ministrica za šport so vsak v skladu s svojimi pristojnostmi odgovorni za izvajanje te uredbe, ki bo objavljena v </w:t>
      </w:r>
      <w:r>
        <w:rPr>
          <w:i/>
        </w:rPr>
        <w:t xml:space="preserve">Uradnem listu </w:t>
      </w:r>
      <w:r>
        <w:t xml:space="preserve">Francoske republike.</w:t>
      </w:r>
    </w:p>
    <w:p w14:paraId="5A6BDE87" w14:textId="77777777" w:rsidR="00045126" w:rsidRPr="00933EA2" w:rsidRDefault="00045126" w:rsidP="00933EA2">
      <w:pPr>
        <w:jc w:val="both"/>
      </w:pPr>
    </w:p>
    <w:p w14:paraId="7744C332" w14:textId="77777777" w:rsidR="00045126" w:rsidRPr="00933EA2" w:rsidRDefault="00045126" w:rsidP="00933EA2">
      <w:pPr>
        <w:pStyle w:val="SNDate"/>
      </w:pPr>
      <w:r>
        <w:t xml:space="preserve">Dne:</w:t>
      </w:r>
    </w:p>
    <w:p w14:paraId="2401536C" w14:textId="13A1BFD0" w:rsidR="00045126" w:rsidRPr="00933EA2" w:rsidRDefault="00045126" w:rsidP="00933EA2">
      <w:pPr>
        <w:pStyle w:val="SNContreseing"/>
      </w:pPr>
      <w:r>
        <w:t xml:space="preserve">Za predsednika vlade:</w:t>
      </w:r>
    </w:p>
    <w:p w14:paraId="61EA0C42" w14:textId="77777777" w:rsidR="002639F9" w:rsidRPr="00933EA2" w:rsidRDefault="002639F9" w:rsidP="00933EA2">
      <w:pPr>
        <w:pStyle w:val="SNSignatureGauche"/>
      </w:pPr>
    </w:p>
    <w:p w14:paraId="6AE51864" w14:textId="77777777" w:rsidR="002639F9" w:rsidRPr="00933EA2" w:rsidRDefault="002639F9" w:rsidP="00933EA2">
      <w:pPr>
        <w:pStyle w:val="SNSignatureGauche"/>
      </w:pPr>
      <w:r>
        <w:t xml:space="preserve">ministrica za zdravje,</w:t>
      </w:r>
    </w:p>
    <w:p w14:paraId="71E59B0D" w14:textId="77777777" w:rsidR="002639F9" w:rsidRPr="00933EA2" w:rsidRDefault="002639F9" w:rsidP="00933EA2">
      <w:pPr>
        <w:pStyle w:val="SNSignatureGauche"/>
      </w:pPr>
      <w:r>
        <w:t xml:space="preserve">minister za finance in gospodarstvo,</w:t>
      </w:r>
    </w:p>
    <w:p w14:paraId="107A4321" w14:textId="77777777" w:rsidR="0084714D" w:rsidRPr="00933EA2" w:rsidRDefault="00045126" w:rsidP="00933EA2">
      <w:pPr>
        <w:pStyle w:val="SNSignatureGauche"/>
      </w:pPr>
      <w:r>
        <w:t xml:space="preserve">minister za javno politiko in javne račune,</w:t>
      </w:r>
    </w:p>
    <w:p w14:paraId="3D6DF0C7" w14:textId="77777777" w:rsidR="002639F9" w:rsidRPr="00933EA2" w:rsidRDefault="002639F9" w:rsidP="00933EA2">
      <w:r>
        <w:tab/>
      </w:r>
      <w:r>
        <w:t xml:space="preserve">minister za notranje zadeve,</w:t>
      </w:r>
    </w:p>
    <w:p w14:paraId="3DBAC714" w14:textId="77777777" w:rsidR="0084714D" w:rsidRPr="00933EA2" w:rsidRDefault="0084714D" w:rsidP="00933EA2">
      <w:r>
        <w:tab/>
      </w:r>
    </w:p>
    <w:p w14:paraId="41741A5D" w14:textId="77777777" w:rsidR="0084714D" w:rsidRPr="00933EA2" w:rsidRDefault="0084714D" w:rsidP="00933EA2"/>
    <w:p w14:paraId="1E24424C" w14:textId="77777777" w:rsidR="0084714D" w:rsidRPr="00933EA2" w:rsidRDefault="0084714D" w:rsidP="00933EA2">
      <w:r>
        <w:tab/>
      </w:r>
    </w:p>
    <w:p w14:paraId="70100F49" w14:textId="77777777" w:rsidR="0084714D" w:rsidRPr="00933EA2" w:rsidRDefault="0084714D" w:rsidP="00933EA2"/>
    <w:p w14:paraId="33274DC5" w14:textId="77777777" w:rsidR="0084714D" w:rsidRPr="00933EA2" w:rsidRDefault="0084714D" w:rsidP="00933EA2"/>
    <w:p w14:paraId="05DF47ED" w14:textId="77777777" w:rsidR="0084714D" w:rsidRPr="00933EA2" w:rsidRDefault="0084714D" w:rsidP="00933EA2">
      <w:r>
        <w:tab/>
      </w:r>
    </w:p>
    <w:p w14:paraId="61D6FBE7" w14:textId="77777777" w:rsidR="0084714D" w:rsidRPr="00933EA2" w:rsidRDefault="0084714D" w:rsidP="00933EA2"/>
    <w:p w14:paraId="0F8ABE96" w14:textId="77777777" w:rsidR="0084714D" w:rsidRPr="00933EA2" w:rsidRDefault="0084714D" w:rsidP="00933EA2"/>
    <w:p w14:paraId="58BE4906" w14:textId="77777777" w:rsidR="0084714D" w:rsidRPr="00933EA2" w:rsidRDefault="0084714D" w:rsidP="00933EA2"/>
    <w:p w14:paraId="17043E6E" w14:textId="77777777" w:rsidR="0084714D" w:rsidRPr="00933EA2" w:rsidRDefault="0084714D" w:rsidP="00933EA2">
      <w:r>
        <w:tab/>
      </w:r>
      <w:r>
        <w:t xml:space="preserve">ministrica za šport,</w:t>
      </w:r>
    </w:p>
    <w:p w14:paraId="18DBADDF" w14:textId="77777777" w:rsidR="00045126" w:rsidRPr="00933EA2" w:rsidRDefault="00045126" w:rsidP="00933EA2">
      <w:pPr>
        <w:pStyle w:val="SNSignatureprnomnomDroite"/>
      </w:pPr>
    </w:p>
    <w:p w14:paraId="3EAA086C" w14:textId="77777777" w:rsidR="00FA6DCF" w:rsidRPr="00933EA2" w:rsidRDefault="00FA6DCF" w:rsidP="00933EA2"/>
    <w:sectPr w:rsidR="00FA6DCF" w:rsidRPr="00933EA2">
      <w:pgSz w:w="11906" w:h="16838"/>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3AB"/>
    <w:multiLevelType w:val="hybridMultilevel"/>
    <w:tmpl w:val="9D22A510"/>
    <w:lvl w:ilvl="0" w:tplc="7352B29C">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105388"/>
    <w:multiLevelType w:val="hybridMultilevel"/>
    <w:tmpl w:val="51688AC2"/>
    <w:lvl w:ilvl="0" w:tplc="A358F4A0">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0705FC"/>
    <w:multiLevelType w:val="hybridMultilevel"/>
    <w:tmpl w:val="62164F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6DE4FB9"/>
    <w:multiLevelType w:val="hybridMultilevel"/>
    <w:tmpl w:val="5B147600"/>
    <w:lvl w:ilvl="0" w:tplc="FB9E8B52">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dirty" w:grammar="dirty"/>
  <w:defaultTabStop w:val="708"/>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26"/>
    <w:rsid w:val="00045126"/>
    <w:rsid w:val="000546D5"/>
    <w:rsid w:val="000B249A"/>
    <w:rsid w:val="00116832"/>
    <w:rsid w:val="00142531"/>
    <w:rsid w:val="001441BB"/>
    <w:rsid w:val="001A3887"/>
    <w:rsid w:val="001A748C"/>
    <w:rsid w:val="001C08C5"/>
    <w:rsid w:val="001D2F2A"/>
    <w:rsid w:val="001D5634"/>
    <w:rsid w:val="00236A47"/>
    <w:rsid w:val="00240CB2"/>
    <w:rsid w:val="002639F9"/>
    <w:rsid w:val="00274506"/>
    <w:rsid w:val="0030487E"/>
    <w:rsid w:val="00342260"/>
    <w:rsid w:val="00361A86"/>
    <w:rsid w:val="003640D7"/>
    <w:rsid w:val="003A46B9"/>
    <w:rsid w:val="003A7FAA"/>
    <w:rsid w:val="003E77DA"/>
    <w:rsid w:val="00452EF3"/>
    <w:rsid w:val="004A5445"/>
    <w:rsid w:val="004A5492"/>
    <w:rsid w:val="0053784D"/>
    <w:rsid w:val="005460E9"/>
    <w:rsid w:val="00591BC1"/>
    <w:rsid w:val="00605C60"/>
    <w:rsid w:val="006E57E4"/>
    <w:rsid w:val="00757561"/>
    <w:rsid w:val="00794988"/>
    <w:rsid w:val="007A780D"/>
    <w:rsid w:val="007C0916"/>
    <w:rsid w:val="007E61D1"/>
    <w:rsid w:val="00805098"/>
    <w:rsid w:val="00813F86"/>
    <w:rsid w:val="008332C7"/>
    <w:rsid w:val="00834E0B"/>
    <w:rsid w:val="0084714D"/>
    <w:rsid w:val="008701C9"/>
    <w:rsid w:val="0087707C"/>
    <w:rsid w:val="00897E35"/>
    <w:rsid w:val="008B0867"/>
    <w:rsid w:val="0091270F"/>
    <w:rsid w:val="00933EA2"/>
    <w:rsid w:val="0096792E"/>
    <w:rsid w:val="00B148A7"/>
    <w:rsid w:val="00B267A3"/>
    <w:rsid w:val="00B705CF"/>
    <w:rsid w:val="00B84182"/>
    <w:rsid w:val="00B8530E"/>
    <w:rsid w:val="00B86A8C"/>
    <w:rsid w:val="00BC35EB"/>
    <w:rsid w:val="00BD5FA1"/>
    <w:rsid w:val="00C342AB"/>
    <w:rsid w:val="00CD4953"/>
    <w:rsid w:val="00CE7325"/>
    <w:rsid w:val="00D13FBA"/>
    <w:rsid w:val="00D546FF"/>
    <w:rsid w:val="00DC5B05"/>
    <w:rsid w:val="00DD75EA"/>
    <w:rsid w:val="00E47B2C"/>
    <w:rsid w:val="00E60B45"/>
    <w:rsid w:val="00E83532"/>
    <w:rsid w:val="00E93956"/>
    <w:rsid w:val="00EB04CB"/>
    <w:rsid w:val="00F25772"/>
    <w:rsid w:val="00F52FE4"/>
    <w:rsid w:val="00F77C81"/>
    <w:rsid w:val="00FA6D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126"/>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REPUBLIQUE">
    <w:name w:val="SNREPUBLIQUE"/>
    <w:basedOn w:val="Normal"/>
    <w:rsid w:val="00045126"/>
    <w:pPr>
      <w:jc w:val="center"/>
    </w:pPr>
    <w:rPr>
      <w:b/>
      <w:bCs/>
      <w:szCs w:val="20"/>
    </w:rPr>
  </w:style>
  <w:style w:type="paragraph" w:customStyle="1" w:styleId="SNNature">
    <w:name w:val="SNNature"/>
    <w:basedOn w:val="Normal"/>
    <w:next w:val="Normal"/>
    <w:autoRedefine/>
    <w:rsid w:val="00045126"/>
    <w:pPr>
      <w:widowControl w:val="0"/>
      <w:suppressLineNumbers/>
      <w:suppressAutoHyphens/>
      <w:spacing w:before="720" w:after="120"/>
      <w:jc w:val="center"/>
    </w:pPr>
    <w:rPr>
      <w:rFonts w:eastAsia="Lucida Sans Unicode"/>
      <w:b/>
      <w:bCs/>
    </w:rPr>
  </w:style>
  <w:style w:type="paragraph" w:customStyle="1" w:styleId="SNNORCentr">
    <w:name w:val="SNNOR+Centré"/>
    <w:next w:val="SNAutorit"/>
    <w:rsid w:val="00045126"/>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045126"/>
    <w:pPr>
      <w:spacing w:before="720" w:after="240"/>
      <w:ind w:firstLine="720"/>
    </w:pPr>
    <w:rPr>
      <w:b/>
    </w:rPr>
  </w:style>
  <w:style w:type="paragraph" w:customStyle="1" w:styleId="SNSignatureprnomnomDroite">
    <w:name w:val="SNSignature prénom+nom Droite"/>
    <w:basedOn w:val="Normal"/>
    <w:next w:val="SNSignatureGauche"/>
    <w:rsid w:val="00045126"/>
    <w:pPr>
      <w:spacing w:before="120" w:after="120"/>
      <w:ind w:left="5041"/>
      <w:jc w:val="right"/>
    </w:pPr>
    <w:rPr>
      <w:color w:val="000000"/>
    </w:rPr>
  </w:style>
  <w:style w:type="paragraph" w:customStyle="1" w:styleId="SNSignatureGauche">
    <w:name w:val="SNSignatureGauche"/>
    <w:basedOn w:val="Normal"/>
    <w:next w:val="Normal"/>
    <w:autoRedefine/>
    <w:rsid w:val="002639F9"/>
    <w:pPr>
      <w:spacing w:before="120" w:after="1680"/>
      <w:ind w:left="720" w:right="4494"/>
      <w:jc w:val="both"/>
    </w:pPr>
  </w:style>
  <w:style w:type="paragraph" w:customStyle="1" w:styleId="SNTimbre">
    <w:name w:val="SNTimbre"/>
    <w:basedOn w:val="Normal"/>
    <w:link w:val="SNTimbreCar"/>
    <w:autoRedefine/>
    <w:rsid w:val="00045126"/>
    <w:pPr>
      <w:widowControl w:val="0"/>
      <w:suppressAutoHyphens/>
      <w:snapToGrid w:val="0"/>
      <w:spacing w:before="120"/>
      <w:jc w:val="center"/>
    </w:pPr>
    <w:rPr>
      <w:rFonts w:eastAsia="Lucida Sans Unicode"/>
    </w:rPr>
  </w:style>
  <w:style w:type="character" w:customStyle="1" w:styleId="SNTimbreCar">
    <w:name w:val="SNTimbre Car"/>
    <w:basedOn w:val="DefaultParagraphFont"/>
    <w:link w:val="SNTimbre"/>
    <w:rsid w:val="00045126"/>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D13FBA"/>
    <w:pPr>
      <w:spacing w:before="240" w:after="120"/>
      <w:ind w:firstLine="720"/>
      <w:jc w:val="both"/>
    </w:pPr>
  </w:style>
  <w:style w:type="paragraph" w:customStyle="1" w:styleId="SNDate">
    <w:name w:val="SNDate"/>
    <w:basedOn w:val="Normal"/>
    <w:next w:val="SNContreseing"/>
    <w:link w:val="SNDateCar"/>
    <w:autoRedefine/>
    <w:rsid w:val="00045126"/>
    <w:pPr>
      <w:spacing w:before="480" w:after="2760"/>
      <w:ind w:firstLine="720"/>
    </w:pPr>
  </w:style>
  <w:style w:type="paragraph" w:customStyle="1" w:styleId="SNContreseing">
    <w:name w:val="SNContreseing"/>
    <w:basedOn w:val="Normal"/>
    <w:next w:val="SNSignatureGauche"/>
    <w:autoRedefine/>
    <w:rsid w:val="00045126"/>
    <w:pPr>
      <w:spacing w:before="480"/>
      <w:ind w:firstLine="720"/>
    </w:pPr>
  </w:style>
  <w:style w:type="character" w:customStyle="1" w:styleId="SNDateCar">
    <w:name w:val="SNDate Car"/>
    <w:basedOn w:val="DefaultParagraphFont"/>
    <w:link w:val="SNDate"/>
    <w:rsid w:val="00045126"/>
    <w:rPr>
      <w:rFonts w:ascii="Times New Roman" w:eastAsia="Times New Roman" w:hAnsi="Times New Roman" w:cs="Times New Roman"/>
      <w:sz w:val="24"/>
      <w:szCs w:val="24"/>
      <w:lang w:eastAsia="fr-FR"/>
    </w:rPr>
  </w:style>
  <w:style w:type="paragraph" w:customStyle="1" w:styleId="SNActe">
    <w:name w:val="SNActe"/>
    <w:basedOn w:val="Normal"/>
    <w:autoRedefine/>
    <w:rsid w:val="00045126"/>
    <w:pPr>
      <w:spacing w:before="480" w:after="360"/>
      <w:jc w:val="center"/>
    </w:pPr>
    <w:rPr>
      <w:b/>
    </w:rPr>
  </w:style>
  <w:style w:type="paragraph" w:customStyle="1" w:styleId="SNArticle">
    <w:name w:val="SNArticle"/>
    <w:basedOn w:val="Normal"/>
    <w:next w:val="BodyText"/>
    <w:link w:val="SNArticleCar"/>
    <w:autoRedefine/>
    <w:rsid w:val="00045126"/>
    <w:pPr>
      <w:spacing w:before="240" w:after="240"/>
      <w:jc w:val="center"/>
    </w:pPr>
    <w:rPr>
      <w:b/>
    </w:rPr>
  </w:style>
  <w:style w:type="character" w:customStyle="1" w:styleId="SNArticleCar">
    <w:name w:val="SNArticle Car"/>
    <w:basedOn w:val="DefaultParagraphFont"/>
    <w:link w:val="SNArticle"/>
    <w:rsid w:val="00045126"/>
    <w:rPr>
      <w:rFonts w:ascii="Times New Roman" w:eastAsia="Times New Roman" w:hAnsi="Times New Roman" w:cs="Times New Roman"/>
      <w:b/>
      <w:sz w:val="24"/>
      <w:szCs w:val="24"/>
      <w:lang w:eastAsia="fr-FR"/>
    </w:rPr>
  </w:style>
  <w:style w:type="paragraph" w:styleId="ListParagraph">
    <w:name w:val="List Paragraph"/>
    <w:basedOn w:val="Normal"/>
    <w:uiPriority w:val="34"/>
    <w:qFormat/>
    <w:rsid w:val="00045126"/>
    <w:pPr>
      <w:ind w:left="720"/>
      <w:contextualSpacing/>
    </w:pPr>
  </w:style>
  <w:style w:type="paragraph" w:styleId="BodyText">
    <w:name w:val="Body Text"/>
    <w:basedOn w:val="Normal"/>
    <w:link w:val="BodyTextChar"/>
    <w:uiPriority w:val="99"/>
    <w:semiHidden/>
    <w:unhideWhenUsed/>
    <w:rsid w:val="00045126"/>
    <w:pPr>
      <w:spacing w:after="120"/>
    </w:pPr>
  </w:style>
  <w:style w:type="character" w:customStyle="1" w:styleId="BodyTextChar">
    <w:name w:val="Body Text Char"/>
    <w:basedOn w:val="DefaultParagraphFont"/>
    <w:link w:val="BodyText"/>
    <w:uiPriority w:val="99"/>
    <w:semiHidden/>
    <w:rsid w:val="00045126"/>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7E61D1"/>
    <w:rPr>
      <w:sz w:val="16"/>
      <w:szCs w:val="16"/>
    </w:rPr>
  </w:style>
  <w:style w:type="paragraph" w:styleId="CommentText">
    <w:name w:val="annotation text"/>
    <w:basedOn w:val="Normal"/>
    <w:link w:val="CommentTextChar"/>
    <w:uiPriority w:val="99"/>
    <w:semiHidden/>
    <w:unhideWhenUsed/>
    <w:rsid w:val="007E61D1"/>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E61D1"/>
    <w:rPr>
      <w:sz w:val="20"/>
      <w:szCs w:val="20"/>
    </w:rPr>
  </w:style>
  <w:style w:type="paragraph" w:styleId="BalloonText">
    <w:name w:val="Balloon Text"/>
    <w:basedOn w:val="Normal"/>
    <w:link w:val="BalloonTextChar"/>
    <w:uiPriority w:val="99"/>
    <w:semiHidden/>
    <w:unhideWhenUsed/>
    <w:rsid w:val="007E6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D1"/>
    <w:rPr>
      <w:rFonts w:ascii="Segoe UI" w:eastAsia="Times New Roman" w:hAnsi="Segoe UI" w:cs="Segoe UI"/>
      <w:sz w:val="18"/>
      <w:szCs w:val="18"/>
      <w:lang w:eastAsia="fr-FR"/>
    </w:rPr>
  </w:style>
  <w:style w:type="character" w:styleId="Hyperlink">
    <w:name w:val="Hyperlink"/>
    <w:basedOn w:val="DefaultParagraphFont"/>
    <w:uiPriority w:val="99"/>
    <w:unhideWhenUsed/>
    <w:rsid w:val="0084714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36A47"/>
    <w:pPr>
      <w:spacing w:after="0"/>
    </w:pPr>
    <w:rPr>
      <w:rFonts w:ascii="Times New Roman" w:eastAsia="Times New Roman" w:hAnsi="Times New Roman" w:cs="Times New Roman"/>
      <w:b/>
      <w:bCs/>
      <w:lang w:eastAsia="fr-FR"/>
    </w:rPr>
  </w:style>
  <w:style w:type="character" w:customStyle="1" w:styleId="CommentSubjectChar">
    <w:name w:val="Comment Subject Char"/>
    <w:basedOn w:val="CommentTextChar"/>
    <w:link w:val="CommentSubject"/>
    <w:uiPriority w:val="99"/>
    <w:semiHidden/>
    <w:rsid w:val="00236A47"/>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126"/>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REPUBLIQUE">
    <w:name w:val="SNREPUBLIQUE"/>
    <w:basedOn w:val="Normal"/>
    <w:rsid w:val="00045126"/>
    <w:pPr>
      <w:jc w:val="center"/>
    </w:pPr>
    <w:rPr>
      <w:b/>
      <w:bCs/>
      <w:szCs w:val="20"/>
    </w:rPr>
  </w:style>
  <w:style w:type="paragraph" w:customStyle="1" w:styleId="SNNature">
    <w:name w:val="SNNature"/>
    <w:basedOn w:val="Normal"/>
    <w:next w:val="Normal"/>
    <w:autoRedefine/>
    <w:rsid w:val="00045126"/>
    <w:pPr>
      <w:widowControl w:val="0"/>
      <w:suppressLineNumbers/>
      <w:suppressAutoHyphens/>
      <w:spacing w:before="720" w:after="120"/>
      <w:jc w:val="center"/>
    </w:pPr>
    <w:rPr>
      <w:rFonts w:eastAsia="Lucida Sans Unicode"/>
      <w:b/>
      <w:bCs/>
    </w:rPr>
  </w:style>
  <w:style w:type="paragraph" w:customStyle="1" w:styleId="SNNORCentr">
    <w:name w:val="SNNOR+Centré"/>
    <w:next w:val="SNAutorit"/>
    <w:rsid w:val="00045126"/>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045126"/>
    <w:pPr>
      <w:spacing w:before="720" w:after="240"/>
      <w:ind w:firstLine="720"/>
    </w:pPr>
    <w:rPr>
      <w:b/>
    </w:rPr>
  </w:style>
  <w:style w:type="paragraph" w:customStyle="1" w:styleId="SNSignatureprnomnomDroite">
    <w:name w:val="SNSignature prénom+nom Droite"/>
    <w:basedOn w:val="Normal"/>
    <w:next w:val="SNSignatureGauche"/>
    <w:rsid w:val="00045126"/>
    <w:pPr>
      <w:spacing w:before="120" w:after="120"/>
      <w:ind w:left="5041"/>
      <w:jc w:val="right"/>
    </w:pPr>
    <w:rPr>
      <w:color w:val="000000"/>
    </w:rPr>
  </w:style>
  <w:style w:type="paragraph" w:customStyle="1" w:styleId="SNSignatureGauche">
    <w:name w:val="SNSignatureGauche"/>
    <w:basedOn w:val="Normal"/>
    <w:next w:val="Normal"/>
    <w:autoRedefine/>
    <w:rsid w:val="002639F9"/>
    <w:pPr>
      <w:spacing w:before="120" w:after="1680"/>
      <w:ind w:left="720" w:right="4494"/>
      <w:jc w:val="both"/>
    </w:pPr>
  </w:style>
  <w:style w:type="paragraph" w:customStyle="1" w:styleId="SNTimbre">
    <w:name w:val="SNTimbre"/>
    <w:basedOn w:val="Normal"/>
    <w:link w:val="SNTimbreCar"/>
    <w:autoRedefine/>
    <w:rsid w:val="00045126"/>
    <w:pPr>
      <w:widowControl w:val="0"/>
      <w:suppressAutoHyphens/>
      <w:snapToGrid w:val="0"/>
      <w:spacing w:before="120"/>
      <w:jc w:val="center"/>
    </w:pPr>
    <w:rPr>
      <w:rFonts w:eastAsia="Lucida Sans Unicode"/>
    </w:rPr>
  </w:style>
  <w:style w:type="character" w:customStyle="1" w:styleId="SNTimbreCar">
    <w:name w:val="SNTimbre Car"/>
    <w:basedOn w:val="DefaultParagraphFont"/>
    <w:link w:val="SNTimbre"/>
    <w:rsid w:val="00045126"/>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D13FBA"/>
    <w:pPr>
      <w:spacing w:before="240" w:after="120"/>
      <w:ind w:firstLine="720"/>
      <w:jc w:val="both"/>
    </w:pPr>
  </w:style>
  <w:style w:type="paragraph" w:customStyle="1" w:styleId="SNDate">
    <w:name w:val="SNDate"/>
    <w:basedOn w:val="Normal"/>
    <w:next w:val="SNContreseing"/>
    <w:link w:val="SNDateCar"/>
    <w:autoRedefine/>
    <w:rsid w:val="00045126"/>
    <w:pPr>
      <w:spacing w:before="480" w:after="2760"/>
      <w:ind w:firstLine="720"/>
    </w:pPr>
  </w:style>
  <w:style w:type="paragraph" w:customStyle="1" w:styleId="SNContreseing">
    <w:name w:val="SNContreseing"/>
    <w:basedOn w:val="Normal"/>
    <w:next w:val="SNSignatureGauche"/>
    <w:autoRedefine/>
    <w:rsid w:val="00045126"/>
    <w:pPr>
      <w:spacing w:before="480"/>
      <w:ind w:firstLine="720"/>
    </w:pPr>
  </w:style>
  <w:style w:type="character" w:customStyle="1" w:styleId="SNDateCar">
    <w:name w:val="SNDate Car"/>
    <w:basedOn w:val="DefaultParagraphFont"/>
    <w:link w:val="SNDate"/>
    <w:rsid w:val="00045126"/>
    <w:rPr>
      <w:rFonts w:ascii="Times New Roman" w:eastAsia="Times New Roman" w:hAnsi="Times New Roman" w:cs="Times New Roman"/>
      <w:sz w:val="24"/>
      <w:szCs w:val="24"/>
      <w:lang w:eastAsia="fr-FR"/>
    </w:rPr>
  </w:style>
  <w:style w:type="paragraph" w:customStyle="1" w:styleId="SNActe">
    <w:name w:val="SNActe"/>
    <w:basedOn w:val="Normal"/>
    <w:autoRedefine/>
    <w:rsid w:val="00045126"/>
    <w:pPr>
      <w:spacing w:before="480" w:after="360"/>
      <w:jc w:val="center"/>
    </w:pPr>
    <w:rPr>
      <w:b/>
    </w:rPr>
  </w:style>
  <w:style w:type="paragraph" w:customStyle="1" w:styleId="SNArticle">
    <w:name w:val="SNArticle"/>
    <w:basedOn w:val="Normal"/>
    <w:next w:val="BodyText"/>
    <w:link w:val="SNArticleCar"/>
    <w:autoRedefine/>
    <w:rsid w:val="00045126"/>
    <w:pPr>
      <w:spacing w:before="240" w:after="240"/>
      <w:jc w:val="center"/>
    </w:pPr>
    <w:rPr>
      <w:b/>
    </w:rPr>
  </w:style>
  <w:style w:type="character" w:customStyle="1" w:styleId="SNArticleCar">
    <w:name w:val="SNArticle Car"/>
    <w:basedOn w:val="DefaultParagraphFont"/>
    <w:link w:val="SNArticle"/>
    <w:rsid w:val="00045126"/>
    <w:rPr>
      <w:rFonts w:ascii="Times New Roman" w:eastAsia="Times New Roman" w:hAnsi="Times New Roman" w:cs="Times New Roman"/>
      <w:b/>
      <w:sz w:val="24"/>
      <w:szCs w:val="24"/>
      <w:lang w:eastAsia="fr-FR"/>
    </w:rPr>
  </w:style>
  <w:style w:type="paragraph" w:styleId="ListParagraph">
    <w:name w:val="List Paragraph"/>
    <w:basedOn w:val="Normal"/>
    <w:uiPriority w:val="34"/>
    <w:qFormat/>
    <w:rsid w:val="00045126"/>
    <w:pPr>
      <w:ind w:left="720"/>
      <w:contextualSpacing/>
    </w:pPr>
  </w:style>
  <w:style w:type="paragraph" w:styleId="BodyText">
    <w:name w:val="Body Text"/>
    <w:basedOn w:val="Normal"/>
    <w:link w:val="BodyTextChar"/>
    <w:uiPriority w:val="99"/>
    <w:semiHidden/>
    <w:unhideWhenUsed/>
    <w:rsid w:val="00045126"/>
    <w:pPr>
      <w:spacing w:after="120"/>
    </w:pPr>
  </w:style>
  <w:style w:type="character" w:customStyle="1" w:styleId="BodyTextChar">
    <w:name w:val="Body Text Char"/>
    <w:basedOn w:val="DefaultParagraphFont"/>
    <w:link w:val="BodyText"/>
    <w:uiPriority w:val="99"/>
    <w:semiHidden/>
    <w:rsid w:val="00045126"/>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7E61D1"/>
    <w:rPr>
      <w:sz w:val="16"/>
      <w:szCs w:val="16"/>
    </w:rPr>
  </w:style>
  <w:style w:type="paragraph" w:styleId="CommentText">
    <w:name w:val="annotation text"/>
    <w:basedOn w:val="Normal"/>
    <w:link w:val="CommentTextChar"/>
    <w:uiPriority w:val="99"/>
    <w:semiHidden/>
    <w:unhideWhenUsed/>
    <w:rsid w:val="007E61D1"/>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E61D1"/>
    <w:rPr>
      <w:sz w:val="20"/>
      <w:szCs w:val="20"/>
    </w:rPr>
  </w:style>
  <w:style w:type="paragraph" w:styleId="BalloonText">
    <w:name w:val="Balloon Text"/>
    <w:basedOn w:val="Normal"/>
    <w:link w:val="BalloonTextChar"/>
    <w:uiPriority w:val="99"/>
    <w:semiHidden/>
    <w:unhideWhenUsed/>
    <w:rsid w:val="007E6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D1"/>
    <w:rPr>
      <w:rFonts w:ascii="Segoe UI" w:eastAsia="Times New Roman" w:hAnsi="Segoe UI" w:cs="Segoe UI"/>
      <w:sz w:val="18"/>
      <w:szCs w:val="18"/>
      <w:lang w:eastAsia="fr-FR"/>
    </w:rPr>
  </w:style>
  <w:style w:type="character" w:styleId="Hyperlink">
    <w:name w:val="Hyperlink"/>
    <w:basedOn w:val="DefaultParagraphFont"/>
    <w:uiPriority w:val="99"/>
    <w:unhideWhenUsed/>
    <w:rsid w:val="0084714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36A47"/>
    <w:pPr>
      <w:spacing w:after="0"/>
    </w:pPr>
    <w:rPr>
      <w:rFonts w:ascii="Times New Roman" w:eastAsia="Times New Roman" w:hAnsi="Times New Roman" w:cs="Times New Roman"/>
      <w:b/>
      <w:bCs/>
      <w:lang w:eastAsia="fr-FR"/>
    </w:rPr>
  </w:style>
  <w:style w:type="character" w:customStyle="1" w:styleId="CommentSubjectChar">
    <w:name w:val="Comment Subject Char"/>
    <w:basedOn w:val="CommentTextChar"/>
    <w:link w:val="CommentSubject"/>
    <w:uiPriority w:val="99"/>
    <w:semiHidden/>
    <w:rsid w:val="00236A47"/>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legifrance.gouv.fr/jopdf/common/jo_pdf.jsp?numJO=0&amp;dateJO=20151021&amp;numTexte=6&amp;pageDebut=19518&amp;pageFin=19519" TargetMode="External"/><Relationship Id="rId3" Type="http://schemas.microsoft.com/office/2007/relationships/stylesWithEffects" Target="stylesWithEffects.xml"/><Relationship Id="rId7" Type="http://schemas.openxmlformats.org/officeDocument/2006/relationships/hyperlink" Target="https://www.legifrance.gouv.fr/affichTexteArticle.do?cidTexte=JORFTEXT000022204510&amp;idArticle=JORFARTI000022204556&amp;categorieLien=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france.gouv.f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TexteArticle.do?cidTexte=JORFTEXT000022204510&amp;idArticle=JORFARTI000022204556&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23</Pages>
  <Words>8062</Words>
  <Characters>45959</Characters>
  <Application>Microsoft Office Word</Application>
  <DocSecurity>0</DocSecurity>
  <Lines>382</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LAPERDRIX Erwann</dc:creator>
  <cp:keywords/>
  <dc:description/>
  <cp:lastModifiedBy>Diana STOICA</cp:lastModifiedBy>
  <cp:revision>2</cp:revision>
  <cp:lastPrinted>2019-12-10T18:02:00Z</cp:lastPrinted>
  <dcterms:created xsi:type="dcterms:W3CDTF">2019-12-11T10:40:00Z</dcterms:created>
  <dcterms:modified xsi:type="dcterms:W3CDTF">2019-12-11T12:30:00Z</dcterms:modified>
</cp:coreProperties>
</file>