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0A0" w:firstRow="1" w:lastRow="0" w:firstColumn="1" w:lastColumn="0" w:noHBand="0" w:noVBand="0"/>
      </w:tblPr>
      <w:tblGrid>
        <w:gridCol w:w="1584"/>
        <w:gridCol w:w="747"/>
        <w:gridCol w:w="42"/>
        <w:gridCol w:w="421"/>
        <w:gridCol w:w="100"/>
        <w:gridCol w:w="572"/>
        <w:gridCol w:w="207"/>
        <w:gridCol w:w="360"/>
        <w:gridCol w:w="147"/>
        <w:gridCol w:w="649"/>
        <w:gridCol w:w="59"/>
        <w:gridCol w:w="198"/>
        <w:gridCol w:w="151"/>
        <w:gridCol w:w="360"/>
        <w:gridCol w:w="29"/>
        <w:gridCol w:w="538"/>
        <w:gridCol w:w="259"/>
        <w:gridCol w:w="255"/>
        <w:gridCol w:w="53"/>
        <w:gridCol w:w="26"/>
        <w:gridCol w:w="463"/>
        <w:gridCol w:w="73"/>
        <w:gridCol w:w="67"/>
        <w:gridCol w:w="642"/>
        <w:gridCol w:w="15"/>
        <w:gridCol w:w="694"/>
        <w:gridCol w:w="103"/>
        <w:gridCol w:w="544"/>
        <w:gridCol w:w="884"/>
      </w:tblGrid>
      <w:tr w:rsidR="00390AE3" w:rsidRPr="001578DD" w:rsidTr="001578DD">
        <w:trPr>
          <w:trHeight w:val="1611"/>
          <w:jc w:val="center"/>
        </w:trPr>
        <w:tc>
          <w:tcPr>
            <w:tcW w:w="6757" w:type="dxa"/>
            <w:gridSpan w:val="20"/>
          </w:tcPr>
          <w:p w:rsidR="00390AE3" w:rsidRPr="001578DD" w:rsidRDefault="00390AE3" w:rsidP="001578DD">
            <w:pPr>
              <w:spacing w:before="120" w:after="0" w:line="240" w:lineRule="auto"/>
              <w:ind w:hanging="45"/>
              <w:rPr>
                <w:rFonts w:ascii="Times New Roman" w:hAnsi="Times New Roman" w:cs="Times New Roman"/>
                <w:color w:val="000000"/>
              </w:rPr>
            </w:pPr>
            <w:bookmarkStart w:id="0" w:name="t1"/>
            <w:r w:rsidRPr="001578DD">
              <w:rPr>
                <w:rFonts w:ascii="Times New Roman" w:hAnsi="Times New Roman" w:cs="Times New Roman"/>
                <w:b/>
                <w:color w:val="000000"/>
              </w:rPr>
              <w:t>Nazwa projektu</w:t>
            </w:r>
          </w:p>
          <w:p w:rsidR="00390AE3" w:rsidRPr="00A5252F" w:rsidRDefault="00390AE3" w:rsidP="001578DD">
            <w:pPr>
              <w:spacing w:after="0" w:line="240" w:lineRule="auto"/>
              <w:ind w:hanging="34"/>
              <w:rPr>
                <w:rFonts w:ascii="Times New Roman" w:hAnsi="Times New Roman" w:cs="Times New Roman"/>
                <w:color w:val="000000"/>
              </w:rPr>
            </w:pPr>
            <w:r w:rsidRPr="00A5252F">
              <w:rPr>
                <w:rFonts w:ascii="Times New Roman" w:hAnsi="Times New Roman" w:cs="Times New Roman"/>
                <w:color w:val="000000"/>
              </w:rPr>
              <w:t>Ustawa o zmianie ustawy o systemie monitorowania i kontrolowania jakości paliw</w:t>
            </w:r>
            <w:r w:rsidR="007B5871" w:rsidRPr="00A5252F">
              <w:rPr>
                <w:rFonts w:ascii="Times New Roman" w:hAnsi="Times New Roman" w:cs="Times New Roman"/>
                <w:color w:val="000000"/>
              </w:rPr>
              <w:t xml:space="preserve"> oraz ustawy o Krajowej Administracji Skarbowej</w:t>
            </w:r>
          </w:p>
          <w:p w:rsidR="00390AE3" w:rsidRPr="001578DD" w:rsidRDefault="00390AE3" w:rsidP="001578DD">
            <w:pPr>
              <w:spacing w:before="120" w:after="0" w:line="240" w:lineRule="auto"/>
              <w:ind w:hanging="45"/>
              <w:rPr>
                <w:rFonts w:ascii="Times New Roman" w:hAnsi="Times New Roman" w:cs="Times New Roman"/>
                <w:b/>
                <w:color w:val="000000"/>
              </w:rPr>
            </w:pPr>
            <w:r w:rsidRPr="001578DD">
              <w:rPr>
                <w:rFonts w:ascii="Times New Roman" w:hAnsi="Times New Roman" w:cs="Times New Roman"/>
                <w:b/>
                <w:color w:val="000000"/>
              </w:rPr>
              <w:t>Ministerstwo wiodące i ministerstwa współpracujące</w:t>
            </w:r>
          </w:p>
          <w:bookmarkEnd w:id="0"/>
          <w:p w:rsidR="00390AE3" w:rsidRPr="001578DD" w:rsidRDefault="00390AE3" w:rsidP="001578DD">
            <w:pPr>
              <w:spacing w:after="0" w:line="240" w:lineRule="auto"/>
              <w:ind w:hanging="34"/>
              <w:rPr>
                <w:rFonts w:ascii="Times New Roman" w:hAnsi="Times New Roman" w:cs="Times New Roman"/>
                <w:color w:val="000000"/>
              </w:rPr>
            </w:pPr>
            <w:r w:rsidRPr="001578DD">
              <w:rPr>
                <w:rFonts w:ascii="Times New Roman" w:hAnsi="Times New Roman" w:cs="Times New Roman"/>
                <w:color w:val="000000"/>
              </w:rPr>
              <w:t>Ministerstwo Energii</w:t>
            </w:r>
          </w:p>
          <w:p w:rsidR="00390AE3" w:rsidRPr="001578DD" w:rsidRDefault="00390AE3" w:rsidP="001578DD">
            <w:pPr>
              <w:spacing w:before="120" w:after="0" w:line="240" w:lineRule="auto"/>
              <w:ind w:hanging="45"/>
              <w:rPr>
                <w:rFonts w:ascii="Times New Roman" w:hAnsi="Times New Roman" w:cs="Times New Roman"/>
                <w:color w:val="000000"/>
              </w:rPr>
            </w:pPr>
            <w:r w:rsidRPr="001578DD">
              <w:rPr>
                <w:rFonts w:ascii="Times New Roman" w:hAnsi="Times New Roman" w:cs="Times New Roman"/>
                <w:b/>
              </w:rPr>
              <w:t xml:space="preserve">Osoba odpowiedzialna za projekt w randze Ministra, Sekretarza Stanu lub </w:t>
            </w:r>
            <w:r w:rsidRPr="001578DD">
              <w:rPr>
                <w:rFonts w:ascii="Times New Roman" w:hAnsi="Times New Roman" w:cs="Times New Roman"/>
                <w:b/>
                <w:color w:val="000000"/>
              </w:rPr>
              <w:t>Podsekretarza</w:t>
            </w:r>
            <w:r w:rsidRPr="001578DD">
              <w:rPr>
                <w:rFonts w:ascii="Times New Roman" w:hAnsi="Times New Roman" w:cs="Times New Roman"/>
                <w:b/>
              </w:rPr>
              <w:t xml:space="preserve"> Stanu </w:t>
            </w:r>
          </w:p>
          <w:p w:rsidR="00390AE3" w:rsidRPr="001578DD" w:rsidRDefault="00390AE3" w:rsidP="001578DD">
            <w:pPr>
              <w:spacing w:after="0" w:line="240" w:lineRule="auto"/>
              <w:rPr>
                <w:rFonts w:ascii="Times New Roman" w:hAnsi="Times New Roman" w:cs="Times New Roman"/>
              </w:rPr>
            </w:pPr>
            <w:r w:rsidRPr="001578DD">
              <w:rPr>
                <w:rFonts w:ascii="Times New Roman" w:hAnsi="Times New Roman" w:cs="Times New Roman"/>
              </w:rPr>
              <w:t>Grzegorz Tobiszowski – Sekretarz Stanu</w:t>
            </w:r>
          </w:p>
          <w:p w:rsidR="00390AE3" w:rsidRPr="001578DD" w:rsidRDefault="00390AE3" w:rsidP="001578DD">
            <w:pPr>
              <w:spacing w:before="120" w:after="0" w:line="240" w:lineRule="auto"/>
              <w:ind w:hanging="45"/>
              <w:rPr>
                <w:rFonts w:ascii="Times New Roman" w:hAnsi="Times New Roman" w:cs="Times New Roman"/>
                <w:b/>
                <w:color w:val="000000"/>
              </w:rPr>
            </w:pPr>
            <w:r w:rsidRPr="001578DD">
              <w:rPr>
                <w:rFonts w:ascii="Times New Roman" w:hAnsi="Times New Roman" w:cs="Times New Roman"/>
                <w:b/>
                <w:color w:val="000000"/>
              </w:rPr>
              <w:t>Kontakt do opiekuna merytorycznego projektu</w:t>
            </w:r>
          </w:p>
          <w:p w:rsidR="00390AE3" w:rsidRPr="001578DD" w:rsidRDefault="00390AE3" w:rsidP="001C4500">
            <w:pPr>
              <w:spacing w:after="0" w:line="240" w:lineRule="auto"/>
              <w:ind w:hanging="34"/>
              <w:rPr>
                <w:rFonts w:ascii="Times New Roman" w:hAnsi="Times New Roman" w:cs="Times New Roman"/>
                <w:color w:val="000000"/>
              </w:rPr>
            </w:pPr>
            <w:r w:rsidRPr="001578DD">
              <w:rPr>
                <w:rFonts w:ascii="Times New Roman" w:hAnsi="Times New Roman" w:cs="Times New Roman"/>
                <w:color w:val="000000"/>
              </w:rPr>
              <w:t>Jonasz Drabek; tel. (22) 69</w:t>
            </w:r>
            <w:r w:rsidR="007B6E8F" w:rsidRPr="001578DD">
              <w:rPr>
                <w:rFonts w:ascii="Times New Roman" w:hAnsi="Times New Roman" w:cs="Times New Roman"/>
                <w:color w:val="000000"/>
              </w:rPr>
              <w:t>5 8303</w:t>
            </w:r>
          </w:p>
        </w:tc>
        <w:tc>
          <w:tcPr>
            <w:tcW w:w="3485" w:type="dxa"/>
            <w:gridSpan w:val="9"/>
            <w:shd w:val="clear" w:color="auto" w:fill="FFFFFF"/>
          </w:tcPr>
          <w:p w:rsidR="001578DD" w:rsidRDefault="00390AE3" w:rsidP="001578DD">
            <w:pPr>
              <w:spacing w:before="60" w:after="60" w:line="240" w:lineRule="auto"/>
              <w:rPr>
                <w:rFonts w:ascii="Times New Roman" w:hAnsi="Times New Roman" w:cs="Times New Roman"/>
                <w:b/>
              </w:rPr>
            </w:pPr>
            <w:r w:rsidRPr="001578DD">
              <w:rPr>
                <w:rFonts w:ascii="Times New Roman" w:hAnsi="Times New Roman" w:cs="Times New Roman"/>
                <w:b/>
              </w:rPr>
              <w:t>Data sporządzenia</w:t>
            </w:r>
          </w:p>
          <w:p w:rsidR="00390AE3" w:rsidRPr="001578DD" w:rsidRDefault="007B5871" w:rsidP="001578DD">
            <w:pPr>
              <w:spacing w:before="60" w:after="60" w:line="240" w:lineRule="auto"/>
              <w:rPr>
                <w:rFonts w:ascii="Times New Roman" w:hAnsi="Times New Roman" w:cs="Times New Roman"/>
                <w:b/>
              </w:rPr>
            </w:pPr>
            <w:r w:rsidRPr="001578DD">
              <w:rPr>
                <w:rFonts w:ascii="Times New Roman" w:hAnsi="Times New Roman" w:cs="Times New Roman"/>
              </w:rPr>
              <w:t>27</w:t>
            </w:r>
            <w:r w:rsidR="00E153C9" w:rsidRPr="001578DD">
              <w:rPr>
                <w:rFonts w:ascii="Times New Roman" w:hAnsi="Times New Roman" w:cs="Times New Roman"/>
              </w:rPr>
              <w:t xml:space="preserve"> </w:t>
            </w:r>
            <w:r w:rsidR="004E5D0A" w:rsidRPr="001578DD">
              <w:rPr>
                <w:rFonts w:ascii="Times New Roman" w:hAnsi="Times New Roman" w:cs="Times New Roman"/>
              </w:rPr>
              <w:t>lutego</w:t>
            </w:r>
            <w:r w:rsidR="00390AE3" w:rsidRPr="001578DD">
              <w:rPr>
                <w:rFonts w:ascii="Times New Roman" w:hAnsi="Times New Roman" w:cs="Times New Roman"/>
              </w:rPr>
              <w:t xml:space="preserve"> 201</w:t>
            </w:r>
            <w:r w:rsidR="00E153C9" w:rsidRPr="001578DD">
              <w:rPr>
                <w:rFonts w:ascii="Times New Roman" w:hAnsi="Times New Roman" w:cs="Times New Roman"/>
              </w:rPr>
              <w:t>8</w:t>
            </w:r>
            <w:r w:rsidR="00390AE3" w:rsidRPr="001578DD">
              <w:rPr>
                <w:rFonts w:ascii="Times New Roman" w:hAnsi="Times New Roman" w:cs="Times New Roman"/>
              </w:rPr>
              <w:t xml:space="preserve"> r.</w:t>
            </w:r>
          </w:p>
          <w:p w:rsidR="00390AE3" w:rsidRPr="001578DD" w:rsidRDefault="00390AE3" w:rsidP="001578DD">
            <w:pPr>
              <w:spacing w:before="60" w:after="60" w:line="240" w:lineRule="auto"/>
              <w:rPr>
                <w:rFonts w:ascii="Times New Roman" w:hAnsi="Times New Roman" w:cs="Times New Roman"/>
                <w:b/>
                <w:color w:val="000000"/>
              </w:rPr>
            </w:pPr>
          </w:p>
          <w:p w:rsidR="00390AE3" w:rsidRPr="001578DD" w:rsidRDefault="00390AE3" w:rsidP="001578DD">
            <w:pPr>
              <w:spacing w:before="60" w:after="60" w:line="240" w:lineRule="auto"/>
              <w:rPr>
                <w:rFonts w:ascii="Times New Roman" w:hAnsi="Times New Roman" w:cs="Times New Roman"/>
                <w:b/>
                <w:color w:val="000000"/>
              </w:rPr>
            </w:pPr>
            <w:r w:rsidRPr="001578DD">
              <w:rPr>
                <w:rFonts w:ascii="Times New Roman" w:hAnsi="Times New Roman" w:cs="Times New Roman"/>
                <w:b/>
                <w:color w:val="000000"/>
              </w:rPr>
              <w:t xml:space="preserve">Źródło: </w:t>
            </w:r>
            <w:bookmarkStart w:id="1" w:name="Lista1"/>
          </w:p>
          <w:bookmarkEnd w:id="1"/>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Nie dotyczy</w:t>
            </w:r>
          </w:p>
          <w:p w:rsidR="00390AE3" w:rsidRPr="001578DD" w:rsidRDefault="00390AE3" w:rsidP="001578DD">
            <w:pPr>
              <w:spacing w:before="60" w:after="60" w:line="240" w:lineRule="auto"/>
              <w:rPr>
                <w:rFonts w:ascii="Times New Roman" w:hAnsi="Times New Roman" w:cs="Times New Roman"/>
                <w:b/>
                <w:color w:val="000000"/>
              </w:rPr>
            </w:pPr>
          </w:p>
          <w:p w:rsidR="00390AE3" w:rsidRPr="001578DD" w:rsidRDefault="00390AE3" w:rsidP="001578DD">
            <w:pPr>
              <w:spacing w:before="60" w:after="60" w:line="240" w:lineRule="auto"/>
              <w:rPr>
                <w:rFonts w:ascii="Times New Roman" w:hAnsi="Times New Roman" w:cs="Times New Roman"/>
                <w:b/>
                <w:color w:val="000000"/>
              </w:rPr>
            </w:pPr>
            <w:r w:rsidRPr="001578DD">
              <w:rPr>
                <w:rFonts w:ascii="Times New Roman" w:hAnsi="Times New Roman" w:cs="Times New Roman"/>
                <w:b/>
                <w:color w:val="000000"/>
              </w:rPr>
              <w:t xml:space="preserve">Nr w wykazie prac </w:t>
            </w:r>
          </w:p>
          <w:p w:rsidR="00017220" w:rsidRPr="001578DD" w:rsidRDefault="00017220" w:rsidP="001578DD">
            <w:pPr>
              <w:spacing w:before="60" w:after="60" w:line="240" w:lineRule="auto"/>
              <w:rPr>
                <w:rFonts w:ascii="Times New Roman" w:hAnsi="Times New Roman" w:cs="Times New Roman"/>
                <w:b/>
                <w:color w:val="000000"/>
              </w:rPr>
            </w:pPr>
            <w:r w:rsidRPr="001578DD">
              <w:rPr>
                <w:rFonts w:ascii="Times New Roman" w:hAnsi="Times New Roman" w:cs="Times New Roman"/>
                <w:b/>
                <w:color w:val="000000"/>
              </w:rPr>
              <w:t>UD 193</w:t>
            </w:r>
          </w:p>
          <w:p w:rsidR="00390AE3" w:rsidRPr="001578DD" w:rsidRDefault="00390AE3" w:rsidP="001578DD">
            <w:pPr>
              <w:spacing w:before="60" w:after="60" w:line="240" w:lineRule="auto"/>
              <w:rPr>
                <w:rFonts w:ascii="Times New Roman" w:hAnsi="Times New Roman" w:cs="Times New Roman"/>
                <w:color w:val="000000"/>
              </w:rPr>
            </w:pPr>
          </w:p>
        </w:tc>
      </w:tr>
      <w:tr w:rsidR="00390AE3" w:rsidRPr="001578DD" w:rsidTr="001578DD">
        <w:trPr>
          <w:trHeight w:val="142"/>
          <w:jc w:val="center"/>
        </w:trPr>
        <w:tc>
          <w:tcPr>
            <w:tcW w:w="10242" w:type="dxa"/>
            <w:gridSpan w:val="29"/>
            <w:shd w:val="clear" w:color="auto" w:fill="99CCFF"/>
          </w:tcPr>
          <w:p w:rsidR="00390AE3" w:rsidRPr="001578DD" w:rsidRDefault="00390AE3" w:rsidP="001578DD">
            <w:pPr>
              <w:spacing w:before="60" w:after="60" w:line="240" w:lineRule="auto"/>
              <w:ind w:left="57"/>
              <w:jc w:val="center"/>
              <w:rPr>
                <w:rFonts w:ascii="Times New Roman" w:hAnsi="Times New Roman" w:cs="Times New Roman"/>
                <w:b/>
                <w:color w:val="FFFFFF"/>
                <w:sz w:val="32"/>
                <w:szCs w:val="32"/>
              </w:rPr>
            </w:pPr>
            <w:r w:rsidRPr="001578DD">
              <w:rPr>
                <w:rFonts w:ascii="Times New Roman" w:hAnsi="Times New Roman" w:cs="Times New Roman"/>
                <w:b/>
                <w:color w:val="FFFFFF"/>
                <w:sz w:val="32"/>
                <w:szCs w:val="32"/>
              </w:rPr>
              <w:t>OCENA SKUTKÓW REGULACJI</w:t>
            </w:r>
          </w:p>
        </w:tc>
      </w:tr>
      <w:tr w:rsidR="00390AE3" w:rsidRPr="001578DD" w:rsidTr="001578DD">
        <w:trPr>
          <w:trHeight w:val="333"/>
          <w:jc w:val="center"/>
        </w:trPr>
        <w:tc>
          <w:tcPr>
            <w:tcW w:w="10242" w:type="dxa"/>
            <w:gridSpan w:val="29"/>
            <w:shd w:val="clear" w:color="auto" w:fill="99CCFF"/>
            <w:vAlign w:val="center"/>
          </w:tcPr>
          <w:p w:rsidR="00390AE3" w:rsidRPr="001578DD" w:rsidRDefault="00390AE3" w:rsidP="001578DD">
            <w:pPr>
              <w:numPr>
                <w:ilvl w:val="0"/>
                <w:numId w:val="1"/>
              </w:numPr>
              <w:spacing w:before="60" w:after="60" w:line="240" w:lineRule="auto"/>
              <w:ind w:left="318" w:hanging="284"/>
              <w:jc w:val="both"/>
              <w:rPr>
                <w:rFonts w:ascii="Times New Roman" w:hAnsi="Times New Roman" w:cs="Times New Roman"/>
                <w:b/>
                <w:color w:val="000000"/>
              </w:rPr>
            </w:pPr>
            <w:r w:rsidRPr="001578DD">
              <w:rPr>
                <w:rFonts w:ascii="Times New Roman" w:hAnsi="Times New Roman" w:cs="Times New Roman"/>
                <w:b/>
              </w:rPr>
              <w:t>Jaki problem jest rozwiązywany?</w:t>
            </w:r>
            <w:bookmarkStart w:id="2" w:name="Wybór1"/>
            <w:bookmarkEnd w:id="2"/>
          </w:p>
        </w:tc>
      </w:tr>
      <w:tr w:rsidR="00390AE3" w:rsidRPr="001578DD" w:rsidTr="001578DD">
        <w:trPr>
          <w:trHeight w:val="142"/>
          <w:jc w:val="center"/>
        </w:trPr>
        <w:tc>
          <w:tcPr>
            <w:tcW w:w="10242" w:type="dxa"/>
            <w:gridSpan w:val="29"/>
            <w:shd w:val="clear" w:color="auto" w:fill="FFFFFF"/>
          </w:tcPr>
          <w:p w:rsidR="00390AE3" w:rsidRPr="001578DD" w:rsidRDefault="00DC3731" w:rsidP="00F33ECE">
            <w:pPr>
              <w:numPr>
                <w:ilvl w:val="0"/>
                <w:numId w:val="2"/>
              </w:numPr>
              <w:spacing w:before="60" w:after="0" w:line="240" w:lineRule="auto"/>
              <w:ind w:left="346" w:hanging="284"/>
              <w:jc w:val="both"/>
              <w:rPr>
                <w:rFonts w:ascii="Times New Roman" w:eastAsia="Times New Roman" w:hAnsi="Times New Roman" w:cs="Times New Roman"/>
                <w:color w:val="000000"/>
                <w:lang w:eastAsia="pl-PL"/>
              </w:rPr>
            </w:pPr>
            <w:r w:rsidRPr="001578DD">
              <w:rPr>
                <w:rFonts w:ascii="Times New Roman" w:eastAsia="Times New Roman" w:hAnsi="Times New Roman" w:cs="Times New Roman"/>
                <w:color w:val="000000"/>
                <w:lang w:eastAsia="pl-PL"/>
              </w:rPr>
              <w:t>W</w:t>
            </w:r>
            <w:r w:rsidR="00390AE3" w:rsidRPr="001578DD">
              <w:rPr>
                <w:rFonts w:ascii="Times New Roman" w:eastAsia="Times New Roman" w:hAnsi="Times New Roman" w:cs="Times New Roman"/>
                <w:color w:val="000000"/>
                <w:lang w:eastAsia="pl-PL"/>
              </w:rPr>
              <w:t>iększość konsumentów</w:t>
            </w:r>
            <w:r w:rsidR="001C4500">
              <w:rPr>
                <w:rFonts w:ascii="Times New Roman" w:eastAsia="Times New Roman" w:hAnsi="Times New Roman" w:cs="Times New Roman"/>
                <w:color w:val="000000"/>
                <w:lang w:eastAsia="pl-PL"/>
              </w:rPr>
              <w:t>,</w:t>
            </w:r>
            <w:r w:rsidR="00390AE3" w:rsidRPr="001578DD">
              <w:rPr>
                <w:rFonts w:ascii="Times New Roman" w:eastAsia="Times New Roman" w:hAnsi="Times New Roman" w:cs="Times New Roman"/>
                <w:color w:val="000000"/>
                <w:lang w:eastAsia="pl-PL"/>
              </w:rPr>
              <w:t xml:space="preserve"> decydując się na zakup paliw stałych, przede wszystkim kieruje się ceną, nie zwracając uwagi na jego jakość. Wynika to z tego, iż klienci są pozbawieni możliwości wyboru zakupu paliwa stałego w oparciu o wskaźnik jego jakości, z uwagi na brak przepisów określających wymagania jakościowe paliw stałych, co skutkuje m.in. rozregulowaniem tego rynku. Bez względu na</w:t>
            </w:r>
            <w:r w:rsidR="00A5252F">
              <w:rPr>
                <w:rFonts w:ascii="Times New Roman" w:eastAsia="Times New Roman" w:hAnsi="Times New Roman" w:cs="Times New Roman"/>
                <w:color w:val="000000"/>
                <w:lang w:eastAsia="pl-PL"/>
              </w:rPr>
              <w:t xml:space="preserve"> to czy paliwo stałe pochodzi z </w:t>
            </w:r>
            <w:r w:rsidR="00390AE3" w:rsidRPr="001578DD">
              <w:rPr>
                <w:rFonts w:ascii="Times New Roman" w:eastAsia="Times New Roman" w:hAnsi="Times New Roman" w:cs="Times New Roman"/>
                <w:color w:val="000000"/>
                <w:lang w:eastAsia="pl-PL"/>
              </w:rPr>
              <w:t>rynku krajowego czy też jest importowane, powinno spełniać wymagania jakościowe regulowane odpowiednimi normami prawnymi. W związku z tym uzasadnione jest wprowadzenie wymagań jakościowych dla paliw stałych</w:t>
            </w:r>
            <w:r w:rsidR="00050A91" w:rsidRPr="001578DD">
              <w:rPr>
                <w:rFonts w:ascii="Times New Roman" w:eastAsia="Times New Roman" w:hAnsi="Times New Roman" w:cs="Times New Roman"/>
                <w:color w:val="000000"/>
                <w:lang w:eastAsia="pl-PL"/>
              </w:rPr>
              <w:t>. Nowelizacja umożliwi wprowadz</w:t>
            </w:r>
            <w:r w:rsidR="00390AE3" w:rsidRPr="001578DD">
              <w:rPr>
                <w:rFonts w:ascii="Times New Roman" w:eastAsia="Times New Roman" w:hAnsi="Times New Roman" w:cs="Times New Roman"/>
                <w:color w:val="000000"/>
                <w:lang w:eastAsia="pl-PL"/>
              </w:rPr>
              <w:t>enie wymagań jakościow</w:t>
            </w:r>
            <w:r w:rsidR="00081E11" w:rsidRPr="001578DD">
              <w:rPr>
                <w:rFonts w:ascii="Times New Roman" w:eastAsia="Times New Roman" w:hAnsi="Times New Roman" w:cs="Times New Roman"/>
                <w:color w:val="000000"/>
                <w:lang w:eastAsia="pl-PL"/>
              </w:rPr>
              <w:t>ych</w:t>
            </w:r>
            <w:r w:rsidR="00390AE3" w:rsidRPr="001578DD">
              <w:rPr>
                <w:rFonts w:ascii="Times New Roman" w:eastAsia="Times New Roman" w:hAnsi="Times New Roman" w:cs="Times New Roman"/>
                <w:color w:val="000000"/>
                <w:lang w:eastAsia="pl-PL"/>
              </w:rPr>
              <w:t xml:space="preserve"> dla paliw stałych oraz kontrolowanie ich jakości. </w:t>
            </w:r>
          </w:p>
          <w:p w:rsidR="00390AE3" w:rsidRPr="001578DD" w:rsidRDefault="00390AE3" w:rsidP="00F33ECE">
            <w:pPr>
              <w:numPr>
                <w:ilvl w:val="0"/>
                <w:numId w:val="2"/>
              </w:numPr>
              <w:spacing w:before="60" w:after="0" w:line="240" w:lineRule="auto"/>
              <w:ind w:left="346" w:hanging="284"/>
              <w:jc w:val="both"/>
              <w:rPr>
                <w:rFonts w:ascii="Times New Roman" w:eastAsia="Times New Roman" w:hAnsi="Times New Roman" w:cs="Times New Roman"/>
                <w:color w:val="000000"/>
                <w:lang w:eastAsia="pl-PL"/>
              </w:rPr>
            </w:pPr>
            <w:r w:rsidRPr="001578DD">
              <w:rPr>
                <w:rFonts w:ascii="Times New Roman" w:eastAsia="Times New Roman" w:hAnsi="Times New Roman" w:cs="Times New Roman"/>
                <w:color w:val="000000"/>
                <w:lang w:eastAsia="pl-PL"/>
              </w:rPr>
              <w:t>Źródłem wiedzy o problemie jest analiza obowiązujących norm z zakresu paliw stałych, stan wiedzy technicznej oraz dotychczasowe doświadczenia. Przeprowadzone zostały konsultacje z producentami węgla kamiennego oraz państwowymi instytutami badawczymi, mające na celu wprowadzenie grup produktów paliw stałych, które po spełnieniu wyznaczonych wymagań, będą mogły podlegać wprowadzaniu do obrotu rynkowego.</w:t>
            </w:r>
          </w:p>
          <w:p w:rsidR="00390AE3" w:rsidRPr="001578DD" w:rsidRDefault="00390AE3" w:rsidP="00F33ECE">
            <w:pPr>
              <w:numPr>
                <w:ilvl w:val="0"/>
                <w:numId w:val="2"/>
              </w:numPr>
              <w:spacing w:before="60" w:after="0" w:line="240" w:lineRule="auto"/>
              <w:ind w:left="346" w:hanging="284"/>
              <w:jc w:val="both"/>
              <w:rPr>
                <w:rFonts w:ascii="Times New Roman" w:eastAsia="Times New Roman" w:hAnsi="Times New Roman" w:cs="Times New Roman"/>
                <w:color w:val="000000"/>
                <w:lang w:eastAsia="pl-PL"/>
              </w:rPr>
            </w:pPr>
            <w:r w:rsidRPr="001578DD">
              <w:rPr>
                <w:rFonts w:ascii="Times New Roman" w:eastAsia="Times New Roman" w:hAnsi="Times New Roman" w:cs="Times New Roman"/>
                <w:color w:val="000000"/>
                <w:lang w:eastAsia="pl-PL"/>
              </w:rPr>
              <w:t>Zakres podmiotowy regulacji obejmuje przedsiębiorców sektora paliw stałych, instytucje państwowe oraz konsumentów paliw stałych. Zakres przedmiotowy projektu obejmuje rynek paliw stałych</w:t>
            </w:r>
            <w:r w:rsidR="00B51F94" w:rsidRPr="001578DD">
              <w:rPr>
                <w:rFonts w:ascii="Times New Roman" w:eastAsia="Times New Roman" w:hAnsi="Times New Roman" w:cs="Times New Roman"/>
                <w:color w:val="000000"/>
                <w:lang w:eastAsia="pl-PL"/>
              </w:rPr>
              <w:t xml:space="preserve"> w sektorze komunalno-bytowym</w:t>
            </w:r>
            <w:r w:rsidRPr="001578DD">
              <w:rPr>
                <w:rFonts w:ascii="Times New Roman" w:eastAsia="Times New Roman" w:hAnsi="Times New Roman" w:cs="Times New Roman"/>
                <w:color w:val="000000"/>
                <w:lang w:eastAsia="pl-PL"/>
              </w:rPr>
              <w:t>, a oddziaływanie regulacji będzie zróżnicowane w zależności od podmiotu. Zidentyfikowany problem jest jednoaspektowy.</w:t>
            </w:r>
          </w:p>
        </w:tc>
      </w:tr>
      <w:tr w:rsidR="00390AE3" w:rsidRPr="001578DD" w:rsidTr="001578DD">
        <w:trPr>
          <w:trHeight w:val="142"/>
          <w:jc w:val="center"/>
        </w:trPr>
        <w:tc>
          <w:tcPr>
            <w:tcW w:w="10242" w:type="dxa"/>
            <w:gridSpan w:val="29"/>
            <w:shd w:val="clear" w:color="auto" w:fill="99CCFF"/>
            <w:vAlign w:val="center"/>
          </w:tcPr>
          <w:p w:rsidR="00390AE3" w:rsidRPr="001578DD" w:rsidRDefault="00390AE3" w:rsidP="001578DD">
            <w:pPr>
              <w:numPr>
                <w:ilvl w:val="0"/>
                <w:numId w:val="1"/>
              </w:numPr>
              <w:spacing w:before="60" w:after="60" w:line="240" w:lineRule="auto"/>
              <w:ind w:left="318" w:hanging="284"/>
              <w:jc w:val="both"/>
              <w:rPr>
                <w:rFonts w:ascii="Times New Roman" w:hAnsi="Times New Roman" w:cs="Times New Roman"/>
                <w:b/>
                <w:color w:val="000000"/>
              </w:rPr>
            </w:pPr>
            <w:r w:rsidRPr="001578DD">
              <w:rPr>
                <w:rFonts w:ascii="Times New Roman" w:hAnsi="Times New Roman" w:cs="Times New Roman"/>
                <w:b/>
                <w:color w:val="000000"/>
              </w:rPr>
              <w:t>Rekomendowane rozwiązanie, w tym planowane narzędzia interwencji, i oczekiwany efekt</w:t>
            </w:r>
          </w:p>
        </w:tc>
      </w:tr>
      <w:tr w:rsidR="00390AE3" w:rsidRPr="001578DD" w:rsidTr="001578DD">
        <w:trPr>
          <w:trHeight w:val="142"/>
          <w:jc w:val="center"/>
        </w:trPr>
        <w:tc>
          <w:tcPr>
            <w:tcW w:w="10242" w:type="dxa"/>
            <w:gridSpan w:val="29"/>
            <w:shd w:val="clear" w:color="auto" w:fill="auto"/>
          </w:tcPr>
          <w:p w:rsidR="00390AE3" w:rsidRPr="001578DD" w:rsidRDefault="00390AE3" w:rsidP="001578DD">
            <w:pPr>
              <w:numPr>
                <w:ilvl w:val="0"/>
                <w:numId w:val="2"/>
              </w:numPr>
              <w:spacing w:before="60" w:after="60" w:line="240" w:lineRule="auto"/>
              <w:ind w:left="347" w:hanging="284"/>
              <w:jc w:val="both"/>
              <w:rPr>
                <w:rFonts w:ascii="Times New Roman" w:eastAsia="Times New Roman" w:hAnsi="Times New Roman" w:cs="Times New Roman"/>
                <w:color w:val="000000"/>
                <w:lang w:eastAsia="pl-PL"/>
              </w:rPr>
            </w:pPr>
            <w:r w:rsidRPr="001578DD">
              <w:rPr>
                <w:rFonts w:ascii="Times New Roman" w:eastAsia="Times New Roman" w:hAnsi="Times New Roman" w:cs="Times New Roman"/>
                <w:color w:val="000000"/>
                <w:lang w:eastAsia="pl-PL"/>
              </w:rPr>
              <w:t>Zasadniczym efektem wejścia w życie nowelizacji będzie monitorowanie i kontrolowani</w:t>
            </w:r>
            <w:r w:rsidR="00F54E2B">
              <w:rPr>
                <w:rFonts w:ascii="Times New Roman" w:eastAsia="Times New Roman" w:hAnsi="Times New Roman" w:cs="Times New Roman"/>
                <w:color w:val="000000"/>
                <w:lang w:eastAsia="pl-PL"/>
              </w:rPr>
              <w:t>e jakości paliw stałych zgodnie</w:t>
            </w:r>
            <w:r w:rsidRPr="001578DD">
              <w:rPr>
                <w:rFonts w:ascii="Times New Roman" w:eastAsia="Times New Roman" w:hAnsi="Times New Roman" w:cs="Times New Roman"/>
                <w:color w:val="000000"/>
                <w:lang w:eastAsia="pl-PL"/>
              </w:rPr>
              <w:t xml:space="preserve"> ze stanem wie</w:t>
            </w:r>
            <w:r w:rsidR="00F54E2B">
              <w:rPr>
                <w:rFonts w:ascii="Times New Roman" w:eastAsia="Times New Roman" w:hAnsi="Times New Roman" w:cs="Times New Roman"/>
                <w:color w:val="000000"/>
                <w:lang w:eastAsia="pl-PL"/>
              </w:rPr>
              <w:t>dzy technicznej oraz doświadczeni</w:t>
            </w:r>
            <w:r w:rsidR="008C509D">
              <w:rPr>
                <w:rFonts w:ascii="Times New Roman" w:eastAsia="Times New Roman" w:hAnsi="Times New Roman" w:cs="Times New Roman"/>
                <w:color w:val="000000"/>
                <w:lang w:eastAsia="pl-PL"/>
              </w:rPr>
              <w:t>a</w:t>
            </w:r>
            <w:r w:rsidR="00F54E2B">
              <w:rPr>
                <w:rFonts w:ascii="Times New Roman" w:eastAsia="Times New Roman" w:hAnsi="Times New Roman" w:cs="Times New Roman"/>
                <w:color w:val="000000"/>
                <w:lang w:eastAsia="pl-PL"/>
              </w:rPr>
              <w:t>m</w:t>
            </w:r>
            <w:r w:rsidR="008C509D">
              <w:rPr>
                <w:rFonts w:ascii="Times New Roman" w:eastAsia="Times New Roman" w:hAnsi="Times New Roman" w:cs="Times New Roman"/>
                <w:color w:val="000000"/>
                <w:lang w:eastAsia="pl-PL"/>
              </w:rPr>
              <w:t>i</w:t>
            </w:r>
            <w:r w:rsidRPr="001578DD">
              <w:rPr>
                <w:rFonts w:ascii="Times New Roman" w:eastAsia="Times New Roman" w:hAnsi="Times New Roman" w:cs="Times New Roman"/>
                <w:color w:val="000000"/>
                <w:lang w:eastAsia="pl-PL"/>
              </w:rPr>
              <w:t xml:space="preserve"> w ich stosowaniu, ze szczególnym uwzględnieniem ograniczenia emisji zanieczyszczeń oraz gazów cieplarnianych.</w:t>
            </w:r>
          </w:p>
          <w:p w:rsidR="00390AE3" w:rsidRPr="001578DD" w:rsidRDefault="00390AE3" w:rsidP="00F33ECE">
            <w:pPr>
              <w:numPr>
                <w:ilvl w:val="0"/>
                <w:numId w:val="2"/>
              </w:numPr>
              <w:spacing w:before="60" w:after="60" w:line="240" w:lineRule="auto"/>
              <w:ind w:left="318" w:hanging="267"/>
              <w:jc w:val="both"/>
              <w:rPr>
                <w:rFonts w:ascii="Times New Roman" w:eastAsia="Times New Roman" w:hAnsi="Times New Roman" w:cs="Times New Roman"/>
                <w:color w:val="000000"/>
                <w:lang w:eastAsia="pl-PL"/>
              </w:rPr>
            </w:pPr>
            <w:r w:rsidRPr="001578DD">
              <w:rPr>
                <w:rFonts w:ascii="Times New Roman" w:eastAsia="Times New Roman" w:hAnsi="Times New Roman" w:cs="Times New Roman"/>
                <w:color w:val="000000"/>
                <w:lang w:eastAsia="pl-PL"/>
              </w:rPr>
              <w:t xml:space="preserve">Kolejnym efektem proponowanego rozwiązania będzie uporządkowanie rynku paliw stałych i umożliwienie konsumentom </w:t>
            </w:r>
            <w:r w:rsidR="0084124C" w:rsidRPr="001578DD">
              <w:rPr>
                <w:rFonts w:ascii="Times New Roman" w:eastAsia="Times New Roman" w:hAnsi="Times New Roman" w:cs="Times New Roman"/>
                <w:color w:val="000000"/>
                <w:lang w:eastAsia="pl-PL"/>
              </w:rPr>
              <w:t xml:space="preserve">zakupu paliw stałych </w:t>
            </w:r>
            <w:r w:rsidR="00D22DC0" w:rsidRPr="001578DD">
              <w:rPr>
                <w:rFonts w:ascii="Times New Roman" w:eastAsia="Times New Roman" w:hAnsi="Times New Roman" w:cs="Times New Roman"/>
                <w:color w:val="000000"/>
                <w:lang w:eastAsia="pl-PL"/>
              </w:rPr>
              <w:t>spełniających wymagania jakościowe dla paliw przeznaczonyc</w:t>
            </w:r>
            <w:r w:rsidR="0031179C" w:rsidRPr="001578DD">
              <w:rPr>
                <w:rFonts w:ascii="Times New Roman" w:eastAsia="Times New Roman" w:hAnsi="Times New Roman" w:cs="Times New Roman"/>
                <w:color w:val="000000"/>
                <w:lang w:eastAsia="pl-PL"/>
              </w:rPr>
              <w:t>h do sektora komunalno-bytowego oraz umożliwienie kupującemu uzyskanie rzetelnej i wyczerpującej informacji na temat produktu</w:t>
            </w:r>
            <w:r w:rsidR="00C418D0" w:rsidRPr="001578DD">
              <w:rPr>
                <w:rFonts w:ascii="Times New Roman" w:eastAsia="Times New Roman" w:hAnsi="Times New Roman" w:cs="Times New Roman"/>
                <w:color w:val="000000"/>
                <w:lang w:eastAsia="pl-PL"/>
              </w:rPr>
              <w:t>.</w:t>
            </w:r>
          </w:p>
        </w:tc>
      </w:tr>
      <w:tr w:rsidR="00390AE3" w:rsidRPr="001578DD" w:rsidTr="001578DD">
        <w:trPr>
          <w:trHeight w:val="307"/>
          <w:jc w:val="center"/>
        </w:trPr>
        <w:tc>
          <w:tcPr>
            <w:tcW w:w="10242" w:type="dxa"/>
            <w:gridSpan w:val="29"/>
            <w:shd w:val="clear" w:color="auto" w:fill="99CCFF"/>
            <w:vAlign w:val="center"/>
          </w:tcPr>
          <w:p w:rsidR="00390AE3" w:rsidRPr="001578DD" w:rsidRDefault="00390AE3" w:rsidP="001578DD">
            <w:pPr>
              <w:numPr>
                <w:ilvl w:val="0"/>
                <w:numId w:val="1"/>
              </w:numPr>
              <w:spacing w:before="60" w:after="60" w:line="240" w:lineRule="auto"/>
              <w:ind w:left="318" w:hanging="284"/>
              <w:jc w:val="both"/>
              <w:rPr>
                <w:rFonts w:ascii="Times New Roman" w:hAnsi="Times New Roman" w:cs="Times New Roman"/>
                <w:b/>
                <w:color w:val="000000"/>
              </w:rPr>
            </w:pPr>
            <w:r w:rsidRPr="001578DD">
              <w:rPr>
                <w:rFonts w:ascii="Times New Roman" w:hAnsi="Times New Roman" w:cs="Times New Roman"/>
                <w:b/>
              </w:rPr>
              <w:t>Jak problem został rozwiązany w innych krajach, w szczególności krajach członkowskich OECD/UE</w:t>
            </w:r>
            <w:r w:rsidRPr="001578DD">
              <w:rPr>
                <w:rFonts w:ascii="Times New Roman" w:hAnsi="Times New Roman" w:cs="Times New Roman"/>
                <w:b/>
                <w:color w:val="000000"/>
              </w:rPr>
              <w:t>?</w:t>
            </w:r>
            <w:r w:rsidRPr="001578DD">
              <w:rPr>
                <w:rFonts w:ascii="Times New Roman" w:hAnsi="Times New Roman" w:cs="Times New Roman"/>
                <w:i/>
                <w:color w:val="000000"/>
              </w:rPr>
              <w:t xml:space="preserve"> </w:t>
            </w:r>
          </w:p>
        </w:tc>
      </w:tr>
      <w:tr w:rsidR="00390AE3" w:rsidRPr="001578DD" w:rsidTr="001578DD">
        <w:trPr>
          <w:trHeight w:val="73"/>
          <w:jc w:val="center"/>
        </w:trPr>
        <w:tc>
          <w:tcPr>
            <w:tcW w:w="10242" w:type="dxa"/>
            <w:gridSpan w:val="29"/>
            <w:shd w:val="clear" w:color="auto" w:fill="auto"/>
          </w:tcPr>
          <w:p w:rsidR="00390AE3" w:rsidRPr="001578DD" w:rsidRDefault="00390AE3" w:rsidP="001578DD">
            <w:pPr>
              <w:spacing w:before="60" w:after="60" w:line="240" w:lineRule="auto"/>
              <w:jc w:val="both"/>
              <w:rPr>
                <w:rFonts w:ascii="Times New Roman" w:hAnsi="Times New Roman" w:cs="Times New Roman"/>
                <w:color w:val="000000"/>
              </w:rPr>
            </w:pPr>
            <w:r w:rsidRPr="001578DD">
              <w:rPr>
                <w:rFonts w:ascii="Times New Roman" w:hAnsi="Times New Roman" w:cs="Times New Roman"/>
                <w:color w:val="000000"/>
              </w:rPr>
              <w:t>Nie dotyczy.</w:t>
            </w:r>
          </w:p>
        </w:tc>
      </w:tr>
      <w:tr w:rsidR="00390AE3" w:rsidRPr="001578DD" w:rsidTr="001578DD">
        <w:trPr>
          <w:trHeight w:val="359"/>
          <w:jc w:val="center"/>
        </w:trPr>
        <w:tc>
          <w:tcPr>
            <w:tcW w:w="10242" w:type="dxa"/>
            <w:gridSpan w:val="29"/>
            <w:shd w:val="clear" w:color="auto" w:fill="99CCFF"/>
            <w:vAlign w:val="center"/>
          </w:tcPr>
          <w:p w:rsidR="00390AE3" w:rsidRPr="001578DD" w:rsidRDefault="00390AE3" w:rsidP="001578DD">
            <w:pPr>
              <w:numPr>
                <w:ilvl w:val="0"/>
                <w:numId w:val="1"/>
              </w:numPr>
              <w:spacing w:before="60" w:after="60" w:line="240" w:lineRule="auto"/>
              <w:ind w:left="318" w:hanging="284"/>
              <w:jc w:val="both"/>
              <w:rPr>
                <w:rFonts w:ascii="Times New Roman" w:hAnsi="Times New Roman" w:cs="Times New Roman"/>
                <w:b/>
                <w:color w:val="000000"/>
              </w:rPr>
            </w:pPr>
            <w:r w:rsidRPr="001578DD">
              <w:rPr>
                <w:rFonts w:ascii="Times New Roman" w:hAnsi="Times New Roman" w:cs="Times New Roman"/>
                <w:b/>
                <w:color w:val="000000"/>
              </w:rPr>
              <w:t>Podmioty, na które oddziałuje projekt</w:t>
            </w:r>
          </w:p>
        </w:tc>
      </w:tr>
      <w:tr w:rsidR="00390AE3" w:rsidRPr="001578DD" w:rsidTr="001578DD">
        <w:trPr>
          <w:trHeight w:val="142"/>
          <w:jc w:val="center"/>
        </w:trPr>
        <w:tc>
          <w:tcPr>
            <w:tcW w:w="2794" w:type="dxa"/>
            <w:gridSpan w:val="4"/>
            <w:shd w:val="clear" w:color="auto" w:fill="auto"/>
          </w:tcPr>
          <w:p w:rsidR="00390AE3" w:rsidRPr="001578DD" w:rsidRDefault="00390AE3"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Grupa</w:t>
            </w:r>
          </w:p>
        </w:tc>
        <w:tc>
          <w:tcPr>
            <w:tcW w:w="2292" w:type="dxa"/>
            <w:gridSpan w:val="8"/>
            <w:shd w:val="clear" w:color="auto" w:fill="auto"/>
          </w:tcPr>
          <w:p w:rsidR="00390AE3" w:rsidRPr="001578DD" w:rsidRDefault="00390AE3"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Wielkość</w:t>
            </w:r>
          </w:p>
        </w:tc>
        <w:tc>
          <w:tcPr>
            <w:tcW w:w="1592" w:type="dxa"/>
            <w:gridSpan w:val="6"/>
            <w:shd w:val="clear" w:color="auto" w:fill="auto"/>
          </w:tcPr>
          <w:p w:rsidR="00390AE3" w:rsidRPr="001578DD" w:rsidRDefault="00390AE3"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Źródło danych</w:t>
            </w:r>
            <w:r w:rsidRPr="001578DD" w:rsidDel="00260F33">
              <w:rPr>
                <w:rFonts w:ascii="Times New Roman" w:hAnsi="Times New Roman" w:cs="Times New Roman"/>
                <w:color w:val="000000"/>
              </w:rPr>
              <w:t xml:space="preserve"> </w:t>
            </w:r>
          </w:p>
        </w:tc>
        <w:tc>
          <w:tcPr>
            <w:tcW w:w="3564" w:type="dxa"/>
            <w:gridSpan w:val="11"/>
            <w:shd w:val="clear" w:color="auto" w:fill="auto"/>
          </w:tcPr>
          <w:p w:rsidR="00390AE3" w:rsidRPr="001578DD" w:rsidRDefault="00390AE3"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Oddziaływanie</w:t>
            </w:r>
          </w:p>
        </w:tc>
      </w:tr>
      <w:tr w:rsidR="00390AE3" w:rsidRPr="001578DD" w:rsidTr="001578DD">
        <w:trPr>
          <w:trHeight w:val="142"/>
          <w:jc w:val="center"/>
        </w:trPr>
        <w:tc>
          <w:tcPr>
            <w:tcW w:w="2794" w:type="dxa"/>
            <w:gridSpan w:val="4"/>
            <w:shd w:val="clear" w:color="auto" w:fill="auto"/>
            <w:vAlign w:val="center"/>
          </w:tcPr>
          <w:p w:rsidR="00344FA2"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 xml:space="preserve">Producenci paliw stałych </w:t>
            </w:r>
            <w:r w:rsidR="00A5252F">
              <w:rPr>
                <w:rFonts w:ascii="Times New Roman" w:hAnsi="Times New Roman" w:cs="Times New Roman"/>
                <w:color w:val="000000"/>
              </w:rPr>
              <w:t>– w rozumieniu ustawy o systemie monitorowania i </w:t>
            </w:r>
            <w:r w:rsidRPr="001578DD">
              <w:rPr>
                <w:rFonts w:ascii="Times New Roman" w:hAnsi="Times New Roman" w:cs="Times New Roman"/>
                <w:color w:val="000000"/>
              </w:rPr>
              <w:t>kontrolowania jakości paliw</w:t>
            </w:r>
          </w:p>
        </w:tc>
        <w:tc>
          <w:tcPr>
            <w:tcW w:w="2292" w:type="dxa"/>
            <w:gridSpan w:val="8"/>
            <w:shd w:val="clear" w:color="auto" w:fill="auto"/>
            <w:vAlign w:val="center"/>
          </w:tcPr>
          <w:p w:rsidR="00390AE3" w:rsidRPr="001578DD" w:rsidRDefault="00390AE3" w:rsidP="00A5252F">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23 kopalnie</w:t>
            </w:r>
          </w:p>
        </w:tc>
        <w:tc>
          <w:tcPr>
            <w:tcW w:w="1592" w:type="dxa"/>
            <w:gridSpan w:val="6"/>
            <w:shd w:val="clear" w:color="auto" w:fill="auto"/>
            <w:vAlign w:val="center"/>
          </w:tcPr>
          <w:p w:rsidR="00390AE3" w:rsidRPr="001578DD" w:rsidRDefault="00390AE3" w:rsidP="001578DD">
            <w:pPr>
              <w:spacing w:before="60" w:after="60" w:line="240" w:lineRule="auto"/>
              <w:jc w:val="center"/>
              <w:rPr>
                <w:rFonts w:ascii="Times New Roman" w:hAnsi="Times New Roman" w:cs="Times New Roman"/>
              </w:rPr>
            </w:pPr>
            <w:r w:rsidRPr="001578DD">
              <w:rPr>
                <w:rFonts w:ascii="Times New Roman" w:hAnsi="Times New Roman" w:cs="Times New Roman"/>
              </w:rPr>
              <w:t>ARP</w:t>
            </w:r>
          </w:p>
        </w:tc>
        <w:tc>
          <w:tcPr>
            <w:tcW w:w="3564" w:type="dxa"/>
            <w:gridSpan w:val="11"/>
            <w:shd w:val="clear" w:color="auto" w:fill="auto"/>
          </w:tcPr>
          <w:p w:rsidR="00390AE3" w:rsidRPr="001578DD" w:rsidRDefault="00390AE3" w:rsidP="00A5252F">
            <w:pPr>
              <w:spacing w:before="60" w:after="60" w:line="240" w:lineRule="auto"/>
              <w:rPr>
                <w:rFonts w:ascii="Times New Roman" w:hAnsi="Times New Roman" w:cs="Times New Roman"/>
              </w:rPr>
            </w:pPr>
            <w:r w:rsidRPr="001578DD">
              <w:rPr>
                <w:rFonts w:ascii="Times New Roman" w:hAnsi="Times New Roman" w:cs="Times New Roman"/>
              </w:rPr>
              <w:t xml:space="preserve">Konieczność dostosowania parametrów jakościowych paliw stałych do wymagań </w:t>
            </w:r>
            <w:r w:rsidR="00081E11" w:rsidRPr="001578DD">
              <w:rPr>
                <w:rFonts w:ascii="Times New Roman" w:hAnsi="Times New Roman" w:cs="Times New Roman"/>
              </w:rPr>
              <w:t>określonych w</w:t>
            </w:r>
            <w:r w:rsidR="00A5252F">
              <w:rPr>
                <w:rFonts w:ascii="Times New Roman" w:hAnsi="Times New Roman" w:cs="Times New Roman"/>
              </w:rPr>
              <w:t> </w:t>
            </w:r>
            <w:r w:rsidRPr="001578DD">
              <w:rPr>
                <w:rFonts w:ascii="Times New Roman" w:hAnsi="Times New Roman" w:cs="Times New Roman"/>
              </w:rPr>
              <w:t>rozporządzeni</w:t>
            </w:r>
            <w:r w:rsidR="00081E11" w:rsidRPr="001578DD">
              <w:rPr>
                <w:rFonts w:ascii="Times New Roman" w:hAnsi="Times New Roman" w:cs="Times New Roman"/>
              </w:rPr>
              <w:t>u</w:t>
            </w:r>
            <w:r w:rsidRPr="001578DD">
              <w:rPr>
                <w:rFonts w:ascii="Times New Roman" w:hAnsi="Times New Roman" w:cs="Times New Roman"/>
              </w:rPr>
              <w:t xml:space="preserve"> wydan</w:t>
            </w:r>
            <w:r w:rsidR="00081E11" w:rsidRPr="001578DD">
              <w:rPr>
                <w:rFonts w:ascii="Times New Roman" w:hAnsi="Times New Roman" w:cs="Times New Roman"/>
              </w:rPr>
              <w:t>ym</w:t>
            </w:r>
            <w:r w:rsidRPr="001578DD">
              <w:rPr>
                <w:rFonts w:ascii="Times New Roman" w:hAnsi="Times New Roman" w:cs="Times New Roman"/>
              </w:rPr>
              <w:t xml:space="preserve"> </w:t>
            </w:r>
            <w:r w:rsidR="00395F80" w:rsidRPr="001578DD">
              <w:rPr>
                <w:rFonts w:ascii="Times New Roman" w:hAnsi="Times New Roman" w:cs="Times New Roman"/>
              </w:rPr>
              <w:t>na podstawie</w:t>
            </w:r>
            <w:r w:rsidRPr="001578DD">
              <w:rPr>
                <w:rFonts w:ascii="Times New Roman" w:hAnsi="Times New Roman" w:cs="Times New Roman"/>
              </w:rPr>
              <w:t xml:space="preserve"> ustawy.</w:t>
            </w:r>
          </w:p>
        </w:tc>
      </w:tr>
      <w:tr w:rsidR="00390AE3" w:rsidRPr="001578DD" w:rsidTr="001578DD">
        <w:trPr>
          <w:trHeight w:val="142"/>
          <w:jc w:val="center"/>
        </w:trPr>
        <w:tc>
          <w:tcPr>
            <w:tcW w:w="2794" w:type="dxa"/>
            <w:gridSpan w:val="4"/>
            <w:shd w:val="clear" w:color="auto" w:fill="auto"/>
            <w:vAlign w:val="center"/>
          </w:tcPr>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Przedsiębiorstwa podejmujące import węgla kamiennego</w:t>
            </w:r>
          </w:p>
        </w:tc>
        <w:tc>
          <w:tcPr>
            <w:tcW w:w="2292" w:type="dxa"/>
            <w:gridSpan w:val="8"/>
            <w:shd w:val="clear" w:color="auto" w:fill="auto"/>
            <w:vAlign w:val="center"/>
          </w:tcPr>
          <w:p w:rsidR="00390AE3" w:rsidRPr="001578DD" w:rsidRDefault="00390AE3" w:rsidP="00A5252F">
            <w:pPr>
              <w:spacing w:before="60" w:after="60" w:line="240" w:lineRule="auto"/>
              <w:rPr>
                <w:rFonts w:ascii="Times New Roman" w:hAnsi="Times New Roman" w:cs="Times New Roman"/>
                <w:color w:val="000000"/>
              </w:rPr>
            </w:pPr>
            <w:r w:rsidRPr="001578DD">
              <w:rPr>
                <w:rFonts w:ascii="Times New Roman" w:hAnsi="Times New Roman" w:cs="Times New Roman"/>
              </w:rPr>
              <w:t>48 firm</w:t>
            </w:r>
          </w:p>
        </w:tc>
        <w:tc>
          <w:tcPr>
            <w:tcW w:w="1592" w:type="dxa"/>
            <w:gridSpan w:val="6"/>
            <w:shd w:val="clear" w:color="auto" w:fill="auto"/>
            <w:vAlign w:val="center"/>
          </w:tcPr>
          <w:p w:rsidR="00390AE3" w:rsidRPr="001578DD" w:rsidRDefault="00390AE3" w:rsidP="001578DD">
            <w:pPr>
              <w:spacing w:before="60" w:after="60" w:line="240" w:lineRule="auto"/>
              <w:jc w:val="center"/>
              <w:rPr>
                <w:rFonts w:ascii="Times New Roman" w:hAnsi="Times New Roman" w:cs="Times New Roman"/>
              </w:rPr>
            </w:pPr>
            <w:r w:rsidRPr="001578DD">
              <w:rPr>
                <w:rFonts w:ascii="Times New Roman" w:hAnsi="Times New Roman" w:cs="Times New Roman"/>
              </w:rPr>
              <w:t>ARP</w:t>
            </w:r>
          </w:p>
        </w:tc>
        <w:tc>
          <w:tcPr>
            <w:tcW w:w="3564" w:type="dxa"/>
            <w:gridSpan w:val="11"/>
            <w:shd w:val="clear" w:color="auto" w:fill="auto"/>
          </w:tcPr>
          <w:p w:rsidR="00390AE3" w:rsidRPr="001578DD" w:rsidRDefault="00390AE3" w:rsidP="001578DD">
            <w:pPr>
              <w:spacing w:before="60" w:after="60" w:line="240" w:lineRule="auto"/>
              <w:rPr>
                <w:rFonts w:ascii="Times New Roman" w:hAnsi="Times New Roman" w:cs="Times New Roman"/>
              </w:rPr>
            </w:pPr>
            <w:r w:rsidRPr="001578DD">
              <w:rPr>
                <w:rFonts w:ascii="Times New Roman" w:hAnsi="Times New Roman" w:cs="Times New Roman"/>
              </w:rPr>
              <w:t xml:space="preserve">Konieczność dostosowania parametrów jakościowych paliw stałych do wymagań </w:t>
            </w:r>
            <w:r w:rsidR="00A5252F">
              <w:rPr>
                <w:rFonts w:ascii="Times New Roman" w:hAnsi="Times New Roman" w:cs="Times New Roman"/>
              </w:rPr>
              <w:t>określonych w </w:t>
            </w:r>
            <w:r w:rsidRPr="001578DD">
              <w:rPr>
                <w:rFonts w:ascii="Times New Roman" w:hAnsi="Times New Roman" w:cs="Times New Roman"/>
              </w:rPr>
              <w:t>rozporządzeni</w:t>
            </w:r>
            <w:r w:rsidR="00081E11" w:rsidRPr="001578DD">
              <w:rPr>
                <w:rFonts w:ascii="Times New Roman" w:hAnsi="Times New Roman" w:cs="Times New Roman"/>
              </w:rPr>
              <w:t>u</w:t>
            </w:r>
            <w:r w:rsidRPr="001578DD">
              <w:rPr>
                <w:rFonts w:ascii="Times New Roman" w:hAnsi="Times New Roman" w:cs="Times New Roman"/>
              </w:rPr>
              <w:t xml:space="preserve"> wydan</w:t>
            </w:r>
            <w:r w:rsidR="00081E11" w:rsidRPr="001578DD">
              <w:rPr>
                <w:rFonts w:ascii="Times New Roman" w:hAnsi="Times New Roman" w:cs="Times New Roman"/>
              </w:rPr>
              <w:t>ym</w:t>
            </w:r>
            <w:r w:rsidRPr="001578DD">
              <w:rPr>
                <w:rFonts w:ascii="Times New Roman" w:hAnsi="Times New Roman" w:cs="Times New Roman"/>
              </w:rPr>
              <w:t xml:space="preserve"> </w:t>
            </w:r>
            <w:r w:rsidR="00395F80" w:rsidRPr="001578DD">
              <w:rPr>
                <w:rFonts w:ascii="Times New Roman" w:hAnsi="Times New Roman" w:cs="Times New Roman"/>
              </w:rPr>
              <w:t>na podstawie</w:t>
            </w:r>
            <w:r w:rsidRPr="001578DD">
              <w:rPr>
                <w:rFonts w:ascii="Times New Roman" w:hAnsi="Times New Roman" w:cs="Times New Roman"/>
              </w:rPr>
              <w:t xml:space="preserve"> ustawy.</w:t>
            </w:r>
          </w:p>
        </w:tc>
      </w:tr>
      <w:tr w:rsidR="00390AE3" w:rsidRPr="001578DD" w:rsidTr="001578DD">
        <w:trPr>
          <w:trHeight w:val="142"/>
          <w:jc w:val="center"/>
        </w:trPr>
        <w:tc>
          <w:tcPr>
            <w:tcW w:w="2794" w:type="dxa"/>
            <w:gridSpan w:val="4"/>
            <w:shd w:val="clear" w:color="auto" w:fill="auto"/>
            <w:vAlign w:val="center"/>
          </w:tcPr>
          <w:p w:rsidR="00390AE3" w:rsidRPr="001578DD" w:rsidRDefault="00390AE3" w:rsidP="001578DD">
            <w:pPr>
              <w:spacing w:before="60" w:after="60" w:line="240" w:lineRule="auto"/>
              <w:rPr>
                <w:rFonts w:ascii="Times New Roman" w:hAnsi="Times New Roman" w:cs="Times New Roman"/>
              </w:rPr>
            </w:pPr>
            <w:r w:rsidRPr="001578DD">
              <w:rPr>
                <w:rFonts w:ascii="Times New Roman" w:hAnsi="Times New Roman" w:cs="Times New Roman"/>
              </w:rPr>
              <w:t>Dystrybutorzy paliw stałych</w:t>
            </w:r>
          </w:p>
        </w:tc>
        <w:tc>
          <w:tcPr>
            <w:tcW w:w="2292" w:type="dxa"/>
            <w:gridSpan w:val="8"/>
            <w:shd w:val="clear" w:color="auto" w:fill="auto"/>
            <w:vAlign w:val="center"/>
          </w:tcPr>
          <w:p w:rsidR="00390AE3" w:rsidRPr="001578DD" w:rsidRDefault="00390AE3" w:rsidP="00A5252F">
            <w:pPr>
              <w:spacing w:before="60" w:after="60" w:line="240" w:lineRule="auto"/>
              <w:rPr>
                <w:rFonts w:ascii="Times New Roman" w:hAnsi="Times New Roman" w:cs="Times New Roman"/>
              </w:rPr>
            </w:pPr>
            <w:r w:rsidRPr="001578DD">
              <w:rPr>
                <w:rFonts w:ascii="Times New Roman" w:hAnsi="Times New Roman" w:cs="Times New Roman"/>
              </w:rPr>
              <w:t>10 tys. składów opałowych</w:t>
            </w:r>
          </w:p>
        </w:tc>
        <w:tc>
          <w:tcPr>
            <w:tcW w:w="1592" w:type="dxa"/>
            <w:gridSpan w:val="6"/>
            <w:shd w:val="clear" w:color="auto" w:fill="auto"/>
            <w:vAlign w:val="center"/>
          </w:tcPr>
          <w:p w:rsidR="00390AE3" w:rsidRPr="001578DD" w:rsidRDefault="00390AE3"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ARP</w:t>
            </w:r>
          </w:p>
        </w:tc>
        <w:tc>
          <w:tcPr>
            <w:tcW w:w="3564" w:type="dxa"/>
            <w:gridSpan w:val="11"/>
            <w:shd w:val="clear" w:color="auto" w:fill="auto"/>
          </w:tcPr>
          <w:p w:rsidR="00390AE3" w:rsidRPr="001578DD" w:rsidRDefault="00390AE3" w:rsidP="00A5252F">
            <w:pPr>
              <w:spacing w:before="60" w:after="60" w:line="240" w:lineRule="auto"/>
              <w:rPr>
                <w:rFonts w:ascii="Times New Roman" w:hAnsi="Times New Roman" w:cs="Times New Roman"/>
              </w:rPr>
            </w:pPr>
            <w:r w:rsidRPr="001578DD">
              <w:rPr>
                <w:rFonts w:ascii="Times New Roman" w:hAnsi="Times New Roman" w:cs="Times New Roman"/>
              </w:rPr>
              <w:t xml:space="preserve">Sprzedaż produktu zgodna </w:t>
            </w:r>
            <w:r w:rsidR="00A5252F">
              <w:rPr>
                <w:rFonts w:ascii="Times New Roman" w:hAnsi="Times New Roman" w:cs="Times New Roman"/>
              </w:rPr>
              <w:t>z </w:t>
            </w:r>
            <w:r w:rsidRPr="001578DD">
              <w:rPr>
                <w:rFonts w:ascii="Times New Roman" w:hAnsi="Times New Roman" w:cs="Times New Roman"/>
              </w:rPr>
              <w:t>wymaganiami jakościowymi.</w:t>
            </w:r>
            <w:r w:rsidR="00E153C9" w:rsidRPr="001578DD">
              <w:rPr>
                <w:rFonts w:ascii="Times New Roman" w:hAnsi="Times New Roman" w:cs="Times New Roman"/>
              </w:rPr>
              <w:t xml:space="preserve"> </w:t>
            </w:r>
            <w:r w:rsidR="00081E11" w:rsidRPr="001578DD">
              <w:rPr>
                <w:rFonts w:ascii="Times New Roman" w:hAnsi="Times New Roman" w:cs="Times New Roman"/>
              </w:rPr>
              <w:lastRenderedPageBreak/>
              <w:t xml:space="preserve">Obowiązek przechowywania </w:t>
            </w:r>
            <w:r w:rsidR="00E153C9" w:rsidRPr="001578DD">
              <w:rPr>
                <w:rFonts w:ascii="Times New Roman" w:hAnsi="Times New Roman" w:cs="Times New Roman"/>
              </w:rPr>
              <w:t>kopii zaświadczeń i kopii faktu</w:t>
            </w:r>
            <w:r w:rsidR="00081E11" w:rsidRPr="001578DD">
              <w:rPr>
                <w:rFonts w:ascii="Times New Roman" w:hAnsi="Times New Roman" w:cs="Times New Roman"/>
              </w:rPr>
              <w:t>r</w:t>
            </w:r>
            <w:r w:rsidR="00A5252F">
              <w:rPr>
                <w:rFonts w:ascii="Times New Roman" w:hAnsi="Times New Roman" w:cs="Times New Roman"/>
              </w:rPr>
              <w:t xml:space="preserve"> VAT w </w:t>
            </w:r>
            <w:r w:rsidR="00E153C9" w:rsidRPr="001578DD">
              <w:rPr>
                <w:rFonts w:ascii="Times New Roman" w:hAnsi="Times New Roman" w:cs="Times New Roman"/>
              </w:rPr>
              <w:t xml:space="preserve">sytuacji nabywania paliw niespełniających wymagań </w:t>
            </w:r>
            <w:r w:rsidR="00081E11" w:rsidRPr="001578DD">
              <w:rPr>
                <w:rFonts w:ascii="Times New Roman" w:hAnsi="Times New Roman" w:cs="Times New Roman"/>
              </w:rPr>
              <w:t>jakościowych</w:t>
            </w:r>
            <w:r w:rsidR="00E153C9" w:rsidRPr="001578DD">
              <w:rPr>
                <w:rFonts w:ascii="Times New Roman" w:hAnsi="Times New Roman" w:cs="Times New Roman"/>
              </w:rPr>
              <w:t xml:space="preserve"> u wprowadzających do obrotu paliwo stałe, którzy wprow</w:t>
            </w:r>
            <w:r w:rsidR="00A5252F">
              <w:rPr>
                <w:rFonts w:ascii="Times New Roman" w:hAnsi="Times New Roman" w:cs="Times New Roman"/>
              </w:rPr>
              <w:t>adzają do obrotu paliwo stałe z </w:t>
            </w:r>
            <w:r w:rsidR="00E153C9" w:rsidRPr="001578DD">
              <w:rPr>
                <w:rFonts w:ascii="Times New Roman" w:hAnsi="Times New Roman" w:cs="Times New Roman"/>
              </w:rPr>
              <w:t>przeznaczeniem</w:t>
            </w:r>
            <w:r w:rsidR="00A5252F">
              <w:rPr>
                <w:rFonts w:ascii="Times New Roman" w:hAnsi="Times New Roman" w:cs="Times New Roman"/>
              </w:rPr>
              <w:t>, o którym mowa w </w:t>
            </w:r>
            <w:r w:rsidR="00CE1CF1" w:rsidRPr="001578DD">
              <w:rPr>
                <w:rFonts w:ascii="Times New Roman" w:hAnsi="Times New Roman" w:cs="Times New Roman"/>
              </w:rPr>
              <w:t>art. 1 ust. 2 znowelizowanej ustawy, oraz z przeznaczeniem innym niż określone w tym przepisie</w:t>
            </w:r>
            <w:r w:rsidR="00E153C9" w:rsidRPr="001578DD">
              <w:rPr>
                <w:rFonts w:ascii="Times New Roman" w:hAnsi="Times New Roman" w:cs="Times New Roman"/>
              </w:rPr>
              <w:t>.</w:t>
            </w:r>
          </w:p>
        </w:tc>
      </w:tr>
      <w:tr w:rsidR="00390AE3" w:rsidRPr="001578DD" w:rsidTr="001578DD">
        <w:trPr>
          <w:trHeight w:val="142"/>
          <w:jc w:val="center"/>
        </w:trPr>
        <w:tc>
          <w:tcPr>
            <w:tcW w:w="2794" w:type="dxa"/>
            <w:gridSpan w:val="4"/>
            <w:shd w:val="clear" w:color="auto" w:fill="auto"/>
            <w:vAlign w:val="center"/>
          </w:tcPr>
          <w:p w:rsidR="00390AE3" w:rsidRPr="001578DD" w:rsidRDefault="00F33ECE" w:rsidP="001578DD">
            <w:pPr>
              <w:spacing w:before="60" w:after="60" w:line="240" w:lineRule="auto"/>
              <w:rPr>
                <w:rFonts w:ascii="Times New Roman" w:hAnsi="Times New Roman" w:cs="Times New Roman"/>
                <w:color w:val="000000"/>
              </w:rPr>
            </w:pPr>
            <w:r>
              <w:rPr>
                <w:rFonts w:ascii="Times New Roman" w:hAnsi="Times New Roman" w:cs="Times New Roman"/>
              </w:rPr>
              <w:lastRenderedPageBreak/>
              <w:t>UOKiK/</w:t>
            </w:r>
            <w:r w:rsidR="00390AE3" w:rsidRPr="001578DD">
              <w:rPr>
                <w:rFonts w:ascii="Times New Roman" w:hAnsi="Times New Roman" w:cs="Times New Roman"/>
              </w:rPr>
              <w:t>Inspekcja Handlowa</w:t>
            </w:r>
          </w:p>
        </w:tc>
        <w:tc>
          <w:tcPr>
            <w:tcW w:w="2292" w:type="dxa"/>
            <w:gridSpan w:val="8"/>
            <w:shd w:val="clear" w:color="auto" w:fill="auto"/>
            <w:vAlign w:val="center"/>
          </w:tcPr>
          <w:p w:rsidR="00390AE3" w:rsidRPr="001578DD" w:rsidRDefault="00A5252F" w:rsidP="00A5252F">
            <w:pPr>
              <w:spacing w:before="60" w:after="60" w:line="240" w:lineRule="auto"/>
              <w:rPr>
                <w:rFonts w:ascii="Times New Roman" w:hAnsi="Times New Roman" w:cs="Times New Roman"/>
                <w:color w:val="000000"/>
              </w:rPr>
            </w:pPr>
            <w:r>
              <w:rPr>
                <w:rFonts w:ascii="Times New Roman" w:hAnsi="Times New Roman" w:cs="Times New Roman"/>
                <w:color w:val="000000"/>
              </w:rPr>
              <w:t>UOKiK oraz 16 </w:t>
            </w:r>
            <w:r w:rsidR="00267EFE" w:rsidRPr="001578DD">
              <w:rPr>
                <w:rFonts w:ascii="Times New Roman" w:hAnsi="Times New Roman" w:cs="Times New Roman"/>
                <w:color w:val="000000"/>
              </w:rPr>
              <w:t>wojewódzkich inspektoratów Inspekcji Handlowej</w:t>
            </w:r>
          </w:p>
        </w:tc>
        <w:tc>
          <w:tcPr>
            <w:tcW w:w="1592" w:type="dxa"/>
            <w:gridSpan w:val="6"/>
            <w:shd w:val="clear" w:color="auto" w:fill="auto"/>
            <w:vAlign w:val="center"/>
          </w:tcPr>
          <w:p w:rsidR="00390AE3" w:rsidRPr="001578DD" w:rsidRDefault="00390AE3"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rPr>
              <w:t>UOKiK</w:t>
            </w:r>
          </w:p>
        </w:tc>
        <w:tc>
          <w:tcPr>
            <w:tcW w:w="3564" w:type="dxa"/>
            <w:gridSpan w:val="11"/>
            <w:shd w:val="clear" w:color="auto" w:fill="auto"/>
          </w:tcPr>
          <w:p w:rsidR="00390AE3" w:rsidRPr="001578DD" w:rsidRDefault="00390AE3" w:rsidP="001578DD">
            <w:pPr>
              <w:spacing w:before="60" w:after="60" w:line="240" w:lineRule="auto"/>
              <w:rPr>
                <w:rFonts w:ascii="Times New Roman" w:hAnsi="Times New Roman" w:cs="Times New Roman"/>
              </w:rPr>
            </w:pPr>
            <w:r w:rsidRPr="001578DD">
              <w:rPr>
                <w:rFonts w:ascii="Times New Roman" w:hAnsi="Times New Roman" w:cs="Times New Roman"/>
              </w:rPr>
              <w:t>Konieczność uwzględnienia w swoich procedurach kontroli wymagań jakościowych paliw stałych.</w:t>
            </w:r>
          </w:p>
          <w:p w:rsidR="00390AE3" w:rsidRPr="001578DD" w:rsidRDefault="00E153C9" w:rsidP="00A5252F">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Kontrola kopii zaświadczeń i kopii faktu</w:t>
            </w:r>
            <w:r w:rsidR="00081E11" w:rsidRPr="001578DD">
              <w:rPr>
                <w:rFonts w:ascii="Times New Roman" w:hAnsi="Times New Roman" w:cs="Times New Roman"/>
                <w:color w:val="000000"/>
              </w:rPr>
              <w:t>r</w:t>
            </w:r>
            <w:r w:rsidRPr="001578DD">
              <w:rPr>
                <w:rFonts w:ascii="Times New Roman" w:hAnsi="Times New Roman" w:cs="Times New Roman"/>
                <w:color w:val="000000"/>
              </w:rPr>
              <w:t xml:space="preserve"> VAT w sytuacji nabywania paliw niespełniających wymagań </w:t>
            </w:r>
            <w:r w:rsidR="00081E11" w:rsidRPr="001578DD">
              <w:rPr>
                <w:rFonts w:ascii="Times New Roman" w:hAnsi="Times New Roman" w:cs="Times New Roman"/>
                <w:color w:val="000000"/>
              </w:rPr>
              <w:t xml:space="preserve">jakościowych </w:t>
            </w:r>
            <w:r w:rsidRPr="001578DD">
              <w:rPr>
                <w:rFonts w:ascii="Times New Roman" w:hAnsi="Times New Roman" w:cs="Times New Roman"/>
                <w:color w:val="000000"/>
              </w:rPr>
              <w:t>u wprowadzających do obrotu paliwo stałe, którzy wprow</w:t>
            </w:r>
            <w:r w:rsidR="00A5252F">
              <w:rPr>
                <w:rFonts w:ascii="Times New Roman" w:hAnsi="Times New Roman" w:cs="Times New Roman"/>
                <w:color w:val="000000"/>
              </w:rPr>
              <w:t>adzają do obrotu paliwo stałe z </w:t>
            </w:r>
            <w:r w:rsidRPr="001578DD">
              <w:rPr>
                <w:rFonts w:ascii="Times New Roman" w:hAnsi="Times New Roman" w:cs="Times New Roman"/>
                <w:color w:val="000000"/>
              </w:rPr>
              <w:t>przeznaczeniem</w:t>
            </w:r>
            <w:r w:rsidR="00A5252F">
              <w:rPr>
                <w:rFonts w:ascii="Times New Roman" w:hAnsi="Times New Roman" w:cs="Times New Roman"/>
                <w:color w:val="000000"/>
              </w:rPr>
              <w:t>, o którym mowa w </w:t>
            </w:r>
            <w:r w:rsidR="00081E11" w:rsidRPr="001578DD">
              <w:rPr>
                <w:rFonts w:ascii="Times New Roman" w:hAnsi="Times New Roman" w:cs="Times New Roman"/>
                <w:color w:val="000000"/>
              </w:rPr>
              <w:t>art. 1 ust. 2 znowelizowanej ustawy</w:t>
            </w:r>
            <w:r w:rsidR="00CE1CF1" w:rsidRPr="001578DD">
              <w:rPr>
                <w:rFonts w:ascii="Times New Roman" w:hAnsi="Times New Roman" w:cs="Times New Roman"/>
                <w:color w:val="000000"/>
              </w:rPr>
              <w:t>,</w:t>
            </w:r>
            <w:r w:rsidR="00081E11" w:rsidRPr="001578DD">
              <w:rPr>
                <w:rFonts w:ascii="Times New Roman" w:hAnsi="Times New Roman" w:cs="Times New Roman"/>
                <w:color w:val="000000"/>
              </w:rPr>
              <w:t xml:space="preserve"> oraz z przeznaczeniem innym niż określone w ty</w:t>
            </w:r>
            <w:r w:rsidR="00CE1CF1" w:rsidRPr="001578DD">
              <w:rPr>
                <w:rFonts w:ascii="Times New Roman" w:hAnsi="Times New Roman" w:cs="Times New Roman"/>
                <w:color w:val="000000"/>
              </w:rPr>
              <w:t>m przepisie</w:t>
            </w:r>
          </w:p>
        </w:tc>
      </w:tr>
      <w:tr w:rsidR="00390AE3" w:rsidRPr="001578DD" w:rsidTr="001578DD">
        <w:trPr>
          <w:trHeight w:val="142"/>
          <w:jc w:val="center"/>
        </w:trPr>
        <w:tc>
          <w:tcPr>
            <w:tcW w:w="2794" w:type="dxa"/>
            <w:gridSpan w:val="4"/>
            <w:shd w:val="clear" w:color="auto" w:fill="auto"/>
            <w:vAlign w:val="center"/>
          </w:tcPr>
          <w:p w:rsidR="00390AE3" w:rsidRPr="001578DD" w:rsidRDefault="00464F93" w:rsidP="001578DD">
            <w:pPr>
              <w:spacing w:before="60" w:after="60" w:line="240" w:lineRule="auto"/>
              <w:rPr>
                <w:rFonts w:ascii="Times New Roman" w:hAnsi="Times New Roman" w:cs="Times New Roman"/>
                <w:color w:val="000000"/>
              </w:rPr>
            </w:pPr>
            <w:r w:rsidRPr="001578DD">
              <w:rPr>
                <w:rFonts w:ascii="Times New Roman" w:hAnsi="Times New Roman" w:cs="Times New Roman"/>
              </w:rPr>
              <w:t>organy Krajowej Administracji Skarbowej</w:t>
            </w:r>
          </w:p>
        </w:tc>
        <w:tc>
          <w:tcPr>
            <w:tcW w:w="2292" w:type="dxa"/>
            <w:gridSpan w:val="8"/>
            <w:shd w:val="clear" w:color="auto" w:fill="auto"/>
            <w:vAlign w:val="center"/>
          </w:tcPr>
          <w:p w:rsidR="00390AE3" w:rsidRPr="001578DD" w:rsidRDefault="00B95DCA" w:rsidP="00A5252F">
            <w:pPr>
              <w:spacing w:before="60" w:after="60" w:line="240" w:lineRule="auto"/>
              <w:rPr>
                <w:rFonts w:ascii="Times New Roman" w:hAnsi="Times New Roman" w:cs="Times New Roman"/>
              </w:rPr>
            </w:pPr>
            <w:r w:rsidRPr="001578DD">
              <w:rPr>
                <w:rFonts w:ascii="Times New Roman" w:hAnsi="Times New Roman" w:cs="Times New Roman"/>
              </w:rPr>
              <w:t xml:space="preserve">urzędy celno-skarbowe (16, wraz z delegaturami – 45 i oddziałami celnymi </w:t>
            </w:r>
            <w:r w:rsidR="00A5252F">
              <w:rPr>
                <w:rFonts w:ascii="Times New Roman" w:hAnsi="Times New Roman" w:cs="Times New Roman"/>
              </w:rPr>
              <w:t>–</w:t>
            </w:r>
            <w:r w:rsidRPr="001578DD">
              <w:rPr>
                <w:rFonts w:ascii="Times New Roman" w:hAnsi="Times New Roman" w:cs="Times New Roman"/>
              </w:rPr>
              <w:t xml:space="preserve"> 143).</w:t>
            </w:r>
          </w:p>
        </w:tc>
        <w:tc>
          <w:tcPr>
            <w:tcW w:w="1592" w:type="dxa"/>
            <w:gridSpan w:val="6"/>
            <w:shd w:val="clear" w:color="auto" w:fill="auto"/>
            <w:vAlign w:val="center"/>
          </w:tcPr>
          <w:p w:rsidR="00390AE3" w:rsidRPr="001578DD" w:rsidRDefault="00F54E2B" w:rsidP="00F54E2B">
            <w:pPr>
              <w:spacing w:before="60" w:after="60" w:line="240" w:lineRule="auto"/>
              <w:jc w:val="center"/>
              <w:rPr>
                <w:rFonts w:ascii="Times New Roman" w:hAnsi="Times New Roman" w:cs="Times New Roman"/>
                <w:color w:val="000000"/>
              </w:rPr>
            </w:pPr>
            <w:r>
              <w:rPr>
                <w:rFonts w:ascii="Times New Roman" w:hAnsi="Times New Roman" w:cs="Times New Roman"/>
                <w:color w:val="000000"/>
              </w:rPr>
              <w:t>Krajowa Administracja Skarbowa</w:t>
            </w:r>
          </w:p>
        </w:tc>
        <w:tc>
          <w:tcPr>
            <w:tcW w:w="3564" w:type="dxa"/>
            <w:gridSpan w:val="11"/>
            <w:shd w:val="clear" w:color="auto" w:fill="auto"/>
          </w:tcPr>
          <w:p w:rsidR="00390AE3" w:rsidRPr="001578DD" w:rsidRDefault="0084124C" w:rsidP="00A5252F">
            <w:pPr>
              <w:spacing w:before="60" w:after="60" w:line="240" w:lineRule="auto"/>
              <w:rPr>
                <w:rFonts w:ascii="Times New Roman" w:hAnsi="Times New Roman" w:cs="Times New Roman"/>
              </w:rPr>
            </w:pPr>
            <w:r w:rsidRPr="001578DD">
              <w:rPr>
                <w:rFonts w:ascii="Times New Roman" w:hAnsi="Times New Roman" w:cs="Times New Roman"/>
              </w:rPr>
              <w:t xml:space="preserve">Konieczność uwzględnienia </w:t>
            </w:r>
            <w:r w:rsidR="00390AE3" w:rsidRPr="001578DD">
              <w:rPr>
                <w:rFonts w:ascii="Times New Roman" w:hAnsi="Times New Roman" w:cs="Times New Roman"/>
              </w:rPr>
              <w:t>w</w:t>
            </w:r>
            <w:r w:rsidRPr="001578DD">
              <w:rPr>
                <w:rFonts w:ascii="Times New Roman" w:hAnsi="Times New Roman" w:cs="Times New Roman"/>
              </w:rPr>
              <w:t xml:space="preserve"> </w:t>
            </w:r>
            <w:r w:rsidR="00390AE3" w:rsidRPr="001578DD">
              <w:rPr>
                <w:rFonts w:ascii="Times New Roman" w:hAnsi="Times New Roman" w:cs="Times New Roman"/>
              </w:rPr>
              <w:t>swoich procedurach kontroli wymagań jakościowych paliw stałych.</w:t>
            </w:r>
          </w:p>
          <w:p w:rsidR="00390AE3" w:rsidRPr="001578DD" w:rsidRDefault="00390AE3" w:rsidP="00A5252F">
            <w:pPr>
              <w:spacing w:before="60" w:after="60" w:line="240" w:lineRule="auto"/>
              <w:rPr>
                <w:rFonts w:ascii="Times New Roman" w:hAnsi="Times New Roman" w:cs="Times New Roman"/>
              </w:rPr>
            </w:pPr>
          </w:p>
        </w:tc>
      </w:tr>
      <w:tr w:rsidR="00E153C9" w:rsidRPr="001578DD" w:rsidTr="001578DD">
        <w:trPr>
          <w:trHeight w:val="142"/>
          <w:jc w:val="center"/>
        </w:trPr>
        <w:tc>
          <w:tcPr>
            <w:tcW w:w="2794" w:type="dxa"/>
            <w:gridSpan w:val="4"/>
            <w:shd w:val="clear" w:color="auto" w:fill="auto"/>
            <w:vAlign w:val="center"/>
          </w:tcPr>
          <w:p w:rsidR="00E153C9" w:rsidRPr="001578DD" w:rsidRDefault="00E153C9" w:rsidP="001578DD">
            <w:pPr>
              <w:spacing w:before="60" w:after="60" w:line="240" w:lineRule="auto"/>
              <w:rPr>
                <w:rFonts w:ascii="Times New Roman" w:hAnsi="Times New Roman" w:cs="Times New Roman"/>
              </w:rPr>
            </w:pPr>
            <w:r w:rsidRPr="001578DD">
              <w:rPr>
                <w:rFonts w:ascii="Times New Roman" w:hAnsi="Times New Roman" w:cs="Times New Roman"/>
              </w:rPr>
              <w:t>Nabywcy paliwa stałego innego niż spełniające wymagania</w:t>
            </w:r>
            <w:r w:rsidR="00CE1CF1" w:rsidRPr="001578DD">
              <w:rPr>
                <w:rFonts w:ascii="Times New Roman" w:hAnsi="Times New Roman" w:cs="Times New Roman"/>
              </w:rPr>
              <w:t xml:space="preserve"> określone na podstawie</w:t>
            </w:r>
            <w:r w:rsidR="001C4500">
              <w:rPr>
                <w:rFonts w:ascii="Times New Roman" w:hAnsi="Times New Roman" w:cs="Times New Roman"/>
              </w:rPr>
              <w:t xml:space="preserve"> </w:t>
            </w:r>
            <w:r w:rsidRPr="001578DD">
              <w:rPr>
                <w:rFonts w:ascii="Times New Roman" w:hAnsi="Times New Roman" w:cs="Times New Roman"/>
              </w:rPr>
              <w:t>ustawy</w:t>
            </w:r>
          </w:p>
        </w:tc>
        <w:tc>
          <w:tcPr>
            <w:tcW w:w="2292" w:type="dxa"/>
            <w:gridSpan w:val="8"/>
            <w:shd w:val="clear" w:color="auto" w:fill="auto"/>
            <w:vAlign w:val="center"/>
          </w:tcPr>
          <w:p w:rsidR="00E153C9" w:rsidRPr="001578DD" w:rsidRDefault="00A5252F" w:rsidP="00A5252F">
            <w:pPr>
              <w:spacing w:before="60" w:after="60" w:line="240" w:lineRule="auto"/>
              <w:rPr>
                <w:rFonts w:ascii="Times New Roman" w:hAnsi="Times New Roman" w:cs="Times New Roman"/>
              </w:rPr>
            </w:pPr>
            <w:r>
              <w:rPr>
                <w:rFonts w:ascii="Times New Roman" w:hAnsi="Times New Roman" w:cs="Times New Roman"/>
              </w:rPr>
              <w:t>4812 podmiotów z </w:t>
            </w:r>
            <w:r w:rsidR="00E153C9" w:rsidRPr="001578DD">
              <w:rPr>
                <w:rFonts w:ascii="Times New Roman" w:hAnsi="Times New Roman" w:cs="Times New Roman"/>
              </w:rPr>
              <w:t>przedziału 1</w:t>
            </w:r>
            <w:r>
              <w:rPr>
                <w:rFonts w:ascii="Times New Roman" w:hAnsi="Times New Roman" w:cs="Times New Roman"/>
              </w:rPr>
              <w:t>–</w:t>
            </w:r>
            <w:r w:rsidR="00E153C9" w:rsidRPr="001578DD">
              <w:rPr>
                <w:rFonts w:ascii="Times New Roman" w:hAnsi="Times New Roman" w:cs="Times New Roman"/>
              </w:rPr>
              <w:t>50 MW</w:t>
            </w:r>
            <w:r>
              <w:rPr>
                <w:rFonts w:ascii="Times New Roman" w:hAnsi="Times New Roman" w:cs="Times New Roman"/>
              </w:rPr>
              <w:t xml:space="preserve"> </w:t>
            </w:r>
            <w:r w:rsidR="00E153C9" w:rsidRPr="001578DD">
              <w:rPr>
                <w:rFonts w:ascii="Times New Roman" w:hAnsi="Times New Roman" w:cs="Times New Roman"/>
              </w:rPr>
              <w:t>(</w:t>
            </w:r>
            <w:r>
              <w:rPr>
                <w:rFonts w:ascii="Times New Roman" w:hAnsi="Times New Roman" w:cs="Times New Roman"/>
              </w:rPr>
              <w:t>w tym 3441 z </w:t>
            </w:r>
            <w:r w:rsidR="00E153C9" w:rsidRPr="001578DD">
              <w:rPr>
                <w:rFonts w:ascii="Times New Roman" w:hAnsi="Times New Roman" w:cs="Times New Roman"/>
              </w:rPr>
              <w:t>przedziału 1</w:t>
            </w:r>
            <w:r>
              <w:rPr>
                <w:rFonts w:ascii="Times New Roman" w:hAnsi="Times New Roman" w:cs="Times New Roman"/>
              </w:rPr>
              <w:t>–</w:t>
            </w:r>
            <w:r w:rsidR="00E153C9" w:rsidRPr="001578DD">
              <w:rPr>
                <w:rFonts w:ascii="Times New Roman" w:hAnsi="Times New Roman" w:cs="Times New Roman"/>
              </w:rPr>
              <w:t xml:space="preserve">5 MW, 1253 z przedziału </w:t>
            </w:r>
            <w:r>
              <w:rPr>
                <w:rFonts w:ascii="Times New Roman" w:hAnsi="Times New Roman" w:cs="Times New Roman"/>
              </w:rPr>
              <w:br/>
            </w:r>
            <w:r w:rsidR="00E153C9" w:rsidRPr="001578DD">
              <w:rPr>
                <w:rFonts w:ascii="Times New Roman" w:hAnsi="Times New Roman" w:cs="Times New Roman"/>
              </w:rPr>
              <w:t>5</w:t>
            </w:r>
            <w:r>
              <w:rPr>
                <w:rFonts w:ascii="Times New Roman" w:hAnsi="Times New Roman" w:cs="Times New Roman"/>
              </w:rPr>
              <w:t>–20 MW, 112 z </w:t>
            </w:r>
            <w:r w:rsidR="00E153C9" w:rsidRPr="001578DD">
              <w:rPr>
                <w:rFonts w:ascii="Times New Roman" w:hAnsi="Times New Roman" w:cs="Times New Roman"/>
              </w:rPr>
              <w:t>przedziału 20</w:t>
            </w:r>
            <w:r>
              <w:rPr>
                <w:rFonts w:ascii="Times New Roman" w:hAnsi="Times New Roman" w:cs="Times New Roman"/>
              </w:rPr>
              <w:t>–</w:t>
            </w:r>
            <w:r w:rsidR="00E153C9" w:rsidRPr="001578DD">
              <w:rPr>
                <w:rFonts w:ascii="Times New Roman" w:hAnsi="Times New Roman" w:cs="Times New Roman"/>
              </w:rPr>
              <w:t>50 MW)</w:t>
            </w:r>
          </w:p>
        </w:tc>
        <w:tc>
          <w:tcPr>
            <w:tcW w:w="1592" w:type="dxa"/>
            <w:gridSpan w:val="6"/>
            <w:shd w:val="clear" w:color="auto" w:fill="auto"/>
            <w:vAlign w:val="center"/>
          </w:tcPr>
          <w:p w:rsidR="00E153C9" w:rsidRPr="001578DD" w:rsidRDefault="00E153C9"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Baza KOBIZE</w:t>
            </w:r>
          </w:p>
        </w:tc>
        <w:tc>
          <w:tcPr>
            <w:tcW w:w="3564" w:type="dxa"/>
            <w:gridSpan w:val="11"/>
            <w:shd w:val="clear" w:color="auto" w:fill="auto"/>
          </w:tcPr>
          <w:p w:rsidR="00E153C9" w:rsidRPr="001578DD" w:rsidRDefault="00E153C9" w:rsidP="00A5252F">
            <w:pPr>
              <w:spacing w:before="60" w:after="60" w:line="240" w:lineRule="auto"/>
              <w:rPr>
                <w:rFonts w:ascii="Times New Roman" w:hAnsi="Times New Roman" w:cs="Times New Roman"/>
              </w:rPr>
            </w:pPr>
            <w:r w:rsidRPr="001578DD">
              <w:rPr>
                <w:rFonts w:ascii="Times New Roman" w:hAnsi="Times New Roman" w:cs="Times New Roman"/>
              </w:rPr>
              <w:t>Obowiązek przekazania kopii zaświadczeń o prowadzeniu instalacji jeżeli dokonywaliby oni nabycia paliwa stałego od wprowadzających paliwo stałe, którzy wprowadzają do obrotu paliwo stałe z przeznaczeniem do gospodarstw domowych i instalacji mniejszej niż 1 MW oraz z innym przeznaczeniem.</w:t>
            </w:r>
          </w:p>
        </w:tc>
      </w:tr>
      <w:tr w:rsidR="00390AE3" w:rsidRPr="001578DD" w:rsidTr="001578DD">
        <w:trPr>
          <w:trHeight w:val="142"/>
          <w:jc w:val="center"/>
        </w:trPr>
        <w:tc>
          <w:tcPr>
            <w:tcW w:w="2794" w:type="dxa"/>
            <w:gridSpan w:val="4"/>
            <w:shd w:val="clear" w:color="auto" w:fill="auto"/>
            <w:vAlign w:val="center"/>
          </w:tcPr>
          <w:p w:rsidR="00390AE3" w:rsidRPr="001578DD" w:rsidRDefault="00390AE3" w:rsidP="001578DD">
            <w:pPr>
              <w:spacing w:before="60" w:after="60" w:line="240" w:lineRule="auto"/>
              <w:rPr>
                <w:rFonts w:ascii="Times New Roman" w:hAnsi="Times New Roman" w:cs="Times New Roman"/>
              </w:rPr>
            </w:pPr>
            <w:r w:rsidRPr="001578DD">
              <w:rPr>
                <w:rFonts w:ascii="Times New Roman" w:hAnsi="Times New Roman" w:cs="Times New Roman"/>
              </w:rPr>
              <w:t>Gospodarstwa domowe</w:t>
            </w:r>
          </w:p>
        </w:tc>
        <w:tc>
          <w:tcPr>
            <w:tcW w:w="2292" w:type="dxa"/>
            <w:gridSpan w:val="8"/>
            <w:shd w:val="clear" w:color="auto" w:fill="auto"/>
            <w:vAlign w:val="center"/>
          </w:tcPr>
          <w:p w:rsidR="00390AE3" w:rsidRPr="001578DD" w:rsidRDefault="00390AE3" w:rsidP="00A5252F">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Na 13,</w:t>
            </w:r>
            <w:r w:rsidR="00B2022B" w:rsidRPr="001578DD">
              <w:rPr>
                <w:rFonts w:ascii="Times New Roman" w:hAnsi="Times New Roman" w:cs="Times New Roman"/>
                <w:color w:val="000000"/>
              </w:rPr>
              <w:t>4</w:t>
            </w:r>
            <w:r w:rsidRPr="001578DD">
              <w:rPr>
                <w:rFonts w:ascii="Times New Roman" w:hAnsi="Times New Roman" w:cs="Times New Roman"/>
                <w:color w:val="000000"/>
              </w:rPr>
              <w:t xml:space="preserve"> mln gospodarstw domowych w Polsce 5,5 mln (40,9%) wy</w:t>
            </w:r>
            <w:r w:rsidR="00F33ECE">
              <w:rPr>
                <w:rFonts w:ascii="Times New Roman" w:hAnsi="Times New Roman" w:cs="Times New Roman"/>
                <w:color w:val="000000"/>
              </w:rPr>
              <w:t>korzystuje węgiel kamienny, a w </w:t>
            </w:r>
            <w:r w:rsidRPr="001578DD">
              <w:rPr>
                <w:rFonts w:ascii="Times New Roman" w:hAnsi="Times New Roman" w:cs="Times New Roman"/>
                <w:color w:val="000000"/>
              </w:rPr>
              <w:t>tym</w:t>
            </w:r>
            <w:r w:rsidR="00833625" w:rsidRPr="001578DD">
              <w:rPr>
                <w:rFonts w:ascii="Times New Roman" w:hAnsi="Times New Roman" w:cs="Times New Roman"/>
                <w:color w:val="000000"/>
              </w:rPr>
              <w:t xml:space="preserve"> </w:t>
            </w:r>
            <w:r w:rsidRPr="001578DD">
              <w:rPr>
                <w:rFonts w:ascii="Times New Roman" w:hAnsi="Times New Roman" w:cs="Times New Roman"/>
                <w:color w:val="000000"/>
              </w:rPr>
              <w:t>do celów:</w:t>
            </w:r>
          </w:p>
          <w:p w:rsidR="00390AE3" w:rsidRPr="001578DD" w:rsidRDefault="00A5252F" w:rsidP="00F33ECE">
            <w:pPr>
              <w:spacing w:after="0" w:line="240" w:lineRule="auto"/>
              <w:ind w:left="181" w:hanging="181"/>
              <w:rPr>
                <w:rFonts w:ascii="Times New Roman" w:hAnsi="Times New Roman" w:cs="Times New Roman"/>
                <w:color w:val="000000"/>
              </w:rPr>
            </w:pPr>
            <w:r>
              <w:rPr>
                <w:rFonts w:ascii="Times New Roman" w:hAnsi="Times New Roman" w:cs="Times New Roman"/>
                <w:color w:val="000000"/>
              </w:rPr>
              <w:t>–</w:t>
            </w:r>
            <w:r w:rsidR="00F33ECE">
              <w:rPr>
                <w:rFonts w:ascii="Times New Roman" w:hAnsi="Times New Roman" w:cs="Times New Roman"/>
                <w:color w:val="000000"/>
              </w:rPr>
              <w:tab/>
            </w:r>
            <w:r>
              <w:rPr>
                <w:rFonts w:ascii="Times New Roman" w:hAnsi="Times New Roman" w:cs="Times New Roman"/>
                <w:color w:val="000000"/>
              </w:rPr>
              <w:t>ogrzewanie pomieszczeń 40,84</w:t>
            </w:r>
            <w:r w:rsidR="00390AE3" w:rsidRPr="001578DD">
              <w:rPr>
                <w:rFonts w:ascii="Times New Roman" w:hAnsi="Times New Roman" w:cs="Times New Roman"/>
                <w:color w:val="000000"/>
              </w:rPr>
              <w:t>%,</w:t>
            </w:r>
          </w:p>
          <w:p w:rsidR="00390AE3" w:rsidRPr="001578DD" w:rsidRDefault="00A5252F" w:rsidP="00F33ECE">
            <w:pPr>
              <w:spacing w:after="0" w:line="240" w:lineRule="auto"/>
              <w:ind w:left="181" w:hanging="181"/>
              <w:rPr>
                <w:rFonts w:ascii="Times New Roman" w:hAnsi="Times New Roman" w:cs="Times New Roman"/>
                <w:color w:val="000000"/>
              </w:rPr>
            </w:pPr>
            <w:r>
              <w:rPr>
                <w:rFonts w:ascii="Times New Roman" w:hAnsi="Times New Roman" w:cs="Times New Roman"/>
                <w:color w:val="000000"/>
              </w:rPr>
              <w:t>–</w:t>
            </w:r>
            <w:r w:rsidR="00F33ECE">
              <w:rPr>
                <w:rFonts w:ascii="Times New Roman" w:hAnsi="Times New Roman" w:cs="Times New Roman"/>
                <w:color w:val="000000"/>
              </w:rPr>
              <w:tab/>
            </w:r>
            <w:r w:rsidR="00390AE3" w:rsidRPr="001578DD">
              <w:rPr>
                <w:rFonts w:ascii="Times New Roman" w:hAnsi="Times New Roman" w:cs="Times New Roman"/>
                <w:color w:val="000000"/>
              </w:rPr>
              <w:t>ogrzewanie wody 28,33%</w:t>
            </w:r>
            <w:r w:rsidR="003D6BCB">
              <w:rPr>
                <w:rFonts w:ascii="Times New Roman" w:hAnsi="Times New Roman" w:cs="Times New Roman"/>
                <w:color w:val="000000"/>
              </w:rPr>
              <w:t>,</w:t>
            </w:r>
          </w:p>
          <w:p w:rsidR="00390AE3" w:rsidRPr="001578DD" w:rsidRDefault="00A5252F" w:rsidP="00F33ECE">
            <w:pPr>
              <w:spacing w:after="0" w:line="240" w:lineRule="auto"/>
              <w:ind w:left="181" w:hanging="181"/>
              <w:rPr>
                <w:rFonts w:ascii="Times New Roman" w:hAnsi="Times New Roman" w:cs="Times New Roman"/>
                <w:color w:val="000000"/>
              </w:rPr>
            </w:pPr>
            <w:r>
              <w:rPr>
                <w:rFonts w:ascii="Times New Roman" w:hAnsi="Times New Roman" w:cs="Times New Roman"/>
                <w:color w:val="000000"/>
              </w:rPr>
              <w:t>–</w:t>
            </w:r>
            <w:r w:rsidR="00F33ECE">
              <w:rPr>
                <w:rFonts w:ascii="Times New Roman" w:hAnsi="Times New Roman" w:cs="Times New Roman"/>
                <w:color w:val="000000"/>
              </w:rPr>
              <w:tab/>
            </w:r>
            <w:r w:rsidR="00390AE3" w:rsidRPr="001578DD">
              <w:rPr>
                <w:rFonts w:ascii="Times New Roman" w:hAnsi="Times New Roman" w:cs="Times New Roman"/>
                <w:color w:val="000000"/>
              </w:rPr>
              <w:t>gotowanie posiłków 6%</w:t>
            </w:r>
          </w:p>
        </w:tc>
        <w:tc>
          <w:tcPr>
            <w:tcW w:w="1592" w:type="dxa"/>
            <w:gridSpan w:val="6"/>
            <w:shd w:val="clear" w:color="auto" w:fill="auto"/>
            <w:vAlign w:val="center"/>
          </w:tcPr>
          <w:p w:rsidR="00390AE3" w:rsidRPr="001578DD" w:rsidRDefault="00390AE3" w:rsidP="001578DD">
            <w:pPr>
              <w:spacing w:before="60" w:after="60" w:line="240" w:lineRule="auto"/>
              <w:jc w:val="center"/>
              <w:rPr>
                <w:rFonts w:ascii="Times New Roman" w:hAnsi="Times New Roman" w:cs="Times New Roman"/>
              </w:rPr>
            </w:pPr>
            <w:r w:rsidRPr="001578DD">
              <w:rPr>
                <w:rFonts w:ascii="Times New Roman" w:hAnsi="Times New Roman" w:cs="Times New Roman"/>
                <w:color w:val="000000"/>
              </w:rPr>
              <w:t>GUS</w:t>
            </w:r>
          </w:p>
        </w:tc>
        <w:tc>
          <w:tcPr>
            <w:tcW w:w="3564" w:type="dxa"/>
            <w:gridSpan w:val="11"/>
            <w:shd w:val="clear" w:color="auto" w:fill="auto"/>
          </w:tcPr>
          <w:p w:rsidR="00390AE3" w:rsidRPr="001578DD" w:rsidRDefault="0084124C" w:rsidP="001578DD">
            <w:pPr>
              <w:spacing w:before="60" w:after="60" w:line="240" w:lineRule="auto"/>
              <w:rPr>
                <w:rFonts w:ascii="Times New Roman" w:hAnsi="Times New Roman" w:cs="Times New Roman"/>
              </w:rPr>
            </w:pPr>
            <w:r w:rsidRPr="001578DD">
              <w:rPr>
                <w:rFonts w:ascii="Times New Roman" w:hAnsi="Times New Roman" w:cs="Times New Roman"/>
              </w:rPr>
              <w:t>U</w:t>
            </w:r>
            <w:r w:rsidR="00390AE3" w:rsidRPr="001578DD">
              <w:rPr>
                <w:rFonts w:ascii="Times New Roman" w:hAnsi="Times New Roman" w:cs="Times New Roman"/>
              </w:rPr>
              <w:t>porządkuje rynek paliw stałych przez ustalenie standardów uczciwości sprzedawców i jakości towaru.</w:t>
            </w:r>
          </w:p>
          <w:p w:rsidR="00390AE3" w:rsidRPr="001578DD" w:rsidRDefault="00390AE3" w:rsidP="001578DD">
            <w:pPr>
              <w:spacing w:before="60" w:after="60" w:line="240" w:lineRule="auto"/>
              <w:rPr>
                <w:rFonts w:ascii="Times New Roman" w:hAnsi="Times New Roman" w:cs="Times New Roman"/>
              </w:rPr>
            </w:pPr>
            <w:r w:rsidRPr="001578DD">
              <w:rPr>
                <w:rFonts w:ascii="Times New Roman" w:hAnsi="Times New Roman" w:cs="Times New Roman"/>
              </w:rPr>
              <w:t>Stosowanie paliw stałych spełniających wymagania jakościowe do celów grzewczych wpłynie na poprawę</w:t>
            </w:r>
            <w:r w:rsidR="00F33ECE">
              <w:rPr>
                <w:rFonts w:ascii="Times New Roman" w:hAnsi="Times New Roman" w:cs="Times New Roman"/>
              </w:rPr>
              <w:t xml:space="preserve"> jakości powietrza w Polsce</w:t>
            </w:r>
            <w:r w:rsidR="001C4500">
              <w:rPr>
                <w:rFonts w:ascii="Times New Roman" w:hAnsi="Times New Roman" w:cs="Times New Roman"/>
              </w:rPr>
              <w:t>,</w:t>
            </w:r>
            <w:r w:rsidR="00F33ECE">
              <w:rPr>
                <w:rFonts w:ascii="Times New Roman" w:hAnsi="Times New Roman" w:cs="Times New Roman"/>
              </w:rPr>
              <w:t xml:space="preserve"> tj. </w:t>
            </w:r>
            <w:r w:rsidRPr="001578DD">
              <w:rPr>
                <w:rFonts w:ascii="Times New Roman" w:hAnsi="Times New Roman" w:cs="Times New Roman"/>
              </w:rPr>
              <w:t>redukcję tzw. emisji niskiej.</w:t>
            </w:r>
          </w:p>
        </w:tc>
      </w:tr>
      <w:tr w:rsidR="00390AE3" w:rsidRPr="001578DD" w:rsidTr="001578DD">
        <w:trPr>
          <w:trHeight w:val="302"/>
          <w:jc w:val="center"/>
        </w:trPr>
        <w:tc>
          <w:tcPr>
            <w:tcW w:w="10242" w:type="dxa"/>
            <w:gridSpan w:val="29"/>
            <w:shd w:val="clear" w:color="auto" w:fill="99CCFF"/>
            <w:vAlign w:val="center"/>
          </w:tcPr>
          <w:p w:rsidR="00390AE3" w:rsidRPr="001578DD" w:rsidRDefault="00390AE3" w:rsidP="001578DD">
            <w:pPr>
              <w:numPr>
                <w:ilvl w:val="0"/>
                <w:numId w:val="1"/>
              </w:numPr>
              <w:spacing w:before="60" w:after="60" w:line="240" w:lineRule="auto"/>
              <w:ind w:left="318" w:hanging="284"/>
              <w:jc w:val="both"/>
              <w:rPr>
                <w:rFonts w:ascii="Times New Roman" w:hAnsi="Times New Roman" w:cs="Times New Roman"/>
                <w:b/>
                <w:color w:val="000000"/>
              </w:rPr>
            </w:pPr>
            <w:r w:rsidRPr="001578DD">
              <w:rPr>
                <w:rFonts w:ascii="Times New Roman" w:hAnsi="Times New Roman" w:cs="Times New Roman"/>
                <w:b/>
                <w:color w:val="000000"/>
              </w:rPr>
              <w:t>Informacje na temat zakresu, czasu trwania i podsumowanie wyników konsultacji</w:t>
            </w:r>
          </w:p>
        </w:tc>
      </w:tr>
      <w:tr w:rsidR="00390AE3" w:rsidRPr="001578DD" w:rsidTr="001578DD">
        <w:trPr>
          <w:trHeight w:val="342"/>
          <w:jc w:val="center"/>
        </w:trPr>
        <w:tc>
          <w:tcPr>
            <w:tcW w:w="10242" w:type="dxa"/>
            <w:gridSpan w:val="29"/>
            <w:shd w:val="clear" w:color="auto" w:fill="FFFFFF"/>
          </w:tcPr>
          <w:p w:rsidR="00390AE3" w:rsidRDefault="00310B98" w:rsidP="001578DD">
            <w:pPr>
              <w:spacing w:before="60" w:after="60" w:line="240" w:lineRule="auto"/>
              <w:jc w:val="both"/>
              <w:rPr>
                <w:rFonts w:ascii="Times New Roman" w:hAnsi="Times New Roman" w:cs="Times New Roman"/>
                <w:color w:val="000000"/>
              </w:rPr>
            </w:pPr>
            <w:r w:rsidRPr="001578DD">
              <w:rPr>
                <w:rFonts w:ascii="Times New Roman" w:hAnsi="Times New Roman" w:cs="Times New Roman"/>
                <w:color w:val="000000"/>
              </w:rPr>
              <w:t>W dniach od 31 stycznia do 21 lutego 2017 r. odbyły się konsultacje społeczne i</w:t>
            </w:r>
            <w:r w:rsidR="00A5252F">
              <w:rPr>
                <w:rFonts w:ascii="Times New Roman" w:hAnsi="Times New Roman" w:cs="Times New Roman"/>
                <w:color w:val="000000"/>
              </w:rPr>
              <w:t xml:space="preserve"> </w:t>
            </w:r>
            <w:r w:rsidRPr="001578DD">
              <w:rPr>
                <w:rFonts w:ascii="Times New Roman" w:hAnsi="Times New Roman" w:cs="Times New Roman"/>
                <w:color w:val="000000"/>
              </w:rPr>
              <w:t>uzgodnienia międzyresortowe projektu ustawy. Jednocześnie projekt został udostępniony na stronach Rządowego Centrum Legislacji. Termin</w:t>
            </w:r>
            <w:r w:rsidR="00B0513A" w:rsidRPr="001578DD">
              <w:rPr>
                <w:rFonts w:ascii="Times New Roman" w:hAnsi="Times New Roman" w:cs="Times New Roman"/>
                <w:color w:val="000000"/>
              </w:rPr>
              <w:t xml:space="preserve"> konsultacji</w:t>
            </w:r>
            <w:r w:rsidRPr="001578DD">
              <w:rPr>
                <w:rFonts w:ascii="Times New Roman" w:hAnsi="Times New Roman" w:cs="Times New Roman"/>
                <w:color w:val="000000"/>
              </w:rPr>
              <w:t xml:space="preserve"> krótszy niż 30 dni </w:t>
            </w:r>
            <w:r w:rsidR="00B0513A" w:rsidRPr="001578DD">
              <w:rPr>
                <w:rFonts w:ascii="Times New Roman" w:hAnsi="Times New Roman" w:cs="Times New Roman"/>
                <w:color w:val="000000"/>
              </w:rPr>
              <w:t>wynika</w:t>
            </w:r>
            <w:r w:rsidR="00F54E2B">
              <w:rPr>
                <w:rFonts w:ascii="Times New Roman" w:hAnsi="Times New Roman" w:cs="Times New Roman"/>
                <w:color w:val="000000"/>
              </w:rPr>
              <w:t>ł</w:t>
            </w:r>
            <w:r w:rsidR="00B0513A" w:rsidRPr="001578DD">
              <w:rPr>
                <w:rFonts w:ascii="Times New Roman" w:hAnsi="Times New Roman" w:cs="Times New Roman"/>
                <w:color w:val="000000"/>
              </w:rPr>
              <w:t xml:space="preserve"> z</w:t>
            </w:r>
            <w:r w:rsidR="00833625" w:rsidRPr="001578DD">
              <w:rPr>
                <w:rFonts w:ascii="Times New Roman" w:hAnsi="Times New Roman" w:cs="Times New Roman"/>
                <w:color w:val="000000"/>
              </w:rPr>
              <w:t xml:space="preserve"> </w:t>
            </w:r>
            <w:r w:rsidR="00B0513A" w:rsidRPr="001578DD">
              <w:rPr>
                <w:rFonts w:ascii="Times New Roman" w:hAnsi="Times New Roman" w:cs="Times New Roman"/>
                <w:color w:val="000000"/>
              </w:rPr>
              <w:t>ważnego interesu publicznego</w:t>
            </w:r>
            <w:r w:rsidRPr="001578DD">
              <w:rPr>
                <w:rFonts w:ascii="Times New Roman" w:hAnsi="Times New Roman" w:cs="Times New Roman"/>
                <w:color w:val="000000"/>
              </w:rPr>
              <w:t>, jakim jest szybkie wprowadzenie projektowanych regulacji. Do ustawy zgłoszono 151 uwag. W dniu 23</w:t>
            </w:r>
            <w:r w:rsidR="00A5252F">
              <w:rPr>
                <w:rFonts w:ascii="Times New Roman" w:hAnsi="Times New Roman" w:cs="Times New Roman"/>
                <w:color w:val="000000"/>
              </w:rPr>
              <w:t xml:space="preserve"> </w:t>
            </w:r>
            <w:r w:rsidRPr="001578DD">
              <w:rPr>
                <w:rFonts w:ascii="Times New Roman" w:hAnsi="Times New Roman" w:cs="Times New Roman"/>
                <w:color w:val="000000"/>
              </w:rPr>
              <w:t>marca br. odbyła się konferencja uzgodnieniowa.</w:t>
            </w:r>
            <w:r w:rsidR="00395F80" w:rsidRPr="001578DD">
              <w:rPr>
                <w:rFonts w:ascii="Times New Roman" w:hAnsi="Times New Roman" w:cs="Times New Roman"/>
                <w:color w:val="000000"/>
              </w:rPr>
              <w:t xml:space="preserve"> Raport z konsultacji stanowi załącznik do OSR.</w:t>
            </w:r>
          </w:p>
          <w:p w:rsidR="00EF435A" w:rsidRPr="001578DD" w:rsidRDefault="00EF435A" w:rsidP="001578DD">
            <w:pPr>
              <w:spacing w:before="60" w:after="60" w:line="240" w:lineRule="auto"/>
              <w:jc w:val="both"/>
              <w:rPr>
                <w:rFonts w:ascii="Times New Roman" w:hAnsi="Times New Roman" w:cs="Times New Roman"/>
                <w:color w:val="000000"/>
              </w:rPr>
            </w:pPr>
          </w:p>
        </w:tc>
      </w:tr>
      <w:tr w:rsidR="00390AE3" w:rsidRPr="001578DD" w:rsidTr="001578DD">
        <w:trPr>
          <w:trHeight w:val="363"/>
          <w:jc w:val="center"/>
        </w:trPr>
        <w:tc>
          <w:tcPr>
            <w:tcW w:w="10242" w:type="dxa"/>
            <w:gridSpan w:val="29"/>
            <w:shd w:val="clear" w:color="auto" w:fill="99CCFF"/>
            <w:vAlign w:val="center"/>
          </w:tcPr>
          <w:p w:rsidR="00390AE3" w:rsidRPr="001578DD" w:rsidRDefault="00390AE3" w:rsidP="001578DD">
            <w:pPr>
              <w:numPr>
                <w:ilvl w:val="0"/>
                <w:numId w:val="1"/>
              </w:numPr>
              <w:spacing w:before="60" w:after="60" w:line="240" w:lineRule="auto"/>
              <w:ind w:left="318" w:hanging="284"/>
              <w:jc w:val="both"/>
              <w:rPr>
                <w:rFonts w:ascii="Times New Roman" w:hAnsi="Times New Roman" w:cs="Times New Roman"/>
                <w:b/>
                <w:color w:val="000000"/>
              </w:rPr>
            </w:pPr>
            <w:r w:rsidRPr="001578DD">
              <w:rPr>
                <w:rFonts w:ascii="Times New Roman" w:hAnsi="Times New Roman" w:cs="Times New Roman"/>
                <w:b/>
                <w:color w:val="000000"/>
              </w:rPr>
              <w:lastRenderedPageBreak/>
              <w:t>Wpływ na sektor finansów publicznych</w:t>
            </w:r>
          </w:p>
        </w:tc>
      </w:tr>
      <w:tr w:rsidR="00390AE3" w:rsidRPr="001578DD" w:rsidTr="001578DD">
        <w:trPr>
          <w:trHeight w:val="142"/>
          <w:jc w:val="center"/>
        </w:trPr>
        <w:tc>
          <w:tcPr>
            <w:tcW w:w="2331" w:type="dxa"/>
            <w:gridSpan w:val="2"/>
            <w:vMerge w:val="restart"/>
            <w:shd w:val="clear" w:color="auto" w:fill="FFFFFF"/>
          </w:tcPr>
          <w:p w:rsidR="00390AE3" w:rsidRPr="001578DD" w:rsidRDefault="00390AE3" w:rsidP="001578DD">
            <w:pPr>
              <w:spacing w:before="60" w:after="60" w:line="240" w:lineRule="auto"/>
              <w:rPr>
                <w:rFonts w:ascii="Times New Roman" w:hAnsi="Times New Roman" w:cs="Times New Roman"/>
                <w:i/>
                <w:color w:val="000000"/>
              </w:rPr>
            </w:pPr>
            <w:r w:rsidRPr="001578DD">
              <w:rPr>
                <w:rFonts w:ascii="Times New Roman" w:hAnsi="Times New Roman" w:cs="Times New Roman"/>
                <w:color w:val="000000"/>
              </w:rPr>
              <w:t xml:space="preserve">(ceny stałe z </w:t>
            </w:r>
            <w:r w:rsidR="008925A5" w:rsidRPr="001578DD">
              <w:rPr>
                <w:rFonts w:ascii="Times New Roman" w:hAnsi="Times New Roman" w:cs="Times New Roman"/>
                <w:color w:val="000000"/>
              </w:rPr>
              <w:t xml:space="preserve">2015 </w:t>
            </w:r>
            <w:r w:rsidRPr="001578DD">
              <w:rPr>
                <w:rFonts w:ascii="Times New Roman" w:hAnsi="Times New Roman" w:cs="Times New Roman"/>
                <w:color w:val="000000"/>
              </w:rPr>
              <w:t>r.)</w:t>
            </w:r>
          </w:p>
        </w:tc>
        <w:tc>
          <w:tcPr>
            <w:tcW w:w="7911" w:type="dxa"/>
            <w:gridSpan w:val="27"/>
            <w:shd w:val="clear" w:color="auto" w:fill="FFFFFF"/>
          </w:tcPr>
          <w:p w:rsidR="00390AE3" w:rsidRPr="001578DD" w:rsidRDefault="00390AE3" w:rsidP="001578DD">
            <w:pPr>
              <w:spacing w:before="60" w:after="60" w:line="240" w:lineRule="auto"/>
              <w:jc w:val="center"/>
              <w:rPr>
                <w:rFonts w:ascii="Times New Roman" w:hAnsi="Times New Roman" w:cs="Times New Roman"/>
                <w:i/>
                <w:color w:val="000000"/>
              </w:rPr>
            </w:pPr>
            <w:r w:rsidRPr="001578DD">
              <w:rPr>
                <w:rFonts w:ascii="Times New Roman" w:hAnsi="Times New Roman" w:cs="Times New Roman"/>
                <w:color w:val="000000"/>
              </w:rPr>
              <w:t>Skutki w okresie 10 lat od wejścia w życie zmian [mln zł]</w:t>
            </w:r>
          </w:p>
        </w:tc>
      </w:tr>
      <w:tr w:rsidR="000F3E33" w:rsidRPr="001578DD" w:rsidTr="001578DD">
        <w:trPr>
          <w:trHeight w:val="142"/>
          <w:jc w:val="center"/>
        </w:trPr>
        <w:tc>
          <w:tcPr>
            <w:tcW w:w="2331" w:type="dxa"/>
            <w:gridSpan w:val="2"/>
            <w:vMerge/>
            <w:shd w:val="clear" w:color="auto" w:fill="FFFFFF"/>
          </w:tcPr>
          <w:p w:rsidR="00390AE3" w:rsidRPr="001578DD" w:rsidRDefault="00390AE3" w:rsidP="001578DD">
            <w:pPr>
              <w:spacing w:before="60" w:after="60" w:line="240" w:lineRule="auto"/>
              <w:rPr>
                <w:rFonts w:ascii="Times New Roman" w:hAnsi="Times New Roman" w:cs="Times New Roman"/>
                <w:i/>
                <w:color w:val="000000"/>
              </w:rPr>
            </w:pPr>
          </w:p>
        </w:tc>
        <w:tc>
          <w:tcPr>
            <w:tcW w:w="563" w:type="dxa"/>
            <w:gridSpan w:val="3"/>
            <w:shd w:val="clear" w:color="auto" w:fill="FFFFFF"/>
          </w:tcPr>
          <w:p w:rsidR="00390AE3" w:rsidRPr="001578DD" w:rsidRDefault="00390AE3"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72" w:type="dxa"/>
            <w:shd w:val="clear" w:color="auto" w:fill="FFFFFF"/>
          </w:tcPr>
          <w:p w:rsidR="00390AE3" w:rsidRPr="001578DD" w:rsidRDefault="00390AE3"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1</w:t>
            </w:r>
          </w:p>
        </w:tc>
        <w:tc>
          <w:tcPr>
            <w:tcW w:w="714" w:type="dxa"/>
            <w:gridSpan w:val="3"/>
            <w:shd w:val="clear" w:color="auto" w:fill="FFFFFF"/>
          </w:tcPr>
          <w:p w:rsidR="00390AE3" w:rsidRPr="001578DD" w:rsidRDefault="00390AE3"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w:t>
            </w:r>
          </w:p>
        </w:tc>
        <w:tc>
          <w:tcPr>
            <w:tcW w:w="708" w:type="dxa"/>
            <w:gridSpan w:val="2"/>
            <w:shd w:val="clear" w:color="auto" w:fill="FFFFFF"/>
          </w:tcPr>
          <w:p w:rsidR="00390AE3" w:rsidRPr="001578DD" w:rsidRDefault="00390AE3"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w:t>
            </w:r>
          </w:p>
        </w:tc>
        <w:tc>
          <w:tcPr>
            <w:tcW w:w="709" w:type="dxa"/>
            <w:gridSpan w:val="3"/>
            <w:shd w:val="clear" w:color="auto" w:fill="FFFFFF"/>
          </w:tcPr>
          <w:p w:rsidR="00390AE3" w:rsidRPr="001578DD" w:rsidRDefault="00390AE3"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4</w:t>
            </w:r>
          </w:p>
        </w:tc>
        <w:tc>
          <w:tcPr>
            <w:tcW w:w="567" w:type="dxa"/>
            <w:gridSpan w:val="2"/>
            <w:shd w:val="clear" w:color="auto" w:fill="FFFFFF"/>
          </w:tcPr>
          <w:p w:rsidR="00390AE3" w:rsidRPr="001578DD" w:rsidRDefault="00390AE3"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5</w:t>
            </w:r>
          </w:p>
        </w:tc>
        <w:tc>
          <w:tcPr>
            <w:tcW w:w="567" w:type="dxa"/>
            <w:gridSpan w:val="3"/>
            <w:shd w:val="clear" w:color="auto" w:fill="FFFFFF"/>
          </w:tcPr>
          <w:p w:rsidR="00390AE3" w:rsidRPr="001578DD" w:rsidRDefault="00390AE3"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6</w:t>
            </w:r>
          </w:p>
        </w:tc>
        <w:tc>
          <w:tcPr>
            <w:tcW w:w="562" w:type="dxa"/>
            <w:gridSpan w:val="3"/>
            <w:shd w:val="clear" w:color="auto" w:fill="FFFFFF"/>
          </w:tcPr>
          <w:p w:rsidR="00390AE3" w:rsidRPr="001578DD" w:rsidRDefault="00390AE3"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7</w:t>
            </w:r>
          </w:p>
        </w:tc>
        <w:tc>
          <w:tcPr>
            <w:tcW w:w="709" w:type="dxa"/>
            <w:gridSpan w:val="2"/>
            <w:shd w:val="clear" w:color="auto" w:fill="FFFFFF"/>
          </w:tcPr>
          <w:p w:rsidR="00390AE3" w:rsidRPr="001578DD" w:rsidRDefault="00390AE3"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8</w:t>
            </w:r>
          </w:p>
        </w:tc>
        <w:tc>
          <w:tcPr>
            <w:tcW w:w="709" w:type="dxa"/>
            <w:gridSpan w:val="2"/>
            <w:shd w:val="clear" w:color="auto" w:fill="FFFFFF"/>
          </w:tcPr>
          <w:p w:rsidR="00390AE3" w:rsidRPr="001578DD" w:rsidRDefault="00390AE3"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9</w:t>
            </w:r>
          </w:p>
        </w:tc>
        <w:tc>
          <w:tcPr>
            <w:tcW w:w="647" w:type="dxa"/>
            <w:gridSpan w:val="2"/>
            <w:shd w:val="clear" w:color="auto" w:fill="FFFFFF"/>
          </w:tcPr>
          <w:p w:rsidR="00390AE3" w:rsidRPr="001578DD" w:rsidRDefault="00390AE3"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10</w:t>
            </w:r>
          </w:p>
        </w:tc>
        <w:tc>
          <w:tcPr>
            <w:tcW w:w="884" w:type="dxa"/>
            <w:shd w:val="clear" w:color="auto" w:fill="FFFFFF"/>
          </w:tcPr>
          <w:p w:rsidR="00390AE3" w:rsidRPr="001578DD" w:rsidRDefault="001578DD" w:rsidP="001578DD">
            <w:pPr>
              <w:spacing w:before="60" w:after="60" w:line="240" w:lineRule="auto"/>
              <w:jc w:val="center"/>
              <w:rPr>
                <w:rFonts w:ascii="Times New Roman" w:hAnsi="Times New Roman" w:cs="Times New Roman"/>
                <w:color w:val="000000"/>
              </w:rPr>
            </w:pPr>
            <w:r>
              <w:rPr>
                <w:rFonts w:ascii="Times New Roman" w:hAnsi="Times New Roman" w:cs="Times New Roman"/>
                <w:color w:val="000000"/>
              </w:rPr>
              <w:t>Łącznie (0–</w:t>
            </w:r>
            <w:r w:rsidR="00390AE3" w:rsidRPr="001578DD">
              <w:rPr>
                <w:rFonts w:ascii="Times New Roman" w:hAnsi="Times New Roman" w:cs="Times New Roman"/>
                <w:color w:val="000000"/>
              </w:rPr>
              <w:t>10)</w:t>
            </w:r>
          </w:p>
        </w:tc>
      </w:tr>
      <w:tr w:rsidR="000769A3" w:rsidRPr="001578DD" w:rsidTr="001578DD">
        <w:trPr>
          <w:trHeight w:val="321"/>
          <w:jc w:val="center"/>
        </w:trPr>
        <w:tc>
          <w:tcPr>
            <w:tcW w:w="2331" w:type="dxa"/>
            <w:gridSpan w:val="2"/>
            <w:shd w:val="clear" w:color="auto" w:fill="FFFFFF"/>
            <w:vAlign w:val="center"/>
          </w:tcPr>
          <w:p w:rsidR="00C4617D" w:rsidRPr="001578DD" w:rsidRDefault="00C4617D" w:rsidP="001578DD">
            <w:pPr>
              <w:spacing w:before="60" w:after="60" w:line="240" w:lineRule="auto"/>
              <w:rPr>
                <w:rFonts w:ascii="Times New Roman" w:hAnsi="Times New Roman" w:cs="Times New Roman"/>
                <w:color w:val="000000"/>
              </w:rPr>
            </w:pPr>
            <w:r w:rsidRPr="001578DD">
              <w:rPr>
                <w:rFonts w:ascii="Times New Roman" w:hAnsi="Times New Roman" w:cs="Times New Roman"/>
                <w:b/>
                <w:color w:val="000000"/>
              </w:rPr>
              <w:t>Dochody ogółem</w:t>
            </w:r>
          </w:p>
        </w:tc>
        <w:tc>
          <w:tcPr>
            <w:tcW w:w="563"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72" w:type="dxa"/>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14"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8"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7"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7"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2"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647"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884" w:type="dxa"/>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r>
      <w:tr w:rsidR="000769A3" w:rsidRPr="001578DD" w:rsidTr="001578DD">
        <w:trPr>
          <w:trHeight w:val="321"/>
          <w:jc w:val="center"/>
        </w:trPr>
        <w:tc>
          <w:tcPr>
            <w:tcW w:w="2331" w:type="dxa"/>
            <w:gridSpan w:val="2"/>
            <w:shd w:val="clear" w:color="auto" w:fill="FFFFFF"/>
            <w:vAlign w:val="center"/>
          </w:tcPr>
          <w:p w:rsidR="00C4617D" w:rsidRPr="001578DD" w:rsidRDefault="00C4617D"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budżet państwa</w:t>
            </w:r>
          </w:p>
        </w:tc>
        <w:tc>
          <w:tcPr>
            <w:tcW w:w="563"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72" w:type="dxa"/>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14"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8"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7"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7"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2"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647"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884" w:type="dxa"/>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r>
      <w:tr w:rsidR="000769A3" w:rsidRPr="001578DD" w:rsidTr="001578DD">
        <w:trPr>
          <w:trHeight w:val="344"/>
          <w:jc w:val="center"/>
        </w:trPr>
        <w:tc>
          <w:tcPr>
            <w:tcW w:w="2331" w:type="dxa"/>
            <w:gridSpan w:val="2"/>
            <w:shd w:val="clear" w:color="auto" w:fill="FFFFFF"/>
            <w:vAlign w:val="center"/>
          </w:tcPr>
          <w:p w:rsidR="00C4617D" w:rsidRPr="001578DD" w:rsidRDefault="00C4617D"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JST</w:t>
            </w:r>
          </w:p>
        </w:tc>
        <w:tc>
          <w:tcPr>
            <w:tcW w:w="563"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72" w:type="dxa"/>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14"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8"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7"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7"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2"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647"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884" w:type="dxa"/>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r>
      <w:tr w:rsidR="000769A3" w:rsidRPr="001578DD" w:rsidTr="001578DD">
        <w:trPr>
          <w:trHeight w:val="344"/>
          <w:jc w:val="center"/>
        </w:trPr>
        <w:tc>
          <w:tcPr>
            <w:tcW w:w="2331" w:type="dxa"/>
            <w:gridSpan w:val="2"/>
            <w:shd w:val="clear" w:color="auto" w:fill="FFFFFF"/>
            <w:vAlign w:val="center"/>
          </w:tcPr>
          <w:p w:rsidR="00C4617D" w:rsidRPr="001578DD" w:rsidRDefault="00C4617D"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pozostałe jednostki (oddzielnie)</w:t>
            </w:r>
          </w:p>
        </w:tc>
        <w:tc>
          <w:tcPr>
            <w:tcW w:w="563"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72" w:type="dxa"/>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14"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8"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7"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7"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2"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647"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884" w:type="dxa"/>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r>
      <w:tr w:rsidR="004E5D0A" w:rsidRPr="001578DD" w:rsidTr="001578DD">
        <w:trPr>
          <w:trHeight w:val="330"/>
          <w:jc w:val="center"/>
        </w:trPr>
        <w:tc>
          <w:tcPr>
            <w:tcW w:w="2331" w:type="dxa"/>
            <w:gridSpan w:val="2"/>
            <w:shd w:val="clear" w:color="auto" w:fill="FFFFFF"/>
            <w:vAlign w:val="center"/>
          </w:tcPr>
          <w:p w:rsidR="004E5D0A" w:rsidRPr="001578DD" w:rsidRDefault="004E5D0A" w:rsidP="001578DD">
            <w:pPr>
              <w:spacing w:before="60" w:after="60" w:line="240" w:lineRule="auto"/>
              <w:rPr>
                <w:rFonts w:ascii="Times New Roman" w:hAnsi="Times New Roman" w:cs="Times New Roman"/>
                <w:color w:val="000000"/>
              </w:rPr>
            </w:pPr>
            <w:r w:rsidRPr="001578DD">
              <w:rPr>
                <w:rFonts w:ascii="Times New Roman" w:hAnsi="Times New Roman" w:cs="Times New Roman"/>
                <w:b/>
                <w:color w:val="000000"/>
              </w:rPr>
              <w:t>Wydatki ogółem</w:t>
            </w:r>
          </w:p>
        </w:tc>
        <w:tc>
          <w:tcPr>
            <w:tcW w:w="563" w:type="dxa"/>
            <w:gridSpan w:val="3"/>
            <w:shd w:val="clear" w:color="auto" w:fill="FFFFFF"/>
            <w:vAlign w:val="center"/>
          </w:tcPr>
          <w:p w:rsidR="004E5D0A" w:rsidRPr="001578DD" w:rsidRDefault="00CF6BCC"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0</w:t>
            </w:r>
          </w:p>
        </w:tc>
        <w:tc>
          <w:tcPr>
            <w:tcW w:w="572" w:type="dxa"/>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8,43</w:t>
            </w:r>
          </w:p>
        </w:tc>
        <w:tc>
          <w:tcPr>
            <w:tcW w:w="714" w:type="dxa"/>
            <w:gridSpan w:val="3"/>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7,99</w:t>
            </w:r>
          </w:p>
        </w:tc>
        <w:tc>
          <w:tcPr>
            <w:tcW w:w="708" w:type="dxa"/>
            <w:gridSpan w:val="2"/>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8,19</w:t>
            </w:r>
          </w:p>
        </w:tc>
        <w:tc>
          <w:tcPr>
            <w:tcW w:w="709" w:type="dxa"/>
            <w:gridSpan w:val="3"/>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8,39</w:t>
            </w:r>
          </w:p>
        </w:tc>
        <w:tc>
          <w:tcPr>
            <w:tcW w:w="567" w:type="dxa"/>
            <w:gridSpan w:val="2"/>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8,60</w:t>
            </w:r>
          </w:p>
        </w:tc>
        <w:tc>
          <w:tcPr>
            <w:tcW w:w="567" w:type="dxa"/>
            <w:gridSpan w:val="3"/>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8,82</w:t>
            </w:r>
          </w:p>
        </w:tc>
        <w:tc>
          <w:tcPr>
            <w:tcW w:w="562" w:type="dxa"/>
            <w:gridSpan w:val="3"/>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9,04</w:t>
            </w:r>
          </w:p>
        </w:tc>
        <w:tc>
          <w:tcPr>
            <w:tcW w:w="709" w:type="dxa"/>
            <w:gridSpan w:val="2"/>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9,27</w:t>
            </w:r>
          </w:p>
        </w:tc>
        <w:tc>
          <w:tcPr>
            <w:tcW w:w="709" w:type="dxa"/>
            <w:gridSpan w:val="2"/>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9,50</w:t>
            </w:r>
          </w:p>
        </w:tc>
        <w:tc>
          <w:tcPr>
            <w:tcW w:w="647" w:type="dxa"/>
            <w:gridSpan w:val="2"/>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9,73</w:t>
            </w:r>
          </w:p>
        </w:tc>
        <w:tc>
          <w:tcPr>
            <w:tcW w:w="884" w:type="dxa"/>
            <w:shd w:val="clear" w:color="auto" w:fill="FFFFFF"/>
            <w:vAlign w:val="center"/>
          </w:tcPr>
          <w:p w:rsidR="004E5D0A" w:rsidRPr="001578DD" w:rsidRDefault="00CF6BCC"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87,96</w:t>
            </w:r>
          </w:p>
        </w:tc>
      </w:tr>
      <w:tr w:rsidR="004E5D0A" w:rsidRPr="001578DD" w:rsidTr="001578DD">
        <w:trPr>
          <w:trHeight w:val="330"/>
          <w:jc w:val="center"/>
        </w:trPr>
        <w:tc>
          <w:tcPr>
            <w:tcW w:w="2331" w:type="dxa"/>
            <w:gridSpan w:val="2"/>
            <w:shd w:val="clear" w:color="auto" w:fill="FFFFFF"/>
            <w:vAlign w:val="center"/>
          </w:tcPr>
          <w:p w:rsidR="004E5D0A" w:rsidRPr="001578DD" w:rsidRDefault="004E5D0A"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budżet państwa</w:t>
            </w:r>
          </w:p>
        </w:tc>
        <w:tc>
          <w:tcPr>
            <w:tcW w:w="563" w:type="dxa"/>
            <w:gridSpan w:val="3"/>
            <w:shd w:val="clear" w:color="auto" w:fill="FFFFFF"/>
            <w:vAlign w:val="center"/>
          </w:tcPr>
          <w:p w:rsidR="004E5D0A"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72" w:type="dxa"/>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8,43</w:t>
            </w:r>
          </w:p>
        </w:tc>
        <w:tc>
          <w:tcPr>
            <w:tcW w:w="714" w:type="dxa"/>
            <w:gridSpan w:val="3"/>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7,99</w:t>
            </w:r>
          </w:p>
        </w:tc>
        <w:tc>
          <w:tcPr>
            <w:tcW w:w="708" w:type="dxa"/>
            <w:gridSpan w:val="2"/>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8,19</w:t>
            </w:r>
          </w:p>
        </w:tc>
        <w:tc>
          <w:tcPr>
            <w:tcW w:w="709" w:type="dxa"/>
            <w:gridSpan w:val="3"/>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8,39</w:t>
            </w:r>
          </w:p>
        </w:tc>
        <w:tc>
          <w:tcPr>
            <w:tcW w:w="567" w:type="dxa"/>
            <w:gridSpan w:val="2"/>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8,60</w:t>
            </w:r>
          </w:p>
        </w:tc>
        <w:tc>
          <w:tcPr>
            <w:tcW w:w="567" w:type="dxa"/>
            <w:gridSpan w:val="3"/>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8,82</w:t>
            </w:r>
          </w:p>
        </w:tc>
        <w:tc>
          <w:tcPr>
            <w:tcW w:w="562" w:type="dxa"/>
            <w:gridSpan w:val="3"/>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9,04</w:t>
            </w:r>
          </w:p>
        </w:tc>
        <w:tc>
          <w:tcPr>
            <w:tcW w:w="709" w:type="dxa"/>
            <w:gridSpan w:val="2"/>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9,27</w:t>
            </w:r>
          </w:p>
        </w:tc>
        <w:tc>
          <w:tcPr>
            <w:tcW w:w="709" w:type="dxa"/>
            <w:gridSpan w:val="2"/>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9,50</w:t>
            </w:r>
          </w:p>
        </w:tc>
        <w:tc>
          <w:tcPr>
            <w:tcW w:w="647" w:type="dxa"/>
            <w:gridSpan w:val="2"/>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9,73</w:t>
            </w:r>
          </w:p>
        </w:tc>
        <w:tc>
          <w:tcPr>
            <w:tcW w:w="884" w:type="dxa"/>
            <w:shd w:val="clear" w:color="auto" w:fill="FFFFFF"/>
            <w:vAlign w:val="center"/>
          </w:tcPr>
          <w:p w:rsidR="004E5D0A"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b/>
                <w:color w:val="000000"/>
              </w:rPr>
              <w:t>87,96</w:t>
            </w:r>
          </w:p>
        </w:tc>
      </w:tr>
      <w:tr w:rsidR="00CF6BCC" w:rsidRPr="001578DD" w:rsidTr="001578DD">
        <w:trPr>
          <w:trHeight w:val="330"/>
          <w:jc w:val="center"/>
        </w:trPr>
        <w:tc>
          <w:tcPr>
            <w:tcW w:w="2331" w:type="dxa"/>
            <w:gridSpan w:val="2"/>
            <w:shd w:val="clear" w:color="auto" w:fill="FFFFFF"/>
            <w:vAlign w:val="center"/>
          </w:tcPr>
          <w:p w:rsidR="00CF6BCC" w:rsidRPr="001578DD" w:rsidRDefault="00CF6BCC" w:rsidP="001578DD">
            <w:pPr>
              <w:spacing w:before="60" w:after="60" w:line="240" w:lineRule="auto"/>
              <w:ind w:firstLine="176"/>
              <w:rPr>
                <w:rFonts w:ascii="Times New Roman" w:hAnsi="Times New Roman" w:cs="Times New Roman"/>
                <w:color w:val="000000"/>
              </w:rPr>
            </w:pPr>
            <w:r w:rsidRPr="001578DD">
              <w:rPr>
                <w:rFonts w:ascii="Times New Roman" w:hAnsi="Times New Roman" w:cs="Times New Roman"/>
                <w:color w:val="000000"/>
              </w:rPr>
              <w:t>Prezes UOKiK</w:t>
            </w:r>
          </w:p>
        </w:tc>
        <w:tc>
          <w:tcPr>
            <w:tcW w:w="563" w:type="dxa"/>
            <w:gridSpan w:val="3"/>
            <w:shd w:val="clear" w:color="auto" w:fill="FFFFFF"/>
            <w:vAlign w:val="center"/>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72" w:type="dxa"/>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3,31</w:t>
            </w:r>
          </w:p>
        </w:tc>
        <w:tc>
          <w:tcPr>
            <w:tcW w:w="714"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3,19</w:t>
            </w:r>
          </w:p>
        </w:tc>
        <w:tc>
          <w:tcPr>
            <w:tcW w:w="708"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3,27</w:t>
            </w:r>
          </w:p>
        </w:tc>
        <w:tc>
          <w:tcPr>
            <w:tcW w:w="709"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3,35</w:t>
            </w:r>
          </w:p>
        </w:tc>
        <w:tc>
          <w:tcPr>
            <w:tcW w:w="567"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3,43</w:t>
            </w:r>
          </w:p>
        </w:tc>
        <w:tc>
          <w:tcPr>
            <w:tcW w:w="567"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3,52</w:t>
            </w:r>
          </w:p>
        </w:tc>
        <w:tc>
          <w:tcPr>
            <w:tcW w:w="562"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3,61</w:t>
            </w:r>
          </w:p>
        </w:tc>
        <w:tc>
          <w:tcPr>
            <w:tcW w:w="709"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3,70</w:t>
            </w:r>
          </w:p>
        </w:tc>
        <w:tc>
          <w:tcPr>
            <w:tcW w:w="709"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3,79</w:t>
            </w:r>
          </w:p>
        </w:tc>
        <w:tc>
          <w:tcPr>
            <w:tcW w:w="647"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3,89</w:t>
            </w:r>
          </w:p>
        </w:tc>
        <w:tc>
          <w:tcPr>
            <w:tcW w:w="884" w:type="dxa"/>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35,05</w:t>
            </w:r>
          </w:p>
        </w:tc>
      </w:tr>
      <w:tr w:rsidR="00CF6BCC" w:rsidRPr="001578DD" w:rsidTr="001578DD">
        <w:trPr>
          <w:trHeight w:val="330"/>
          <w:jc w:val="center"/>
        </w:trPr>
        <w:tc>
          <w:tcPr>
            <w:tcW w:w="2331" w:type="dxa"/>
            <w:gridSpan w:val="2"/>
            <w:shd w:val="clear" w:color="auto" w:fill="FFFFFF"/>
            <w:vAlign w:val="center"/>
          </w:tcPr>
          <w:p w:rsidR="00CF6BCC" w:rsidRPr="001578DD" w:rsidRDefault="00CF6BCC" w:rsidP="001578DD">
            <w:pPr>
              <w:spacing w:before="60" w:after="60" w:line="240" w:lineRule="auto"/>
              <w:ind w:left="176"/>
              <w:rPr>
                <w:rFonts w:ascii="Times New Roman" w:hAnsi="Times New Roman" w:cs="Times New Roman"/>
                <w:color w:val="000000"/>
              </w:rPr>
            </w:pPr>
            <w:r w:rsidRPr="001578DD">
              <w:rPr>
                <w:rFonts w:ascii="Times New Roman" w:hAnsi="Times New Roman" w:cs="Times New Roman"/>
                <w:color w:val="000000"/>
              </w:rPr>
              <w:t>wojewódzcy Inspektorzy IH</w:t>
            </w:r>
          </w:p>
        </w:tc>
        <w:tc>
          <w:tcPr>
            <w:tcW w:w="563" w:type="dxa"/>
            <w:gridSpan w:val="3"/>
            <w:shd w:val="clear" w:color="auto" w:fill="FFFFFF"/>
            <w:vAlign w:val="center"/>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72" w:type="dxa"/>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2,71</w:t>
            </w:r>
          </w:p>
        </w:tc>
        <w:tc>
          <w:tcPr>
            <w:tcW w:w="714"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2,52</w:t>
            </w:r>
          </w:p>
        </w:tc>
        <w:tc>
          <w:tcPr>
            <w:tcW w:w="708"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2,58</w:t>
            </w:r>
          </w:p>
        </w:tc>
        <w:tc>
          <w:tcPr>
            <w:tcW w:w="709"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2,65</w:t>
            </w:r>
          </w:p>
        </w:tc>
        <w:tc>
          <w:tcPr>
            <w:tcW w:w="567"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2,71</w:t>
            </w:r>
          </w:p>
        </w:tc>
        <w:tc>
          <w:tcPr>
            <w:tcW w:w="567"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2,78</w:t>
            </w:r>
          </w:p>
        </w:tc>
        <w:tc>
          <w:tcPr>
            <w:tcW w:w="562"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2,85</w:t>
            </w:r>
          </w:p>
        </w:tc>
        <w:tc>
          <w:tcPr>
            <w:tcW w:w="709"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2,92</w:t>
            </w:r>
          </w:p>
        </w:tc>
        <w:tc>
          <w:tcPr>
            <w:tcW w:w="709"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2,99</w:t>
            </w:r>
          </w:p>
        </w:tc>
        <w:tc>
          <w:tcPr>
            <w:tcW w:w="647"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3,07</w:t>
            </w:r>
          </w:p>
        </w:tc>
        <w:tc>
          <w:tcPr>
            <w:tcW w:w="884" w:type="dxa"/>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27,77</w:t>
            </w:r>
          </w:p>
        </w:tc>
      </w:tr>
      <w:tr w:rsidR="00CF6BCC" w:rsidRPr="001578DD" w:rsidTr="001578DD">
        <w:trPr>
          <w:trHeight w:val="330"/>
          <w:jc w:val="center"/>
        </w:trPr>
        <w:tc>
          <w:tcPr>
            <w:tcW w:w="2331" w:type="dxa"/>
            <w:gridSpan w:val="2"/>
            <w:shd w:val="clear" w:color="auto" w:fill="FFFFFF"/>
            <w:vAlign w:val="center"/>
          </w:tcPr>
          <w:p w:rsidR="00CF6BCC" w:rsidRPr="001578DD" w:rsidRDefault="00CF6BCC" w:rsidP="001578DD">
            <w:pPr>
              <w:spacing w:before="60" w:after="60" w:line="240" w:lineRule="auto"/>
              <w:ind w:left="176"/>
              <w:rPr>
                <w:rFonts w:ascii="Times New Roman" w:hAnsi="Times New Roman" w:cs="Times New Roman"/>
                <w:color w:val="000000"/>
              </w:rPr>
            </w:pPr>
            <w:r w:rsidRPr="001578DD">
              <w:rPr>
                <w:rFonts w:ascii="Times New Roman" w:hAnsi="Times New Roman" w:cs="Times New Roman"/>
                <w:color w:val="000000"/>
              </w:rPr>
              <w:t>KAS</w:t>
            </w:r>
          </w:p>
        </w:tc>
        <w:tc>
          <w:tcPr>
            <w:tcW w:w="563" w:type="dxa"/>
            <w:gridSpan w:val="3"/>
            <w:shd w:val="clear" w:color="auto" w:fill="FFFFFF"/>
            <w:vAlign w:val="center"/>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72" w:type="dxa"/>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2,41</w:t>
            </w:r>
          </w:p>
        </w:tc>
        <w:tc>
          <w:tcPr>
            <w:tcW w:w="714"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2,28</w:t>
            </w:r>
          </w:p>
        </w:tc>
        <w:tc>
          <w:tcPr>
            <w:tcW w:w="708"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2,34</w:t>
            </w:r>
          </w:p>
        </w:tc>
        <w:tc>
          <w:tcPr>
            <w:tcW w:w="709"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2,40</w:t>
            </w:r>
          </w:p>
        </w:tc>
        <w:tc>
          <w:tcPr>
            <w:tcW w:w="567"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2,46</w:t>
            </w:r>
          </w:p>
        </w:tc>
        <w:tc>
          <w:tcPr>
            <w:tcW w:w="567"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2,52</w:t>
            </w:r>
          </w:p>
        </w:tc>
        <w:tc>
          <w:tcPr>
            <w:tcW w:w="562"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2,58</w:t>
            </w:r>
          </w:p>
        </w:tc>
        <w:tc>
          <w:tcPr>
            <w:tcW w:w="709"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2,65</w:t>
            </w:r>
          </w:p>
        </w:tc>
        <w:tc>
          <w:tcPr>
            <w:tcW w:w="709"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2,71</w:t>
            </w:r>
          </w:p>
        </w:tc>
        <w:tc>
          <w:tcPr>
            <w:tcW w:w="647"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2,78</w:t>
            </w:r>
          </w:p>
        </w:tc>
        <w:tc>
          <w:tcPr>
            <w:tcW w:w="884" w:type="dxa"/>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25,13</w:t>
            </w:r>
          </w:p>
        </w:tc>
      </w:tr>
      <w:tr w:rsidR="000769A3" w:rsidRPr="001578DD" w:rsidTr="001578DD">
        <w:trPr>
          <w:trHeight w:val="351"/>
          <w:jc w:val="center"/>
        </w:trPr>
        <w:tc>
          <w:tcPr>
            <w:tcW w:w="2331" w:type="dxa"/>
            <w:gridSpan w:val="2"/>
            <w:shd w:val="clear" w:color="auto" w:fill="FFFFFF"/>
            <w:vAlign w:val="center"/>
          </w:tcPr>
          <w:p w:rsidR="00C4617D" w:rsidRPr="001578DD" w:rsidRDefault="00C4617D"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JST</w:t>
            </w:r>
          </w:p>
        </w:tc>
        <w:tc>
          <w:tcPr>
            <w:tcW w:w="563"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72" w:type="dxa"/>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14"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8"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7"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7"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2"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647"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884" w:type="dxa"/>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r>
      <w:tr w:rsidR="000769A3" w:rsidRPr="001578DD" w:rsidTr="001578DD">
        <w:trPr>
          <w:trHeight w:val="351"/>
          <w:jc w:val="center"/>
        </w:trPr>
        <w:tc>
          <w:tcPr>
            <w:tcW w:w="2331" w:type="dxa"/>
            <w:gridSpan w:val="2"/>
            <w:shd w:val="clear" w:color="auto" w:fill="FFFFFF"/>
            <w:vAlign w:val="center"/>
          </w:tcPr>
          <w:p w:rsidR="00C4617D" w:rsidRPr="001578DD" w:rsidRDefault="00C4617D"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pozostałe jednostki (oddzielnie)</w:t>
            </w:r>
          </w:p>
        </w:tc>
        <w:tc>
          <w:tcPr>
            <w:tcW w:w="563"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72" w:type="dxa"/>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14"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8"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7"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7"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2"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647"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884" w:type="dxa"/>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r>
      <w:tr w:rsidR="004E5D0A" w:rsidRPr="001578DD" w:rsidTr="001578DD">
        <w:trPr>
          <w:trHeight w:val="360"/>
          <w:jc w:val="center"/>
        </w:trPr>
        <w:tc>
          <w:tcPr>
            <w:tcW w:w="2331" w:type="dxa"/>
            <w:gridSpan w:val="2"/>
            <w:shd w:val="clear" w:color="auto" w:fill="FFFFFF"/>
            <w:vAlign w:val="center"/>
          </w:tcPr>
          <w:p w:rsidR="004E5D0A" w:rsidRPr="001578DD" w:rsidRDefault="004E5D0A" w:rsidP="001578DD">
            <w:pPr>
              <w:spacing w:before="60" w:after="60" w:line="240" w:lineRule="auto"/>
              <w:rPr>
                <w:rFonts w:ascii="Times New Roman" w:hAnsi="Times New Roman" w:cs="Times New Roman"/>
                <w:color w:val="000000"/>
              </w:rPr>
            </w:pPr>
            <w:r w:rsidRPr="001578DD">
              <w:rPr>
                <w:rFonts w:ascii="Times New Roman" w:hAnsi="Times New Roman" w:cs="Times New Roman"/>
                <w:b/>
                <w:color w:val="000000"/>
              </w:rPr>
              <w:t>Saldo ogółem</w:t>
            </w:r>
          </w:p>
        </w:tc>
        <w:tc>
          <w:tcPr>
            <w:tcW w:w="563" w:type="dxa"/>
            <w:gridSpan w:val="3"/>
            <w:shd w:val="clear" w:color="auto" w:fill="FFFFFF"/>
            <w:vAlign w:val="center"/>
          </w:tcPr>
          <w:p w:rsidR="004E5D0A" w:rsidRPr="001578DD" w:rsidRDefault="00CF6BCC"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0</w:t>
            </w:r>
          </w:p>
        </w:tc>
        <w:tc>
          <w:tcPr>
            <w:tcW w:w="572" w:type="dxa"/>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-8,43</w:t>
            </w:r>
          </w:p>
        </w:tc>
        <w:tc>
          <w:tcPr>
            <w:tcW w:w="714" w:type="dxa"/>
            <w:gridSpan w:val="3"/>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-7,99</w:t>
            </w:r>
          </w:p>
        </w:tc>
        <w:tc>
          <w:tcPr>
            <w:tcW w:w="708" w:type="dxa"/>
            <w:gridSpan w:val="2"/>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-8,19</w:t>
            </w:r>
          </w:p>
        </w:tc>
        <w:tc>
          <w:tcPr>
            <w:tcW w:w="709" w:type="dxa"/>
            <w:gridSpan w:val="3"/>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-8,39</w:t>
            </w:r>
          </w:p>
        </w:tc>
        <w:tc>
          <w:tcPr>
            <w:tcW w:w="567" w:type="dxa"/>
            <w:gridSpan w:val="2"/>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-8,60</w:t>
            </w:r>
          </w:p>
        </w:tc>
        <w:tc>
          <w:tcPr>
            <w:tcW w:w="567" w:type="dxa"/>
            <w:gridSpan w:val="3"/>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-8,82</w:t>
            </w:r>
          </w:p>
        </w:tc>
        <w:tc>
          <w:tcPr>
            <w:tcW w:w="562" w:type="dxa"/>
            <w:gridSpan w:val="3"/>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-9,04</w:t>
            </w:r>
          </w:p>
        </w:tc>
        <w:tc>
          <w:tcPr>
            <w:tcW w:w="709" w:type="dxa"/>
            <w:gridSpan w:val="2"/>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-9,27</w:t>
            </w:r>
          </w:p>
        </w:tc>
        <w:tc>
          <w:tcPr>
            <w:tcW w:w="709" w:type="dxa"/>
            <w:gridSpan w:val="2"/>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-9,50</w:t>
            </w:r>
          </w:p>
        </w:tc>
        <w:tc>
          <w:tcPr>
            <w:tcW w:w="647" w:type="dxa"/>
            <w:gridSpan w:val="2"/>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-9,73</w:t>
            </w:r>
          </w:p>
        </w:tc>
        <w:tc>
          <w:tcPr>
            <w:tcW w:w="884" w:type="dxa"/>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w:t>
            </w:r>
            <w:r w:rsidR="00CF6BCC" w:rsidRPr="001578DD">
              <w:rPr>
                <w:rFonts w:ascii="Times New Roman" w:hAnsi="Times New Roman" w:cs="Times New Roman"/>
                <w:b/>
                <w:color w:val="000000"/>
              </w:rPr>
              <w:t>87,96</w:t>
            </w:r>
          </w:p>
        </w:tc>
      </w:tr>
      <w:tr w:rsidR="004E5D0A" w:rsidRPr="001578DD" w:rsidTr="001578DD">
        <w:trPr>
          <w:trHeight w:val="360"/>
          <w:jc w:val="center"/>
        </w:trPr>
        <w:tc>
          <w:tcPr>
            <w:tcW w:w="2331" w:type="dxa"/>
            <w:gridSpan w:val="2"/>
            <w:shd w:val="clear" w:color="auto" w:fill="FFFFFF"/>
            <w:vAlign w:val="center"/>
          </w:tcPr>
          <w:p w:rsidR="004E5D0A" w:rsidRPr="001578DD" w:rsidRDefault="004E5D0A"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budżet państwa</w:t>
            </w:r>
          </w:p>
        </w:tc>
        <w:tc>
          <w:tcPr>
            <w:tcW w:w="563" w:type="dxa"/>
            <w:gridSpan w:val="3"/>
            <w:shd w:val="clear" w:color="auto" w:fill="FFFFFF"/>
            <w:vAlign w:val="center"/>
          </w:tcPr>
          <w:p w:rsidR="004E5D0A"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72" w:type="dxa"/>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-8,43</w:t>
            </w:r>
          </w:p>
        </w:tc>
        <w:tc>
          <w:tcPr>
            <w:tcW w:w="714" w:type="dxa"/>
            <w:gridSpan w:val="3"/>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-7,99</w:t>
            </w:r>
          </w:p>
        </w:tc>
        <w:tc>
          <w:tcPr>
            <w:tcW w:w="708" w:type="dxa"/>
            <w:gridSpan w:val="2"/>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-8,19</w:t>
            </w:r>
          </w:p>
        </w:tc>
        <w:tc>
          <w:tcPr>
            <w:tcW w:w="709" w:type="dxa"/>
            <w:gridSpan w:val="3"/>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-8,39</w:t>
            </w:r>
          </w:p>
        </w:tc>
        <w:tc>
          <w:tcPr>
            <w:tcW w:w="567" w:type="dxa"/>
            <w:gridSpan w:val="2"/>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-8,60</w:t>
            </w:r>
          </w:p>
        </w:tc>
        <w:tc>
          <w:tcPr>
            <w:tcW w:w="567" w:type="dxa"/>
            <w:gridSpan w:val="3"/>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-8,82</w:t>
            </w:r>
          </w:p>
        </w:tc>
        <w:tc>
          <w:tcPr>
            <w:tcW w:w="562" w:type="dxa"/>
            <w:gridSpan w:val="3"/>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-9,04</w:t>
            </w:r>
          </w:p>
        </w:tc>
        <w:tc>
          <w:tcPr>
            <w:tcW w:w="709" w:type="dxa"/>
            <w:gridSpan w:val="2"/>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-9,27</w:t>
            </w:r>
          </w:p>
        </w:tc>
        <w:tc>
          <w:tcPr>
            <w:tcW w:w="709" w:type="dxa"/>
            <w:gridSpan w:val="2"/>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-9,50</w:t>
            </w:r>
          </w:p>
        </w:tc>
        <w:tc>
          <w:tcPr>
            <w:tcW w:w="647" w:type="dxa"/>
            <w:gridSpan w:val="2"/>
            <w:shd w:val="clear" w:color="auto" w:fill="FFFFFF"/>
            <w:vAlign w:val="center"/>
          </w:tcPr>
          <w:p w:rsidR="004E5D0A" w:rsidRPr="001578DD" w:rsidRDefault="004E5D0A"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-9,73</w:t>
            </w:r>
          </w:p>
        </w:tc>
        <w:tc>
          <w:tcPr>
            <w:tcW w:w="884" w:type="dxa"/>
            <w:shd w:val="clear" w:color="auto" w:fill="FFFFFF"/>
            <w:vAlign w:val="center"/>
          </w:tcPr>
          <w:p w:rsidR="004E5D0A"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b/>
                <w:color w:val="000000"/>
              </w:rPr>
              <w:t>-87,96</w:t>
            </w:r>
          </w:p>
        </w:tc>
      </w:tr>
      <w:tr w:rsidR="00CF6BCC" w:rsidRPr="001578DD" w:rsidTr="001578DD">
        <w:trPr>
          <w:trHeight w:val="360"/>
          <w:jc w:val="center"/>
        </w:trPr>
        <w:tc>
          <w:tcPr>
            <w:tcW w:w="2331" w:type="dxa"/>
            <w:gridSpan w:val="2"/>
            <w:shd w:val="clear" w:color="auto" w:fill="FFFFFF"/>
            <w:vAlign w:val="center"/>
          </w:tcPr>
          <w:p w:rsidR="00CF6BCC" w:rsidRPr="001578DD" w:rsidRDefault="00CF6BCC" w:rsidP="001578DD">
            <w:pPr>
              <w:spacing w:before="60" w:after="60" w:line="240" w:lineRule="auto"/>
              <w:ind w:firstLine="176"/>
              <w:rPr>
                <w:rFonts w:ascii="Times New Roman" w:hAnsi="Times New Roman" w:cs="Times New Roman"/>
                <w:color w:val="000000"/>
              </w:rPr>
            </w:pPr>
            <w:r w:rsidRPr="001578DD">
              <w:rPr>
                <w:rFonts w:ascii="Times New Roman" w:hAnsi="Times New Roman" w:cs="Times New Roman"/>
                <w:color w:val="000000"/>
              </w:rPr>
              <w:t>Prezes UOKiK</w:t>
            </w:r>
          </w:p>
        </w:tc>
        <w:tc>
          <w:tcPr>
            <w:tcW w:w="563" w:type="dxa"/>
            <w:gridSpan w:val="3"/>
            <w:shd w:val="clear" w:color="auto" w:fill="FFFFFF"/>
            <w:vAlign w:val="center"/>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72" w:type="dxa"/>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-3,31</w:t>
            </w:r>
          </w:p>
        </w:tc>
        <w:tc>
          <w:tcPr>
            <w:tcW w:w="714"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-3,19</w:t>
            </w:r>
          </w:p>
        </w:tc>
        <w:tc>
          <w:tcPr>
            <w:tcW w:w="708"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-3,27</w:t>
            </w:r>
          </w:p>
        </w:tc>
        <w:tc>
          <w:tcPr>
            <w:tcW w:w="709"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-3,35</w:t>
            </w:r>
          </w:p>
        </w:tc>
        <w:tc>
          <w:tcPr>
            <w:tcW w:w="567"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-3,43</w:t>
            </w:r>
          </w:p>
        </w:tc>
        <w:tc>
          <w:tcPr>
            <w:tcW w:w="567"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-3,52</w:t>
            </w:r>
          </w:p>
        </w:tc>
        <w:tc>
          <w:tcPr>
            <w:tcW w:w="562"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-3,61</w:t>
            </w:r>
          </w:p>
        </w:tc>
        <w:tc>
          <w:tcPr>
            <w:tcW w:w="709"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-3,70</w:t>
            </w:r>
          </w:p>
        </w:tc>
        <w:tc>
          <w:tcPr>
            <w:tcW w:w="709"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-3,79</w:t>
            </w:r>
          </w:p>
        </w:tc>
        <w:tc>
          <w:tcPr>
            <w:tcW w:w="647"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-3,89</w:t>
            </w:r>
          </w:p>
        </w:tc>
        <w:tc>
          <w:tcPr>
            <w:tcW w:w="884" w:type="dxa"/>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-35,05</w:t>
            </w:r>
          </w:p>
        </w:tc>
      </w:tr>
      <w:tr w:rsidR="00CF6BCC" w:rsidRPr="001578DD" w:rsidTr="001578DD">
        <w:trPr>
          <w:trHeight w:val="360"/>
          <w:jc w:val="center"/>
        </w:trPr>
        <w:tc>
          <w:tcPr>
            <w:tcW w:w="2331" w:type="dxa"/>
            <w:gridSpan w:val="2"/>
            <w:shd w:val="clear" w:color="auto" w:fill="FFFFFF"/>
            <w:vAlign w:val="center"/>
          </w:tcPr>
          <w:p w:rsidR="00CF6BCC" w:rsidRPr="001578DD" w:rsidRDefault="00CF6BCC" w:rsidP="001578DD">
            <w:pPr>
              <w:spacing w:before="60" w:after="60" w:line="240" w:lineRule="auto"/>
              <w:ind w:left="176"/>
              <w:rPr>
                <w:rFonts w:ascii="Times New Roman" w:hAnsi="Times New Roman" w:cs="Times New Roman"/>
                <w:color w:val="000000"/>
              </w:rPr>
            </w:pPr>
            <w:r w:rsidRPr="001578DD">
              <w:rPr>
                <w:rFonts w:ascii="Times New Roman" w:hAnsi="Times New Roman" w:cs="Times New Roman"/>
                <w:color w:val="000000"/>
              </w:rPr>
              <w:t>wojewódzcy Inspektorzy IH</w:t>
            </w:r>
          </w:p>
        </w:tc>
        <w:tc>
          <w:tcPr>
            <w:tcW w:w="563" w:type="dxa"/>
            <w:gridSpan w:val="3"/>
            <w:shd w:val="clear" w:color="auto" w:fill="FFFFFF"/>
            <w:vAlign w:val="center"/>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72" w:type="dxa"/>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-2,71</w:t>
            </w:r>
          </w:p>
        </w:tc>
        <w:tc>
          <w:tcPr>
            <w:tcW w:w="714"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-2,52</w:t>
            </w:r>
          </w:p>
        </w:tc>
        <w:tc>
          <w:tcPr>
            <w:tcW w:w="708"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-2,58</w:t>
            </w:r>
          </w:p>
        </w:tc>
        <w:tc>
          <w:tcPr>
            <w:tcW w:w="709"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-2,65</w:t>
            </w:r>
          </w:p>
        </w:tc>
        <w:tc>
          <w:tcPr>
            <w:tcW w:w="567"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-2,71</w:t>
            </w:r>
          </w:p>
        </w:tc>
        <w:tc>
          <w:tcPr>
            <w:tcW w:w="567"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-2,78</w:t>
            </w:r>
          </w:p>
        </w:tc>
        <w:tc>
          <w:tcPr>
            <w:tcW w:w="562"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-2,85</w:t>
            </w:r>
          </w:p>
        </w:tc>
        <w:tc>
          <w:tcPr>
            <w:tcW w:w="709"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-2,92</w:t>
            </w:r>
          </w:p>
        </w:tc>
        <w:tc>
          <w:tcPr>
            <w:tcW w:w="709"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-2,99</w:t>
            </w:r>
          </w:p>
        </w:tc>
        <w:tc>
          <w:tcPr>
            <w:tcW w:w="647"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-3,07</w:t>
            </w:r>
          </w:p>
        </w:tc>
        <w:tc>
          <w:tcPr>
            <w:tcW w:w="884" w:type="dxa"/>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-27,77</w:t>
            </w:r>
          </w:p>
        </w:tc>
      </w:tr>
      <w:tr w:rsidR="00CF6BCC" w:rsidRPr="001578DD" w:rsidTr="001578DD">
        <w:trPr>
          <w:trHeight w:val="360"/>
          <w:jc w:val="center"/>
        </w:trPr>
        <w:tc>
          <w:tcPr>
            <w:tcW w:w="2331" w:type="dxa"/>
            <w:gridSpan w:val="2"/>
            <w:shd w:val="clear" w:color="auto" w:fill="FFFFFF"/>
            <w:vAlign w:val="center"/>
          </w:tcPr>
          <w:p w:rsidR="00CF6BCC" w:rsidRPr="001578DD" w:rsidRDefault="00CF6BCC" w:rsidP="001578DD">
            <w:pPr>
              <w:spacing w:before="60" w:after="60" w:line="240" w:lineRule="auto"/>
              <w:ind w:left="176"/>
              <w:rPr>
                <w:rFonts w:ascii="Times New Roman" w:hAnsi="Times New Roman" w:cs="Times New Roman"/>
                <w:color w:val="000000"/>
              </w:rPr>
            </w:pPr>
            <w:r w:rsidRPr="001578DD">
              <w:rPr>
                <w:rFonts w:ascii="Times New Roman" w:hAnsi="Times New Roman" w:cs="Times New Roman"/>
                <w:color w:val="000000"/>
              </w:rPr>
              <w:t>KAS</w:t>
            </w:r>
          </w:p>
        </w:tc>
        <w:tc>
          <w:tcPr>
            <w:tcW w:w="563" w:type="dxa"/>
            <w:gridSpan w:val="3"/>
            <w:shd w:val="clear" w:color="auto" w:fill="FFFFFF"/>
            <w:vAlign w:val="center"/>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72" w:type="dxa"/>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-2,41</w:t>
            </w:r>
          </w:p>
        </w:tc>
        <w:tc>
          <w:tcPr>
            <w:tcW w:w="714"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-2,28</w:t>
            </w:r>
          </w:p>
        </w:tc>
        <w:tc>
          <w:tcPr>
            <w:tcW w:w="708"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-2,34</w:t>
            </w:r>
          </w:p>
        </w:tc>
        <w:tc>
          <w:tcPr>
            <w:tcW w:w="709"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-2,40</w:t>
            </w:r>
          </w:p>
        </w:tc>
        <w:tc>
          <w:tcPr>
            <w:tcW w:w="567"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-2,46</w:t>
            </w:r>
          </w:p>
        </w:tc>
        <w:tc>
          <w:tcPr>
            <w:tcW w:w="567"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-2,52</w:t>
            </w:r>
          </w:p>
        </w:tc>
        <w:tc>
          <w:tcPr>
            <w:tcW w:w="562" w:type="dxa"/>
            <w:gridSpan w:val="3"/>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-2,58</w:t>
            </w:r>
          </w:p>
        </w:tc>
        <w:tc>
          <w:tcPr>
            <w:tcW w:w="709"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-2,65</w:t>
            </w:r>
          </w:p>
        </w:tc>
        <w:tc>
          <w:tcPr>
            <w:tcW w:w="709"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-2,71</w:t>
            </w:r>
          </w:p>
        </w:tc>
        <w:tc>
          <w:tcPr>
            <w:tcW w:w="647" w:type="dxa"/>
            <w:gridSpan w:val="2"/>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-2,78</w:t>
            </w:r>
          </w:p>
        </w:tc>
        <w:tc>
          <w:tcPr>
            <w:tcW w:w="884" w:type="dxa"/>
            <w:shd w:val="clear" w:color="auto" w:fill="FFFFFF"/>
            <w:vAlign w:val="bottom"/>
          </w:tcPr>
          <w:p w:rsidR="00CF6BCC" w:rsidRPr="001578DD" w:rsidRDefault="00CF6BCC" w:rsidP="001578DD">
            <w:pPr>
              <w:spacing w:before="60" w:after="60" w:line="240" w:lineRule="auto"/>
              <w:jc w:val="center"/>
              <w:rPr>
                <w:rFonts w:ascii="Times New Roman" w:hAnsi="Times New Roman" w:cs="Times New Roman"/>
                <w:b/>
                <w:color w:val="000000"/>
              </w:rPr>
            </w:pPr>
            <w:r w:rsidRPr="001578DD">
              <w:rPr>
                <w:rFonts w:ascii="Times New Roman" w:hAnsi="Times New Roman" w:cs="Times New Roman"/>
                <w:b/>
                <w:color w:val="000000"/>
              </w:rPr>
              <w:t>-25,13</w:t>
            </w:r>
          </w:p>
        </w:tc>
      </w:tr>
      <w:tr w:rsidR="000769A3" w:rsidRPr="001578DD" w:rsidTr="001578DD">
        <w:trPr>
          <w:trHeight w:val="357"/>
          <w:jc w:val="center"/>
        </w:trPr>
        <w:tc>
          <w:tcPr>
            <w:tcW w:w="2331" w:type="dxa"/>
            <w:gridSpan w:val="2"/>
            <w:shd w:val="clear" w:color="auto" w:fill="FFFFFF"/>
            <w:vAlign w:val="center"/>
          </w:tcPr>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JST</w:t>
            </w:r>
          </w:p>
        </w:tc>
        <w:tc>
          <w:tcPr>
            <w:tcW w:w="563" w:type="dxa"/>
            <w:gridSpan w:val="3"/>
            <w:shd w:val="clear" w:color="auto" w:fill="FFFFFF"/>
            <w:vAlign w:val="center"/>
          </w:tcPr>
          <w:p w:rsidR="00390AE3"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72" w:type="dxa"/>
            <w:shd w:val="clear" w:color="auto" w:fill="FFFFFF"/>
            <w:vAlign w:val="center"/>
          </w:tcPr>
          <w:p w:rsidR="00390AE3"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14" w:type="dxa"/>
            <w:gridSpan w:val="3"/>
            <w:shd w:val="clear" w:color="auto" w:fill="FFFFFF"/>
            <w:vAlign w:val="center"/>
          </w:tcPr>
          <w:p w:rsidR="00390AE3"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8" w:type="dxa"/>
            <w:gridSpan w:val="2"/>
            <w:shd w:val="clear" w:color="auto" w:fill="FFFFFF"/>
            <w:vAlign w:val="center"/>
          </w:tcPr>
          <w:p w:rsidR="00390AE3"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3"/>
            <w:shd w:val="clear" w:color="auto" w:fill="FFFFFF"/>
            <w:vAlign w:val="center"/>
          </w:tcPr>
          <w:p w:rsidR="00390AE3"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7" w:type="dxa"/>
            <w:gridSpan w:val="2"/>
            <w:shd w:val="clear" w:color="auto" w:fill="FFFFFF"/>
            <w:vAlign w:val="center"/>
          </w:tcPr>
          <w:p w:rsidR="00390AE3"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7" w:type="dxa"/>
            <w:gridSpan w:val="3"/>
            <w:shd w:val="clear" w:color="auto" w:fill="FFFFFF"/>
            <w:vAlign w:val="center"/>
          </w:tcPr>
          <w:p w:rsidR="00390AE3"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2" w:type="dxa"/>
            <w:gridSpan w:val="3"/>
            <w:shd w:val="clear" w:color="auto" w:fill="FFFFFF"/>
            <w:vAlign w:val="center"/>
          </w:tcPr>
          <w:p w:rsidR="00390AE3"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2"/>
            <w:shd w:val="clear" w:color="auto" w:fill="FFFFFF"/>
            <w:vAlign w:val="center"/>
          </w:tcPr>
          <w:p w:rsidR="00390AE3"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2"/>
            <w:shd w:val="clear" w:color="auto" w:fill="FFFFFF"/>
            <w:vAlign w:val="center"/>
          </w:tcPr>
          <w:p w:rsidR="00390AE3"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647" w:type="dxa"/>
            <w:gridSpan w:val="2"/>
            <w:shd w:val="clear" w:color="auto" w:fill="FFFFFF"/>
            <w:vAlign w:val="center"/>
          </w:tcPr>
          <w:p w:rsidR="00390AE3"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884" w:type="dxa"/>
            <w:shd w:val="clear" w:color="auto" w:fill="FFFFFF"/>
            <w:vAlign w:val="center"/>
          </w:tcPr>
          <w:p w:rsidR="00390AE3"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r>
      <w:tr w:rsidR="000769A3" w:rsidRPr="001578DD" w:rsidTr="001578DD">
        <w:trPr>
          <w:trHeight w:val="357"/>
          <w:jc w:val="center"/>
        </w:trPr>
        <w:tc>
          <w:tcPr>
            <w:tcW w:w="2331" w:type="dxa"/>
            <w:gridSpan w:val="2"/>
            <w:shd w:val="clear" w:color="auto" w:fill="FFFFFF"/>
            <w:vAlign w:val="center"/>
          </w:tcPr>
          <w:p w:rsidR="00C4617D" w:rsidRPr="001578DD" w:rsidRDefault="00C4617D"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pozostałe jednostki (oddzielnie)</w:t>
            </w:r>
          </w:p>
        </w:tc>
        <w:tc>
          <w:tcPr>
            <w:tcW w:w="563"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72" w:type="dxa"/>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14"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8"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7"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7"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562" w:type="dxa"/>
            <w:gridSpan w:val="3"/>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09"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647" w:type="dxa"/>
            <w:gridSpan w:val="2"/>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884" w:type="dxa"/>
            <w:shd w:val="clear" w:color="auto" w:fill="FFFFFF"/>
            <w:vAlign w:val="center"/>
          </w:tcPr>
          <w:p w:rsidR="00C4617D" w:rsidRPr="001578DD" w:rsidRDefault="00C4617D"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r>
      <w:tr w:rsidR="00390AE3" w:rsidRPr="001578DD" w:rsidTr="001578DD">
        <w:trPr>
          <w:trHeight w:val="348"/>
          <w:jc w:val="center"/>
        </w:trPr>
        <w:tc>
          <w:tcPr>
            <w:tcW w:w="2331" w:type="dxa"/>
            <w:gridSpan w:val="2"/>
            <w:shd w:val="clear" w:color="auto" w:fill="FFFFFF"/>
            <w:vAlign w:val="center"/>
          </w:tcPr>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Źródła finansowania</w:t>
            </w:r>
          </w:p>
        </w:tc>
        <w:tc>
          <w:tcPr>
            <w:tcW w:w="7911" w:type="dxa"/>
            <w:gridSpan w:val="27"/>
            <w:shd w:val="clear" w:color="auto" w:fill="FFFFFF"/>
            <w:vAlign w:val="center"/>
          </w:tcPr>
          <w:p w:rsidR="00390AE3" w:rsidRPr="001578DD" w:rsidRDefault="001C4500" w:rsidP="001C4500">
            <w:pPr>
              <w:spacing w:before="60" w:after="60" w:line="240" w:lineRule="auto"/>
              <w:rPr>
                <w:rFonts w:ascii="Times New Roman" w:hAnsi="Times New Roman" w:cs="Times New Roman"/>
                <w:color w:val="000000"/>
              </w:rPr>
            </w:pPr>
            <w:r>
              <w:rPr>
                <w:rFonts w:ascii="Times New Roman" w:hAnsi="Times New Roman" w:cs="Times New Roman"/>
                <w:color w:val="000000"/>
              </w:rPr>
              <w:t>b</w:t>
            </w:r>
            <w:r w:rsidR="00390AE3" w:rsidRPr="001578DD">
              <w:rPr>
                <w:rFonts w:ascii="Times New Roman" w:hAnsi="Times New Roman" w:cs="Times New Roman"/>
                <w:color w:val="000000"/>
              </w:rPr>
              <w:t xml:space="preserve">udżet </w:t>
            </w:r>
            <w:r>
              <w:rPr>
                <w:rFonts w:ascii="Times New Roman" w:hAnsi="Times New Roman" w:cs="Times New Roman"/>
                <w:color w:val="000000"/>
              </w:rPr>
              <w:t>p</w:t>
            </w:r>
            <w:r w:rsidR="00390AE3" w:rsidRPr="001578DD">
              <w:rPr>
                <w:rFonts w:ascii="Times New Roman" w:hAnsi="Times New Roman" w:cs="Times New Roman"/>
                <w:color w:val="000000"/>
              </w:rPr>
              <w:t>aństwa</w:t>
            </w:r>
          </w:p>
        </w:tc>
      </w:tr>
      <w:tr w:rsidR="00390AE3" w:rsidRPr="001578DD" w:rsidTr="001578DD">
        <w:trPr>
          <w:trHeight w:val="953"/>
          <w:jc w:val="center"/>
        </w:trPr>
        <w:tc>
          <w:tcPr>
            <w:tcW w:w="2331" w:type="dxa"/>
            <w:gridSpan w:val="2"/>
            <w:shd w:val="clear" w:color="auto" w:fill="FFFFFF"/>
          </w:tcPr>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Dodatkowe informacje, w tym wskazanie źródeł danych i przyjętych do obliczeń założeń</w:t>
            </w:r>
          </w:p>
        </w:tc>
        <w:tc>
          <w:tcPr>
            <w:tcW w:w="7911" w:type="dxa"/>
            <w:gridSpan w:val="27"/>
            <w:shd w:val="clear" w:color="auto" w:fill="FFFFFF"/>
          </w:tcPr>
          <w:p w:rsidR="00FB7B29" w:rsidRPr="001578DD" w:rsidRDefault="008925A5" w:rsidP="001578DD">
            <w:pPr>
              <w:spacing w:before="60" w:after="60" w:line="240" w:lineRule="auto"/>
              <w:jc w:val="both"/>
              <w:rPr>
                <w:rFonts w:ascii="Times New Roman" w:hAnsi="Times New Roman" w:cs="Times New Roman"/>
                <w:color w:val="000000"/>
              </w:rPr>
            </w:pPr>
            <w:r w:rsidRPr="001578DD">
              <w:rPr>
                <w:rFonts w:ascii="Times New Roman" w:hAnsi="Times New Roman" w:cs="Times New Roman"/>
                <w:color w:val="000000"/>
              </w:rPr>
              <w:t>P</w:t>
            </w:r>
            <w:r w:rsidR="00FB7B29" w:rsidRPr="001578DD">
              <w:rPr>
                <w:rFonts w:ascii="Times New Roman" w:hAnsi="Times New Roman" w:cs="Times New Roman"/>
                <w:color w:val="000000"/>
              </w:rPr>
              <w:t>rzepisy</w:t>
            </w:r>
            <w:r w:rsidRPr="001578DD">
              <w:rPr>
                <w:rFonts w:ascii="Times New Roman" w:hAnsi="Times New Roman" w:cs="Times New Roman"/>
                <w:color w:val="000000"/>
              </w:rPr>
              <w:t xml:space="preserve"> ustawy</w:t>
            </w:r>
            <w:r w:rsidR="00FB7B29" w:rsidRPr="001578DD">
              <w:rPr>
                <w:rFonts w:ascii="Times New Roman" w:hAnsi="Times New Roman" w:cs="Times New Roman"/>
                <w:color w:val="000000"/>
              </w:rPr>
              <w:t>, stwarzając kompleksowe przesłanki do prowadzenia kontroli jakości paliw stałych, spowodują skutki finansowe dla</w:t>
            </w:r>
            <w:r w:rsidR="00267EFE" w:rsidRPr="001578DD">
              <w:rPr>
                <w:rFonts w:ascii="Times New Roman" w:hAnsi="Times New Roman" w:cs="Times New Roman"/>
                <w:color w:val="000000"/>
              </w:rPr>
              <w:t xml:space="preserve"> UOKiK i</w:t>
            </w:r>
            <w:r w:rsidR="00FB7B29" w:rsidRPr="001578DD">
              <w:rPr>
                <w:rFonts w:ascii="Times New Roman" w:hAnsi="Times New Roman" w:cs="Times New Roman"/>
                <w:color w:val="000000"/>
              </w:rPr>
              <w:t xml:space="preserve"> Inspek</w:t>
            </w:r>
            <w:r w:rsidR="000E0388" w:rsidRPr="001578DD">
              <w:rPr>
                <w:rFonts w:ascii="Times New Roman" w:hAnsi="Times New Roman" w:cs="Times New Roman"/>
                <w:color w:val="000000"/>
              </w:rPr>
              <w:t xml:space="preserve">cji Handlowej oraz </w:t>
            </w:r>
            <w:r w:rsidR="008A09DD" w:rsidRPr="001578DD">
              <w:rPr>
                <w:rFonts w:ascii="Times New Roman" w:hAnsi="Times New Roman" w:cs="Times New Roman"/>
                <w:color w:val="000000"/>
              </w:rPr>
              <w:t>organów Krajowej Administracji Skarbowej</w:t>
            </w:r>
            <w:r w:rsidR="00FB7B29" w:rsidRPr="001578DD">
              <w:rPr>
                <w:rFonts w:ascii="Times New Roman" w:hAnsi="Times New Roman" w:cs="Times New Roman"/>
                <w:color w:val="000000"/>
              </w:rPr>
              <w:t xml:space="preserve">, które nie posiadają w swoich strukturach laboratoriów przystosowanych do poboru próbek paliw stałych i badania ich jakości. </w:t>
            </w:r>
          </w:p>
          <w:p w:rsidR="0080239B" w:rsidRPr="001578DD" w:rsidRDefault="0080239B" w:rsidP="001578DD">
            <w:pPr>
              <w:spacing w:before="60" w:after="60" w:line="240" w:lineRule="auto"/>
              <w:jc w:val="both"/>
              <w:rPr>
                <w:rFonts w:ascii="Times New Roman" w:eastAsia="Calibri" w:hAnsi="Times New Roman" w:cs="Times New Roman"/>
                <w:color w:val="000000"/>
              </w:rPr>
            </w:pPr>
            <w:r w:rsidRPr="001578DD">
              <w:rPr>
                <w:rFonts w:ascii="Times New Roman" w:eastAsia="Calibri" w:hAnsi="Times New Roman" w:cs="Times New Roman"/>
                <w:color w:val="000000"/>
              </w:rPr>
              <w:t>Według danych przedstawionych przez UOKiK i Służbę Celno-Ska</w:t>
            </w:r>
            <w:r w:rsidR="008C509D">
              <w:rPr>
                <w:rFonts w:ascii="Times New Roman" w:eastAsia="Calibri" w:hAnsi="Times New Roman" w:cs="Times New Roman"/>
                <w:color w:val="000000"/>
              </w:rPr>
              <w:t>rbową</w:t>
            </w:r>
            <w:r w:rsidRPr="001578DD">
              <w:rPr>
                <w:rFonts w:ascii="Times New Roman" w:eastAsia="Calibri" w:hAnsi="Times New Roman" w:cs="Times New Roman"/>
                <w:color w:val="000000"/>
              </w:rPr>
              <w:t xml:space="preserve">, porównując strukturę kosztów, jakie powinny być poniesione na realizację tych zamierzeń, większe wydatki wiązałyby się z utworzeniem funkcjonowania laboratorium oraz przygotowaniem organów kontroli do wymaganych czynności, aniżeli zastosowaniu innej opcji w postaci usług wykonywanych przez laboratoria zewnętrzne, które będą znacznie tańsze. </w:t>
            </w:r>
          </w:p>
          <w:p w:rsidR="0080239B" w:rsidRPr="001578DD" w:rsidRDefault="0080239B" w:rsidP="001578DD">
            <w:pPr>
              <w:spacing w:before="60" w:after="60" w:line="240" w:lineRule="auto"/>
              <w:jc w:val="both"/>
              <w:rPr>
                <w:rFonts w:ascii="Times New Roman" w:eastAsia="Calibri" w:hAnsi="Times New Roman" w:cs="Times New Roman"/>
                <w:color w:val="000000"/>
              </w:rPr>
            </w:pPr>
            <w:r w:rsidRPr="001578DD">
              <w:rPr>
                <w:rFonts w:ascii="Times New Roman" w:eastAsia="Calibri" w:hAnsi="Times New Roman" w:cs="Times New Roman"/>
                <w:color w:val="000000"/>
              </w:rPr>
              <w:t xml:space="preserve">Szacunkowe koszty przyjęto dla </w:t>
            </w:r>
            <w:r w:rsidR="00BB1C98" w:rsidRPr="001578DD">
              <w:rPr>
                <w:rFonts w:ascii="Times New Roman" w:eastAsia="Calibri" w:hAnsi="Times New Roman" w:cs="Times New Roman"/>
                <w:color w:val="000000"/>
              </w:rPr>
              <w:t>opcji</w:t>
            </w:r>
            <w:r w:rsidRPr="001578DD">
              <w:rPr>
                <w:rFonts w:ascii="Times New Roman" w:eastAsia="Calibri" w:hAnsi="Times New Roman" w:cs="Times New Roman"/>
                <w:color w:val="000000"/>
              </w:rPr>
              <w:t xml:space="preserve">, w której badania jakości paliw stałych zlecane są firmom zewnętrznym. </w:t>
            </w:r>
          </w:p>
          <w:p w:rsidR="0080239B" w:rsidRPr="001578DD" w:rsidRDefault="0080239B" w:rsidP="001578DD">
            <w:pPr>
              <w:spacing w:before="60" w:after="60" w:line="240" w:lineRule="auto"/>
              <w:jc w:val="both"/>
              <w:rPr>
                <w:rFonts w:ascii="Times New Roman" w:eastAsia="Calibri" w:hAnsi="Times New Roman" w:cs="Times New Roman"/>
                <w:color w:val="000000"/>
              </w:rPr>
            </w:pPr>
            <w:r w:rsidRPr="001578DD">
              <w:rPr>
                <w:rFonts w:ascii="Times New Roman" w:eastAsia="Calibri" w:hAnsi="Times New Roman" w:cs="Times New Roman"/>
                <w:color w:val="000000"/>
              </w:rPr>
              <w:t>Z informacji przedstawionych przez UOKiK wynika, że przewidywane środki finansowe niezbędne do realizacji zadań wynikających z przepisów ustawy i projektów rozporządzeń w skali roku wyniosą</w:t>
            </w:r>
            <w:r w:rsidR="00BB545C" w:rsidRPr="001578DD">
              <w:rPr>
                <w:rFonts w:ascii="Times New Roman" w:eastAsia="Calibri" w:hAnsi="Times New Roman" w:cs="Times New Roman"/>
                <w:color w:val="000000"/>
              </w:rPr>
              <w:t xml:space="preserve"> (</w:t>
            </w:r>
            <w:r w:rsidR="00594AB4" w:rsidRPr="001578DD">
              <w:rPr>
                <w:rFonts w:ascii="Times New Roman" w:eastAsia="Calibri" w:hAnsi="Times New Roman" w:cs="Times New Roman"/>
                <w:color w:val="000000"/>
              </w:rPr>
              <w:t>rok 2019</w:t>
            </w:r>
            <w:r w:rsidR="00BB545C" w:rsidRPr="001578DD">
              <w:rPr>
                <w:rFonts w:ascii="Times New Roman" w:eastAsia="Calibri" w:hAnsi="Times New Roman" w:cs="Times New Roman"/>
                <w:color w:val="000000"/>
              </w:rPr>
              <w:t>)</w:t>
            </w:r>
            <w:r w:rsidRPr="001578DD">
              <w:rPr>
                <w:rFonts w:ascii="Times New Roman" w:eastAsia="Calibri" w:hAnsi="Times New Roman" w:cs="Times New Roman"/>
                <w:color w:val="000000"/>
              </w:rPr>
              <w:t>:</w:t>
            </w:r>
          </w:p>
          <w:p w:rsidR="0080239B" w:rsidRPr="001578DD" w:rsidRDefault="0080239B" w:rsidP="00F33ECE">
            <w:pPr>
              <w:numPr>
                <w:ilvl w:val="0"/>
                <w:numId w:val="3"/>
              </w:numPr>
              <w:spacing w:after="0" w:line="240" w:lineRule="auto"/>
              <w:ind w:left="218" w:hanging="218"/>
              <w:contextualSpacing/>
              <w:rPr>
                <w:rFonts w:ascii="Times New Roman" w:eastAsia="Calibri" w:hAnsi="Times New Roman" w:cs="Times New Roman"/>
                <w:color w:val="000000"/>
              </w:rPr>
            </w:pPr>
            <w:r w:rsidRPr="001578DD">
              <w:rPr>
                <w:rFonts w:ascii="Times New Roman" w:eastAsia="Calibri" w:hAnsi="Times New Roman" w:cs="Times New Roman"/>
                <w:color w:val="000000"/>
              </w:rPr>
              <w:t>koszty Prezesa UOKiK</w:t>
            </w:r>
          </w:p>
          <w:p w:rsidR="0080239B" w:rsidRPr="001578DD" w:rsidRDefault="0080239B" w:rsidP="00F33ECE">
            <w:pPr>
              <w:numPr>
                <w:ilvl w:val="0"/>
                <w:numId w:val="4"/>
              </w:numPr>
              <w:spacing w:after="0" w:line="240" w:lineRule="auto"/>
              <w:ind w:left="492" w:hanging="284"/>
              <w:contextualSpacing/>
              <w:rPr>
                <w:rFonts w:ascii="Times New Roman" w:eastAsia="Calibri" w:hAnsi="Times New Roman" w:cs="Times New Roman"/>
                <w:color w:val="000000"/>
              </w:rPr>
            </w:pPr>
            <w:r w:rsidRPr="001578DD">
              <w:rPr>
                <w:rFonts w:ascii="Times New Roman" w:eastAsia="Calibri" w:hAnsi="Times New Roman" w:cs="Times New Roman"/>
                <w:color w:val="000000"/>
              </w:rPr>
              <w:t>pobór i badanie próbek stałych w laboratoriach zewnętrznych</w:t>
            </w:r>
            <w:r w:rsidR="00833625" w:rsidRPr="001578DD">
              <w:rPr>
                <w:rFonts w:ascii="Times New Roman" w:eastAsia="Calibri" w:hAnsi="Times New Roman" w:cs="Times New Roman"/>
                <w:color w:val="000000"/>
              </w:rPr>
              <w:t xml:space="preserve"> </w:t>
            </w:r>
            <w:r w:rsidRPr="001578DD">
              <w:rPr>
                <w:rFonts w:ascii="Times New Roman" w:eastAsia="Calibri" w:hAnsi="Times New Roman" w:cs="Times New Roman"/>
                <w:color w:val="000000"/>
              </w:rPr>
              <w:t>– 2 500 000 zł,</w:t>
            </w:r>
          </w:p>
          <w:p w:rsidR="0080239B" w:rsidRPr="001578DD" w:rsidRDefault="0080239B" w:rsidP="00F33ECE">
            <w:pPr>
              <w:numPr>
                <w:ilvl w:val="0"/>
                <w:numId w:val="4"/>
              </w:numPr>
              <w:spacing w:after="0" w:line="240" w:lineRule="auto"/>
              <w:ind w:left="492" w:hanging="284"/>
              <w:contextualSpacing/>
              <w:rPr>
                <w:rFonts w:ascii="Times New Roman" w:eastAsia="Calibri" w:hAnsi="Times New Roman" w:cs="Times New Roman"/>
                <w:color w:val="000000"/>
              </w:rPr>
            </w:pPr>
            <w:r w:rsidRPr="001578DD">
              <w:rPr>
                <w:rFonts w:ascii="Times New Roman" w:eastAsia="Calibri" w:hAnsi="Times New Roman" w:cs="Times New Roman"/>
                <w:color w:val="000000"/>
              </w:rPr>
              <w:t xml:space="preserve">zatrudnienie </w:t>
            </w:r>
            <w:r w:rsidR="00594AB4" w:rsidRPr="001578DD">
              <w:rPr>
                <w:rFonts w:ascii="Times New Roman" w:eastAsia="Calibri" w:hAnsi="Times New Roman" w:cs="Times New Roman"/>
                <w:color w:val="000000"/>
              </w:rPr>
              <w:t>6 stanowisk – 511 286</w:t>
            </w:r>
            <w:r w:rsidRPr="001578DD">
              <w:rPr>
                <w:rFonts w:ascii="Times New Roman" w:eastAsia="Calibri" w:hAnsi="Times New Roman" w:cs="Times New Roman"/>
                <w:color w:val="000000"/>
              </w:rPr>
              <w:t xml:space="preserve"> zł,</w:t>
            </w:r>
          </w:p>
          <w:p w:rsidR="00594AB4" w:rsidRPr="001578DD" w:rsidRDefault="00C174D3" w:rsidP="00F33ECE">
            <w:pPr>
              <w:pStyle w:val="Akapitzlist"/>
              <w:numPr>
                <w:ilvl w:val="0"/>
                <w:numId w:val="6"/>
              </w:numPr>
              <w:spacing w:after="0" w:line="240" w:lineRule="auto"/>
              <w:ind w:left="785" w:hanging="284"/>
              <w:rPr>
                <w:rFonts w:ascii="Times New Roman" w:eastAsia="Calibri" w:hAnsi="Times New Roman" w:cs="Times New Roman"/>
                <w:color w:val="000000"/>
              </w:rPr>
            </w:pPr>
            <w:r w:rsidRPr="001578DD">
              <w:rPr>
                <w:rFonts w:ascii="Times New Roman" w:eastAsia="Calibri" w:hAnsi="Times New Roman" w:cs="Times New Roman"/>
                <w:color w:val="000000"/>
              </w:rPr>
              <w:t>wynagrodzenia</w:t>
            </w:r>
            <w:r w:rsidR="00594AB4" w:rsidRPr="001578DD">
              <w:rPr>
                <w:rFonts w:ascii="Times New Roman" w:eastAsia="Calibri" w:hAnsi="Times New Roman" w:cs="Times New Roman"/>
                <w:color w:val="000000"/>
              </w:rPr>
              <w:t xml:space="preserve"> 421 406 zł,</w:t>
            </w:r>
          </w:p>
          <w:p w:rsidR="00594AB4" w:rsidRPr="001578DD" w:rsidRDefault="00594AB4" w:rsidP="00F33ECE">
            <w:pPr>
              <w:pStyle w:val="Akapitzlist"/>
              <w:numPr>
                <w:ilvl w:val="0"/>
                <w:numId w:val="6"/>
              </w:numPr>
              <w:spacing w:after="0" w:line="240" w:lineRule="auto"/>
              <w:ind w:left="785" w:hanging="284"/>
              <w:rPr>
                <w:rFonts w:ascii="Times New Roman" w:eastAsia="Calibri" w:hAnsi="Times New Roman" w:cs="Times New Roman"/>
                <w:color w:val="000000"/>
              </w:rPr>
            </w:pPr>
            <w:r w:rsidRPr="001578DD">
              <w:rPr>
                <w:rFonts w:ascii="Times New Roman" w:eastAsia="Calibri" w:hAnsi="Times New Roman" w:cs="Times New Roman"/>
                <w:color w:val="000000"/>
              </w:rPr>
              <w:t>pochodne 82 764 zł,</w:t>
            </w:r>
          </w:p>
          <w:p w:rsidR="00594AB4" w:rsidRPr="001578DD" w:rsidRDefault="00594AB4" w:rsidP="00F33ECE">
            <w:pPr>
              <w:pStyle w:val="Akapitzlist"/>
              <w:numPr>
                <w:ilvl w:val="0"/>
                <w:numId w:val="6"/>
              </w:numPr>
              <w:spacing w:after="0" w:line="240" w:lineRule="auto"/>
              <w:ind w:left="785" w:hanging="284"/>
              <w:rPr>
                <w:rFonts w:ascii="Times New Roman" w:eastAsia="Calibri" w:hAnsi="Times New Roman" w:cs="Times New Roman"/>
                <w:color w:val="000000"/>
              </w:rPr>
            </w:pPr>
            <w:r w:rsidRPr="001578DD">
              <w:rPr>
                <w:rFonts w:ascii="Times New Roman" w:eastAsia="Calibri" w:hAnsi="Times New Roman" w:cs="Times New Roman"/>
                <w:color w:val="000000"/>
              </w:rPr>
              <w:t>ZFŚS 7116 zł,</w:t>
            </w:r>
          </w:p>
          <w:p w:rsidR="0080239B" w:rsidRPr="001578DD" w:rsidRDefault="0080239B" w:rsidP="00F33ECE">
            <w:pPr>
              <w:numPr>
                <w:ilvl w:val="0"/>
                <w:numId w:val="4"/>
              </w:numPr>
              <w:spacing w:after="0" w:line="240" w:lineRule="auto"/>
              <w:ind w:left="492" w:hanging="284"/>
              <w:contextualSpacing/>
              <w:rPr>
                <w:rFonts w:ascii="Times New Roman" w:eastAsia="Calibri" w:hAnsi="Times New Roman" w:cs="Times New Roman"/>
                <w:color w:val="000000"/>
              </w:rPr>
            </w:pPr>
            <w:r w:rsidRPr="001578DD">
              <w:rPr>
                <w:rFonts w:ascii="Times New Roman" w:eastAsia="Calibri" w:hAnsi="Times New Roman" w:cs="Times New Roman"/>
                <w:color w:val="000000"/>
              </w:rPr>
              <w:t xml:space="preserve">utworzenie 6 stanowisk pracy – 47 400 zł (rok </w:t>
            </w:r>
            <w:r w:rsidR="004E5D0A" w:rsidRPr="001578DD">
              <w:rPr>
                <w:rFonts w:ascii="Times New Roman" w:eastAsia="Calibri" w:hAnsi="Times New Roman" w:cs="Times New Roman"/>
                <w:color w:val="000000"/>
              </w:rPr>
              <w:t>pierwszy</w:t>
            </w:r>
            <w:r w:rsidRPr="001578DD">
              <w:rPr>
                <w:rFonts w:ascii="Times New Roman" w:eastAsia="Calibri" w:hAnsi="Times New Roman" w:cs="Times New Roman"/>
                <w:color w:val="000000"/>
              </w:rPr>
              <w:t>),</w:t>
            </w:r>
          </w:p>
          <w:p w:rsidR="0080239B" w:rsidRPr="001578DD" w:rsidRDefault="0080239B" w:rsidP="00F33ECE">
            <w:pPr>
              <w:numPr>
                <w:ilvl w:val="0"/>
                <w:numId w:val="4"/>
              </w:numPr>
              <w:spacing w:after="0" w:line="240" w:lineRule="auto"/>
              <w:ind w:left="492" w:hanging="284"/>
              <w:contextualSpacing/>
              <w:jc w:val="both"/>
              <w:rPr>
                <w:rFonts w:ascii="Times New Roman" w:eastAsia="Calibri" w:hAnsi="Times New Roman" w:cs="Times New Roman"/>
                <w:color w:val="000000"/>
              </w:rPr>
            </w:pPr>
            <w:r w:rsidRPr="001578DD">
              <w:rPr>
                <w:rFonts w:ascii="Times New Roman" w:eastAsia="Calibri" w:hAnsi="Times New Roman" w:cs="Times New Roman"/>
                <w:color w:val="000000"/>
              </w:rPr>
              <w:t xml:space="preserve">przebudowa systemu informatycznego i bazy e-inspektor – 150 000 zł (rok </w:t>
            </w:r>
            <w:r w:rsidR="004E5D0A" w:rsidRPr="001578DD">
              <w:rPr>
                <w:rFonts w:ascii="Times New Roman" w:eastAsia="Calibri" w:hAnsi="Times New Roman" w:cs="Times New Roman"/>
                <w:color w:val="000000"/>
              </w:rPr>
              <w:t>pierwszy</w:t>
            </w:r>
            <w:r w:rsidRPr="001578DD">
              <w:rPr>
                <w:rFonts w:ascii="Times New Roman" w:eastAsia="Calibri" w:hAnsi="Times New Roman" w:cs="Times New Roman"/>
                <w:color w:val="000000"/>
              </w:rPr>
              <w:t>),</w:t>
            </w:r>
          </w:p>
          <w:p w:rsidR="0080239B" w:rsidRPr="001578DD" w:rsidRDefault="0080239B" w:rsidP="00F33ECE">
            <w:pPr>
              <w:numPr>
                <w:ilvl w:val="0"/>
                <w:numId w:val="4"/>
              </w:numPr>
              <w:spacing w:after="0" w:line="240" w:lineRule="auto"/>
              <w:ind w:left="492" w:hanging="284"/>
              <w:contextualSpacing/>
              <w:rPr>
                <w:rFonts w:ascii="Times New Roman" w:eastAsia="Calibri" w:hAnsi="Times New Roman" w:cs="Times New Roman"/>
                <w:color w:val="000000"/>
              </w:rPr>
            </w:pPr>
            <w:r w:rsidRPr="001578DD">
              <w:rPr>
                <w:rFonts w:ascii="Times New Roman" w:eastAsia="Calibri" w:hAnsi="Times New Roman" w:cs="Times New Roman"/>
                <w:color w:val="000000"/>
              </w:rPr>
              <w:t>szkolenia dla pracowników UOKiK i inspektorów WIH – 100 000 zł</w:t>
            </w:r>
          </w:p>
          <w:p w:rsidR="0080239B" w:rsidRPr="001578DD" w:rsidRDefault="00F33ECE" w:rsidP="00F33ECE">
            <w:pPr>
              <w:spacing w:after="0" w:line="240" w:lineRule="auto"/>
              <w:ind w:left="492"/>
              <w:contextualSpacing/>
              <w:rPr>
                <w:rFonts w:ascii="Times New Roman" w:eastAsia="Calibri" w:hAnsi="Times New Roman" w:cs="Times New Roman"/>
                <w:color w:val="000000"/>
              </w:rPr>
            </w:pPr>
            <w:r>
              <w:rPr>
                <w:rFonts w:ascii="Times New Roman" w:eastAsia="Calibri" w:hAnsi="Times New Roman" w:cs="Times New Roman"/>
                <w:color w:val="000000"/>
              </w:rPr>
              <w:t xml:space="preserve">– </w:t>
            </w:r>
            <w:r w:rsidR="0080239B" w:rsidRPr="001578DD">
              <w:rPr>
                <w:rFonts w:ascii="Times New Roman" w:eastAsia="Calibri" w:hAnsi="Times New Roman" w:cs="Times New Roman"/>
                <w:color w:val="000000"/>
              </w:rPr>
              <w:t>suma 3 </w:t>
            </w:r>
            <w:r w:rsidR="000F3E33" w:rsidRPr="001578DD">
              <w:rPr>
                <w:rFonts w:ascii="Times New Roman" w:eastAsia="Calibri" w:hAnsi="Times New Roman" w:cs="Times New Roman"/>
                <w:color w:val="000000"/>
              </w:rPr>
              <w:t>308 687</w:t>
            </w:r>
            <w:r w:rsidR="0080239B" w:rsidRPr="001578DD">
              <w:rPr>
                <w:rFonts w:ascii="Times New Roman" w:eastAsia="Calibri" w:hAnsi="Times New Roman" w:cs="Times New Roman"/>
                <w:color w:val="000000"/>
              </w:rPr>
              <w:t xml:space="preserve"> zł</w:t>
            </w:r>
          </w:p>
          <w:p w:rsidR="0080239B" w:rsidRPr="001578DD" w:rsidRDefault="0080239B" w:rsidP="00F33ECE">
            <w:pPr>
              <w:numPr>
                <w:ilvl w:val="0"/>
                <w:numId w:val="3"/>
              </w:numPr>
              <w:spacing w:after="0" w:line="240" w:lineRule="auto"/>
              <w:ind w:left="198" w:hanging="198"/>
              <w:contextualSpacing/>
              <w:rPr>
                <w:rFonts w:ascii="Times New Roman" w:eastAsia="Calibri" w:hAnsi="Times New Roman" w:cs="Times New Roman"/>
                <w:color w:val="000000"/>
              </w:rPr>
            </w:pPr>
            <w:r w:rsidRPr="001578DD">
              <w:rPr>
                <w:rFonts w:ascii="Times New Roman" w:eastAsia="Calibri" w:hAnsi="Times New Roman" w:cs="Times New Roman"/>
                <w:color w:val="000000"/>
              </w:rPr>
              <w:t>koszty wojewódzkich Inspektorów Inspekcji Handlowej</w:t>
            </w:r>
          </w:p>
          <w:p w:rsidR="0080239B" w:rsidRPr="001578DD" w:rsidRDefault="0080239B" w:rsidP="00F33ECE">
            <w:pPr>
              <w:numPr>
                <w:ilvl w:val="0"/>
                <w:numId w:val="5"/>
              </w:numPr>
              <w:spacing w:after="0" w:line="240" w:lineRule="auto"/>
              <w:ind w:left="492" w:hanging="284"/>
              <w:contextualSpacing/>
              <w:rPr>
                <w:rFonts w:ascii="Times New Roman" w:eastAsia="Calibri" w:hAnsi="Times New Roman" w:cs="Times New Roman"/>
                <w:color w:val="000000"/>
              </w:rPr>
            </w:pPr>
            <w:r w:rsidRPr="001578DD">
              <w:rPr>
                <w:rFonts w:ascii="Times New Roman" w:eastAsia="Calibri" w:hAnsi="Times New Roman" w:cs="Times New Roman"/>
                <w:color w:val="000000"/>
              </w:rPr>
              <w:t xml:space="preserve">zatrudnienie </w:t>
            </w:r>
            <w:r w:rsidR="000F3E33" w:rsidRPr="001578DD">
              <w:rPr>
                <w:rFonts w:ascii="Times New Roman" w:eastAsia="Calibri" w:hAnsi="Times New Roman" w:cs="Times New Roman"/>
                <w:color w:val="000000"/>
              </w:rPr>
              <w:t>32 stanowisk</w:t>
            </w:r>
            <w:r w:rsidR="00594AB4" w:rsidRPr="001578DD">
              <w:rPr>
                <w:rFonts w:ascii="Times New Roman" w:eastAsia="Calibri" w:hAnsi="Times New Roman" w:cs="Times New Roman"/>
                <w:color w:val="000000"/>
              </w:rPr>
              <w:t>a</w:t>
            </w:r>
            <w:r w:rsidR="000F3E33" w:rsidRPr="001578DD">
              <w:rPr>
                <w:rFonts w:ascii="Times New Roman" w:eastAsia="Calibri" w:hAnsi="Times New Roman" w:cs="Times New Roman"/>
                <w:color w:val="000000"/>
              </w:rPr>
              <w:t xml:space="preserve"> – 1 792 55</w:t>
            </w:r>
            <w:r w:rsidRPr="001578DD">
              <w:rPr>
                <w:rFonts w:ascii="Times New Roman" w:eastAsia="Calibri" w:hAnsi="Times New Roman" w:cs="Times New Roman"/>
                <w:color w:val="000000"/>
              </w:rPr>
              <w:t>0 zł</w:t>
            </w:r>
            <w:r w:rsidR="001C4500">
              <w:rPr>
                <w:rFonts w:ascii="Times New Roman" w:eastAsia="Calibri" w:hAnsi="Times New Roman" w:cs="Times New Roman"/>
                <w:color w:val="000000"/>
              </w:rPr>
              <w:t>,</w:t>
            </w:r>
          </w:p>
          <w:p w:rsidR="00594AB4" w:rsidRPr="001578DD" w:rsidRDefault="00C174D3" w:rsidP="00F33ECE">
            <w:pPr>
              <w:pStyle w:val="Akapitzlist"/>
              <w:numPr>
                <w:ilvl w:val="0"/>
                <w:numId w:val="7"/>
              </w:numPr>
              <w:spacing w:after="0" w:line="240" w:lineRule="auto"/>
              <w:ind w:left="785" w:hanging="284"/>
              <w:rPr>
                <w:rFonts w:ascii="Times New Roman" w:eastAsia="Calibri" w:hAnsi="Times New Roman" w:cs="Times New Roman"/>
                <w:color w:val="000000"/>
              </w:rPr>
            </w:pPr>
            <w:r w:rsidRPr="001578DD">
              <w:rPr>
                <w:rFonts w:ascii="Times New Roman" w:eastAsia="Calibri" w:hAnsi="Times New Roman" w:cs="Times New Roman"/>
                <w:color w:val="000000"/>
              </w:rPr>
              <w:t>wynagrodzenia 1 466 564 zł,</w:t>
            </w:r>
          </w:p>
          <w:p w:rsidR="00C174D3" w:rsidRPr="001578DD" w:rsidRDefault="00C174D3" w:rsidP="00F33ECE">
            <w:pPr>
              <w:pStyle w:val="Akapitzlist"/>
              <w:numPr>
                <w:ilvl w:val="0"/>
                <w:numId w:val="7"/>
              </w:numPr>
              <w:spacing w:after="0" w:line="240" w:lineRule="auto"/>
              <w:ind w:left="785" w:hanging="284"/>
              <w:rPr>
                <w:rFonts w:ascii="Times New Roman" w:eastAsia="Calibri" w:hAnsi="Times New Roman" w:cs="Times New Roman"/>
                <w:color w:val="000000"/>
              </w:rPr>
            </w:pPr>
            <w:r w:rsidRPr="001578DD">
              <w:rPr>
                <w:rFonts w:ascii="Times New Roman" w:eastAsia="Calibri" w:hAnsi="Times New Roman" w:cs="Times New Roman"/>
                <w:color w:val="000000"/>
              </w:rPr>
              <w:t>pochodne 288 033 zł,</w:t>
            </w:r>
          </w:p>
          <w:p w:rsidR="00C174D3" w:rsidRPr="001578DD" w:rsidRDefault="00C174D3" w:rsidP="00F33ECE">
            <w:pPr>
              <w:pStyle w:val="Akapitzlist"/>
              <w:numPr>
                <w:ilvl w:val="0"/>
                <w:numId w:val="7"/>
              </w:numPr>
              <w:spacing w:after="0" w:line="240" w:lineRule="auto"/>
              <w:ind w:left="785" w:hanging="284"/>
              <w:rPr>
                <w:rFonts w:ascii="Times New Roman" w:eastAsia="Calibri" w:hAnsi="Times New Roman" w:cs="Times New Roman"/>
                <w:color w:val="000000"/>
              </w:rPr>
            </w:pPr>
            <w:r w:rsidRPr="001578DD">
              <w:rPr>
                <w:rFonts w:ascii="Times New Roman" w:eastAsia="Calibri" w:hAnsi="Times New Roman" w:cs="Times New Roman"/>
                <w:color w:val="000000"/>
              </w:rPr>
              <w:t>ZFŚS 37 953 zł,</w:t>
            </w:r>
          </w:p>
          <w:p w:rsidR="0080239B" w:rsidRPr="001578DD" w:rsidRDefault="0080239B" w:rsidP="00F33ECE">
            <w:pPr>
              <w:numPr>
                <w:ilvl w:val="0"/>
                <w:numId w:val="5"/>
              </w:numPr>
              <w:spacing w:after="0" w:line="240" w:lineRule="auto"/>
              <w:ind w:left="492" w:hanging="284"/>
              <w:contextualSpacing/>
              <w:rPr>
                <w:rFonts w:ascii="Times New Roman" w:eastAsia="Calibri" w:hAnsi="Times New Roman" w:cs="Times New Roman"/>
                <w:color w:val="000000"/>
              </w:rPr>
            </w:pPr>
            <w:r w:rsidRPr="001578DD">
              <w:rPr>
                <w:rFonts w:ascii="Times New Roman" w:eastAsia="Calibri" w:hAnsi="Times New Roman" w:cs="Times New Roman"/>
                <w:color w:val="000000"/>
              </w:rPr>
              <w:t>utworzenie 32 stanowisk pracy – 252 800 zł</w:t>
            </w:r>
            <w:r w:rsidR="00267EFE" w:rsidRPr="001578DD">
              <w:rPr>
                <w:rFonts w:ascii="Times New Roman" w:eastAsia="Calibri" w:hAnsi="Times New Roman" w:cs="Times New Roman"/>
                <w:color w:val="000000"/>
              </w:rPr>
              <w:t xml:space="preserve"> (rok </w:t>
            </w:r>
            <w:r w:rsidR="004E5D0A" w:rsidRPr="001578DD">
              <w:rPr>
                <w:rFonts w:ascii="Times New Roman" w:eastAsia="Calibri" w:hAnsi="Times New Roman" w:cs="Times New Roman"/>
                <w:color w:val="000000"/>
              </w:rPr>
              <w:t>pierwszy</w:t>
            </w:r>
            <w:r w:rsidR="00267EFE" w:rsidRPr="001578DD">
              <w:rPr>
                <w:rFonts w:ascii="Times New Roman" w:eastAsia="Calibri" w:hAnsi="Times New Roman" w:cs="Times New Roman"/>
                <w:color w:val="000000"/>
              </w:rPr>
              <w:t>)</w:t>
            </w:r>
            <w:r w:rsidR="001C4500">
              <w:rPr>
                <w:rFonts w:ascii="Times New Roman" w:eastAsia="Calibri" w:hAnsi="Times New Roman" w:cs="Times New Roman"/>
                <w:color w:val="000000"/>
              </w:rPr>
              <w:t>,</w:t>
            </w:r>
          </w:p>
          <w:p w:rsidR="00342A9F" w:rsidRPr="001578DD" w:rsidRDefault="000E285F" w:rsidP="00F33ECE">
            <w:pPr>
              <w:numPr>
                <w:ilvl w:val="0"/>
                <w:numId w:val="5"/>
              </w:numPr>
              <w:spacing w:after="0" w:line="240" w:lineRule="auto"/>
              <w:ind w:left="492" w:hanging="284"/>
              <w:contextualSpacing/>
              <w:jc w:val="both"/>
              <w:rPr>
                <w:rFonts w:ascii="Times New Roman" w:eastAsia="Calibri" w:hAnsi="Times New Roman" w:cs="Times New Roman"/>
                <w:color w:val="000000"/>
              </w:rPr>
            </w:pPr>
            <w:r w:rsidRPr="001578DD">
              <w:rPr>
                <w:rFonts w:ascii="Times New Roman" w:eastAsia="Calibri" w:hAnsi="Times New Roman" w:cs="Times New Roman"/>
                <w:color w:val="000000"/>
              </w:rPr>
              <w:t>obowiązki kontrolne dotyczące świadectw jakości paliw oraz prowadzenie postępowań administracyjnych w tym zakresie – 360</w:t>
            </w:r>
            <w:r w:rsidRPr="001578DD">
              <w:rPr>
                <w:rFonts w:ascii="Times New Roman" w:hAnsi="Times New Roman" w:cs="Times New Roman"/>
              </w:rPr>
              <w:t> 000 zł</w:t>
            </w:r>
            <w:r w:rsidR="001C4500">
              <w:rPr>
                <w:rFonts w:ascii="Times New Roman" w:hAnsi="Times New Roman" w:cs="Times New Roman"/>
              </w:rPr>
              <w:t>,</w:t>
            </w:r>
          </w:p>
          <w:p w:rsidR="0080239B" w:rsidRPr="001578DD" w:rsidRDefault="0080239B" w:rsidP="00F33ECE">
            <w:pPr>
              <w:numPr>
                <w:ilvl w:val="0"/>
                <w:numId w:val="5"/>
              </w:numPr>
              <w:spacing w:after="0" w:line="240" w:lineRule="auto"/>
              <w:ind w:left="492" w:hanging="284"/>
              <w:contextualSpacing/>
              <w:rPr>
                <w:rFonts w:ascii="Times New Roman" w:eastAsia="Calibri" w:hAnsi="Times New Roman" w:cs="Times New Roman"/>
                <w:color w:val="000000"/>
              </w:rPr>
            </w:pPr>
            <w:r w:rsidRPr="001578DD">
              <w:rPr>
                <w:rFonts w:ascii="Times New Roman" w:eastAsia="Calibri" w:hAnsi="Times New Roman" w:cs="Times New Roman"/>
                <w:color w:val="000000"/>
              </w:rPr>
              <w:t>wydatki bieżące (materiały biurowe, usługi pocztowe itp.) – 304 000 zł</w:t>
            </w:r>
          </w:p>
          <w:p w:rsidR="00655DE0" w:rsidRPr="001578DD" w:rsidRDefault="00F33ECE" w:rsidP="00F33ECE">
            <w:pPr>
              <w:spacing w:after="0" w:line="240" w:lineRule="auto"/>
              <w:ind w:left="492"/>
              <w:contextualSpacing/>
              <w:rPr>
                <w:rFonts w:ascii="Times New Roman" w:eastAsia="Calibri" w:hAnsi="Times New Roman" w:cs="Times New Roman"/>
                <w:color w:val="000000"/>
              </w:rPr>
            </w:pPr>
            <w:r>
              <w:rPr>
                <w:rFonts w:ascii="Times New Roman" w:eastAsia="Calibri" w:hAnsi="Times New Roman" w:cs="Times New Roman"/>
                <w:color w:val="000000"/>
              </w:rPr>
              <w:t xml:space="preserve">– </w:t>
            </w:r>
            <w:r w:rsidR="000F3E33" w:rsidRPr="001578DD">
              <w:rPr>
                <w:rFonts w:ascii="Times New Roman" w:eastAsia="Calibri" w:hAnsi="Times New Roman" w:cs="Times New Roman"/>
                <w:color w:val="000000"/>
              </w:rPr>
              <w:t>suma 2</w:t>
            </w:r>
            <w:r w:rsidR="0080239B" w:rsidRPr="001578DD">
              <w:rPr>
                <w:rFonts w:ascii="Times New Roman" w:eastAsia="Calibri" w:hAnsi="Times New Roman" w:cs="Times New Roman"/>
                <w:color w:val="000000"/>
              </w:rPr>
              <w:t> </w:t>
            </w:r>
            <w:r w:rsidR="000F3E33" w:rsidRPr="001578DD">
              <w:rPr>
                <w:rFonts w:ascii="Times New Roman" w:eastAsia="Calibri" w:hAnsi="Times New Roman" w:cs="Times New Roman"/>
                <w:color w:val="000000"/>
              </w:rPr>
              <w:t>709</w:t>
            </w:r>
            <w:r w:rsidR="00DE0958" w:rsidRPr="001578DD">
              <w:rPr>
                <w:rFonts w:ascii="Times New Roman" w:eastAsia="Calibri" w:hAnsi="Times New Roman" w:cs="Times New Roman"/>
                <w:color w:val="000000"/>
              </w:rPr>
              <w:t> </w:t>
            </w:r>
            <w:r w:rsidR="000F3E33" w:rsidRPr="001578DD">
              <w:rPr>
                <w:rFonts w:ascii="Times New Roman" w:eastAsia="Calibri" w:hAnsi="Times New Roman" w:cs="Times New Roman"/>
                <w:color w:val="000000"/>
              </w:rPr>
              <w:t>350</w:t>
            </w:r>
            <w:r w:rsidR="0080239B" w:rsidRPr="001578DD">
              <w:rPr>
                <w:rFonts w:ascii="Times New Roman" w:eastAsia="Calibri" w:hAnsi="Times New Roman" w:cs="Times New Roman"/>
                <w:color w:val="000000"/>
              </w:rPr>
              <w:t xml:space="preserve"> zł.</w:t>
            </w:r>
          </w:p>
          <w:p w:rsidR="009422CA" w:rsidRPr="001578DD" w:rsidRDefault="009C714D" w:rsidP="001578DD">
            <w:pPr>
              <w:spacing w:before="60" w:after="60" w:line="240" w:lineRule="auto"/>
              <w:jc w:val="both"/>
              <w:rPr>
                <w:rFonts w:ascii="Times New Roman" w:hAnsi="Times New Roman" w:cs="Times New Roman"/>
                <w:color w:val="000000"/>
              </w:rPr>
            </w:pPr>
            <w:r w:rsidRPr="001578DD">
              <w:rPr>
                <w:rFonts w:ascii="Times New Roman" w:hAnsi="Times New Roman" w:cs="Times New Roman"/>
                <w:color w:val="000000"/>
              </w:rPr>
              <w:t>Wydatki związane z poborem próbek paliw stałych będą uwzględniały koszty laboratoriów posiadających umiejętności i specjalistyczny sprzęt do pobrania próbek do badań i próbek kontrolnych</w:t>
            </w:r>
            <w:r w:rsidR="001C4500">
              <w:rPr>
                <w:rFonts w:ascii="Times New Roman" w:hAnsi="Times New Roman" w:cs="Times New Roman"/>
                <w:color w:val="000000"/>
              </w:rPr>
              <w:t>.</w:t>
            </w:r>
            <w:r w:rsidR="00267EFE" w:rsidRPr="001578DD">
              <w:rPr>
                <w:rFonts w:ascii="Times New Roman" w:hAnsi="Times New Roman" w:cs="Times New Roman"/>
                <w:color w:val="000000"/>
              </w:rPr>
              <w:t xml:space="preserve"> Powyższe koszty obejmują również środki finansowe</w:t>
            </w:r>
            <w:r w:rsidR="00833625" w:rsidRPr="001578DD">
              <w:rPr>
                <w:rFonts w:ascii="Times New Roman" w:hAnsi="Times New Roman" w:cs="Times New Roman"/>
                <w:color w:val="000000"/>
              </w:rPr>
              <w:t xml:space="preserve"> </w:t>
            </w:r>
            <w:r w:rsidRPr="001578DD">
              <w:rPr>
                <w:rFonts w:ascii="Times New Roman" w:hAnsi="Times New Roman" w:cs="Times New Roman"/>
                <w:color w:val="000000"/>
              </w:rPr>
              <w:t xml:space="preserve">niezbędne </w:t>
            </w:r>
            <w:r w:rsidR="00CE1CF1" w:rsidRPr="001578DD">
              <w:rPr>
                <w:rFonts w:ascii="Times New Roman" w:hAnsi="Times New Roman" w:cs="Times New Roman"/>
                <w:color w:val="000000"/>
              </w:rPr>
              <w:t xml:space="preserve">do </w:t>
            </w:r>
            <w:r w:rsidRPr="001578DD">
              <w:rPr>
                <w:rFonts w:ascii="Times New Roman" w:hAnsi="Times New Roman" w:cs="Times New Roman"/>
                <w:color w:val="000000"/>
              </w:rPr>
              <w:t>pokryci</w:t>
            </w:r>
            <w:r w:rsidR="00CE1CF1" w:rsidRPr="001578DD">
              <w:rPr>
                <w:rFonts w:ascii="Times New Roman" w:hAnsi="Times New Roman" w:cs="Times New Roman"/>
                <w:color w:val="000000"/>
              </w:rPr>
              <w:t>a</w:t>
            </w:r>
            <w:r w:rsidRPr="001578DD">
              <w:rPr>
                <w:rFonts w:ascii="Times New Roman" w:hAnsi="Times New Roman" w:cs="Times New Roman"/>
                <w:color w:val="000000"/>
              </w:rPr>
              <w:t xml:space="preserve"> wydatków związanych</w:t>
            </w:r>
            <w:r w:rsidR="00F33ECE">
              <w:rPr>
                <w:rFonts w:ascii="Times New Roman" w:hAnsi="Times New Roman" w:cs="Times New Roman"/>
                <w:color w:val="000000"/>
              </w:rPr>
              <w:t xml:space="preserve"> z nowymi etatami szczególnie w </w:t>
            </w:r>
            <w:r w:rsidRPr="001578DD">
              <w:rPr>
                <w:rFonts w:ascii="Times New Roman" w:hAnsi="Times New Roman" w:cs="Times New Roman"/>
                <w:color w:val="000000"/>
              </w:rPr>
              <w:t>wojewódzkich inspektoratach IH realizujących kontrole przy udziale wyspecjalizowanych pracowników laboratoriów oraz etatami pracowników obsługujących system monitorowania jakości paliw stałych w UOKiK, a także przygotowaniem ich do realizacji nowych zadań.</w:t>
            </w:r>
          </w:p>
          <w:p w:rsidR="009C714D" w:rsidRPr="001578DD" w:rsidRDefault="009C714D" w:rsidP="001578DD">
            <w:pPr>
              <w:spacing w:before="60" w:after="60" w:line="240" w:lineRule="auto"/>
              <w:jc w:val="both"/>
              <w:rPr>
                <w:rFonts w:ascii="Times New Roman" w:hAnsi="Times New Roman" w:cs="Times New Roman"/>
                <w:color w:val="000000"/>
              </w:rPr>
            </w:pPr>
            <w:r w:rsidRPr="001578DD">
              <w:rPr>
                <w:rFonts w:ascii="Times New Roman" w:hAnsi="Times New Roman" w:cs="Times New Roman"/>
                <w:color w:val="000000"/>
              </w:rPr>
              <w:t xml:space="preserve">W pierwszym roku funkcjonowania </w:t>
            </w:r>
            <w:r w:rsidR="00267EFE" w:rsidRPr="001578DD">
              <w:rPr>
                <w:rFonts w:ascii="Times New Roman" w:hAnsi="Times New Roman" w:cs="Times New Roman"/>
                <w:color w:val="000000"/>
              </w:rPr>
              <w:t>ustawy</w:t>
            </w:r>
            <w:r w:rsidRPr="001578DD">
              <w:rPr>
                <w:rFonts w:ascii="Times New Roman" w:hAnsi="Times New Roman" w:cs="Times New Roman"/>
                <w:color w:val="000000"/>
              </w:rPr>
              <w:t xml:space="preserve"> kwota </w:t>
            </w:r>
            <w:r w:rsidR="00CE1CF1" w:rsidRPr="001578DD">
              <w:rPr>
                <w:rFonts w:ascii="Times New Roman" w:hAnsi="Times New Roman" w:cs="Times New Roman"/>
                <w:color w:val="000000"/>
              </w:rPr>
              <w:t xml:space="preserve">ta </w:t>
            </w:r>
            <w:r w:rsidRPr="001578DD">
              <w:rPr>
                <w:rFonts w:ascii="Times New Roman" w:hAnsi="Times New Roman" w:cs="Times New Roman"/>
                <w:color w:val="000000"/>
              </w:rPr>
              <w:t xml:space="preserve">będzie nieznacznie wyższa, gdyż doliczone zostały jednorazowe koszty związane z utworzeniem nowych stanowisk pracy, przeszkoleniem pracowników, przebudowy </w:t>
            </w:r>
            <w:r w:rsidR="00F33ECE">
              <w:rPr>
                <w:rFonts w:ascii="Times New Roman" w:hAnsi="Times New Roman" w:cs="Times New Roman"/>
                <w:color w:val="000000"/>
              </w:rPr>
              <w:t>bazy e-inspektor itp. Zgodnie z </w:t>
            </w:r>
            <w:r w:rsidRPr="001578DD">
              <w:rPr>
                <w:rFonts w:ascii="Times New Roman" w:hAnsi="Times New Roman" w:cs="Times New Roman"/>
                <w:color w:val="000000"/>
              </w:rPr>
              <w:t xml:space="preserve">ustawą z dnia 25 sierpnia 2006 r. </w:t>
            </w:r>
            <w:r w:rsidRPr="001578DD">
              <w:rPr>
                <w:rFonts w:ascii="Times New Roman" w:hAnsi="Times New Roman" w:cs="Times New Roman"/>
                <w:i/>
                <w:color w:val="000000"/>
              </w:rPr>
              <w:t xml:space="preserve">o systemie monitorowania i kontrolowania jakości paliw </w:t>
            </w:r>
            <w:r w:rsidRPr="001578DD">
              <w:rPr>
                <w:rFonts w:ascii="Times New Roman" w:hAnsi="Times New Roman" w:cs="Times New Roman"/>
                <w:color w:val="000000"/>
              </w:rPr>
              <w:t xml:space="preserve">kontrolę będą przeprowadzali uprawnieni do tych czynności pracownicy Inspekcji Handlowej (w kraju) oraz Służby Celno-Skarbowej (na granicach RP). </w:t>
            </w:r>
          </w:p>
          <w:p w:rsidR="009422CA" w:rsidRPr="001578DD" w:rsidRDefault="009422CA" w:rsidP="001578DD">
            <w:pPr>
              <w:spacing w:before="60" w:after="60" w:line="240" w:lineRule="auto"/>
              <w:jc w:val="both"/>
              <w:rPr>
                <w:rFonts w:ascii="Times New Roman" w:hAnsi="Times New Roman" w:cs="Times New Roman"/>
              </w:rPr>
            </w:pPr>
            <w:r w:rsidRPr="001578DD">
              <w:rPr>
                <w:rFonts w:ascii="Times New Roman" w:hAnsi="Times New Roman" w:cs="Times New Roman"/>
              </w:rPr>
              <w:t xml:space="preserve">Do wydatków w kolejnych latach doliczona została inflacja </w:t>
            </w:r>
            <w:r w:rsidR="00F973D7" w:rsidRPr="001578DD">
              <w:rPr>
                <w:rFonts w:ascii="Times New Roman" w:hAnsi="Times New Roman" w:cs="Times New Roman"/>
              </w:rPr>
              <w:t xml:space="preserve">zgodnie z </w:t>
            </w:r>
            <w:r w:rsidR="00F973D7" w:rsidRPr="001578DD">
              <w:rPr>
                <w:rFonts w:ascii="Times New Roman" w:hAnsi="Times New Roman" w:cs="Times New Roman"/>
                <w:i/>
              </w:rPr>
              <w:t>Wytycznymi dotyczącymi stosowania jednolitych wskaźników makroekonomicznych będących podstawą oszacowania skutków finansowych projektowanych ustaw (październik 2017).</w:t>
            </w:r>
          </w:p>
          <w:p w:rsidR="00C06A19" w:rsidRPr="001578DD" w:rsidRDefault="009C714D" w:rsidP="001578DD">
            <w:pPr>
              <w:spacing w:before="60" w:after="60" w:line="240" w:lineRule="auto"/>
              <w:jc w:val="both"/>
              <w:rPr>
                <w:rFonts w:ascii="Times New Roman" w:hAnsi="Times New Roman" w:cs="Times New Roman"/>
                <w:color w:val="000000"/>
              </w:rPr>
            </w:pPr>
            <w:r w:rsidRPr="001578DD">
              <w:rPr>
                <w:rFonts w:ascii="Times New Roman" w:hAnsi="Times New Roman" w:cs="Times New Roman"/>
                <w:color w:val="000000"/>
              </w:rPr>
              <w:t xml:space="preserve">Kwoty </w:t>
            </w:r>
            <w:r w:rsidR="00BB1C98" w:rsidRPr="001578DD">
              <w:rPr>
                <w:rFonts w:ascii="Times New Roman" w:hAnsi="Times New Roman" w:cs="Times New Roman"/>
                <w:color w:val="000000"/>
              </w:rPr>
              <w:t xml:space="preserve">przedstawione w tabeli </w:t>
            </w:r>
            <w:r w:rsidR="00FB7B29" w:rsidRPr="001578DD">
              <w:rPr>
                <w:rFonts w:ascii="Times New Roman" w:hAnsi="Times New Roman" w:cs="Times New Roman"/>
                <w:color w:val="000000"/>
              </w:rPr>
              <w:t>stanowi</w:t>
            </w:r>
            <w:r w:rsidRPr="001578DD">
              <w:rPr>
                <w:rFonts w:ascii="Times New Roman" w:hAnsi="Times New Roman" w:cs="Times New Roman"/>
                <w:color w:val="000000"/>
              </w:rPr>
              <w:t>ą</w:t>
            </w:r>
            <w:r w:rsidR="00FB7B29" w:rsidRPr="001578DD">
              <w:rPr>
                <w:rFonts w:ascii="Times New Roman" w:hAnsi="Times New Roman" w:cs="Times New Roman"/>
                <w:color w:val="000000"/>
              </w:rPr>
              <w:t xml:space="preserve"> pokrycie kosztów</w:t>
            </w:r>
            <w:r w:rsidR="00267EFE" w:rsidRPr="001578DD">
              <w:rPr>
                <w:rFonts w:ascii="Times New Roman" w:hAnsi="Times New Roman" w:cs="Times New Roman"/>
                <w:color w:val="000000"/>
              </w:rPr>
              <w:t xml:space="preserve"> poboru oraz</w:t>
            </w:r>
            <w:r w:rsidR="00FB7B29" w:rsidRPr="001578DD">
              <w:rPr>
                <w:rFonts w:ascii="Times New Roman" w:hAnsi="Times New Roman" w:cs="Times New Roman"/>
                <w:color w:val="000000"/>
              </w:rPr>
              <w:t xml:space="preserve"> wykonania badań ok. 1400 próbek rocznie w laboratoriach zewnętrznych, co stanowi 10% składów paliw sta</w:t>
            </w:r>
            <w:r w:rsidR="00BB1C98" w:rsidRPr="001578DD">
              <w:rPr>
                <w:rFonts w:ascii="Times New Roman" w:hAnsi="Times New Roman" w:cs="Times New Roman"/>
                <w:color w:val="000000"/>
              </w:rPr>
              <w:t>łych działających na terenie RP</w:t>
            </w:r>
            <w:r w:rsidR="0071455F" w:rsidRPr="001578DD">
              <w:rPr>
                <w:rFonts w:ascii="Times New Roman" w:hAnsi="Times New Roman" w:cs="Times New Roman"/>
                <w:color w:val="000000"/>
              </w:rPr>
              <w:t xml:space="preserve"> </w:t>
            </w:r>
            <w:r w:rsidR="00FB7B29" w:rsidRPr="001578DD">
              <w:rPr>
                <w:rFonts w:ascii="Times New Roman" w:hAnsi="Times New Roman" w:cs="Times New Roman"/>
                <w:color w:val="000000"/>
              </w:rPr>
              <w:t>(wyk</w:t>
            </w:r>
            <w:r w:rsidR="00F33ECE">
              <w:rPr>
                <w:rFonts w:ascii="Times New Roman" w:hAnsi="Times New Roman" w:cs="Times New Roman"/>
                <w:color w:val="000000"/>
              </w:rPr>
              <w:t>onanie ok. 1000 badań próbek wg </w:t>
            </w:r>
            <w:r w:rsidR="00FB7B29" w:rsidRPr="001578DD">
              <w:rPr>
                <w:rFonts w:ascii="Times New Roman" w:hAnsi="Times New Roman" w:cs="Times New Roman"/>
                <w:color w:val="000000"/>
              </w:rPr>
              <w:t>wyznaczonych metod badawczych pobranych podczas kontroli</w:t>
            </w:r>
            <w:r w:rsidR="00267EFE" w:rsidRPr="001578DD">
              <w:rPr>
                <w:rFonts w:ascii="Times New Roman" w:hAnsi="Times New Roman" w:cs="Times New Roman"/>
                <w:color w:val="000000"/>
              </w:rPr>
              <w:t xml:space="preserve"> </w:t>
            </w:r>
            <w:r w:rsidR="00FB7B29" w:rsidRPr="001578DD">
              <w:rPr>
                <w:rFonts w:ascii="Times New Roman" w:hAnsi="Times New Roman" w:cs="Times New Roman"/>
                <w:color w:val="000000"/>
              </w:rPr>
              <w:t>Inspekcji Handlowej) oraz 10% w skali roku dopuszczan</w:t>
            </w:r>
            <w:r w:rsidR="00751C59" w:rsidRPr="001578DD">
              <w:rPr>
                <w:rFonts w:ascii="Times New Roman" w:hAnsi="Times New Roman" w:cs="Times New Roman"/>
                <w:color w:val="000000"/>
              </w:rPr>
              <w:t xml:space="preserve">ych do obrotu przez </w:t>
            </w:r>
            <w:r w:rsidR="008A09DD" w:rsidRPr="001578DD">
              <w:rPr>
                <w:rFonts w:ascii="Times New Roman" w:hAnsi="Times New Roman" w:cs="Times New Roman"/>
                <w:color w:val="000000"/>
              </w:rPr>
              <w:t xml:space="preserve">organy Krajowej Administracji Skarbowej </w:t>
            </w:r>
            <w:r w:rsidR="00FB7B29" w:rsidRPr="001578DD">
              <w:rPr>
                <w:rFonts w:ascii="Times New Roman" w:hAnsi="Times New Roman" w:cs="Times New Roman"/>
                <w:color w:val="000000"/>
              </w:rPr>
              <w:t>paliw stałych (wykonanie ok. 400 badań p</w:t>
            </w:r>
            <w:r w:rsidR="00751C59" w:rsidRPr="001578DD">
              <w:rPr>
                <w:rFonts w:ascii="Times New Roman" w:hAnsi="Times New Roman" w:cs="Times New Roman"/>
                <w:color w:val="000000"/>
              </w:rPr>
              <w:t>r</w:t>
            </w:r>
            <w:r w:rsidR="00A5252F">
              <w:rPr>
                <w:rFonts w:ascii="Times New Roman" w:hAnsi="Times New Roman" w:cs="Times New Roman"/>
                <w:color w:val="000000"/>
              </w:rPr>
              <w:t>óbek rocznie przez Służbę Celno</w:t>
            </w:r>
            <w:r w:rsidR="00F33ECE">
              <w:rPr>
                <w:rFonts w:ascii="Times New Roman" w:hAnsi="Times New Roman" w:cs="Times New Roman"/>
                <w:color w:val="000000"/>
              </w:rPr>
              <w:t>-</w:t>
            </w:r>
            <w:r w:rsidR="00751C59" w:rsidRPr="001578DD">
              <w:rPr>
                <w:rFonts w:ascii="Times New Roman" w:hAnsi="Times New Roman" w:cs="Times New Roman"/>
                <w:color w:val="000000"/>
              </w:rPr>
              <w:t>Skarbową</w:t>
            </w:r>
            <w:r w:rsidR="00FB7B29" w:rsidRPr="001578DD">
              <w:rPr>
                <w:rFonts w:ascii="Times New Roman" w:hAnsi="Times New Roman" w:cs="Times New Roman"/>
                <w:color w:val="000000"/>
              </w:rPr>
              <w:t>).</w:t>
            </w:r>
            <w:r w:rsidR="005F2FB0" w:rsidRPr="001578DD">
              <w:rPr>
                <w:rFonts w:ascii="Times New Roman" w:hAnsi="Times New Roman" w:cs="Times New Roman"/>
                <w:color w:val="000000"/>
              </w:rPr>
              <w:t xml:space="preserve"> </w:t>
            </w:r>
          </w:p>
          <w:p w:rsidR="00FB7B29" w:rsidRPr="001578DD" w:rsidRDefault="00C06A19" w:rsidP="001578DD">
            <w:pPr>
              <w:spacing w:before="60" w:after="60" w:line="240" w:lineRule="auto"/>
              <w:jc w:val="both"/>
              <w:rPr>
                <w:rFonts w:ascii="Times New Roman" w:hAnsi="Times New Roman" w:cs="Times New Roman"/>
                <w:color w:val="000000"/>
              </w:rPr>
            </w:pPr>
            <w:r w:rsidRPr="001578DD">
              <w:rPr>
                <w:rFonts w:ascii="Times New Roman" w:hAnsi="Times New Roman" w:cs="Times New Roman"/>
                <w:color w:val="000000"/>
              </w:rPr>
              <w:t>Koszty całkowite z</w:t>
            </w:r>
            <w:r w:rsidR="005F2FB0" w:rsidRPr="001578DD">
              <w:rPr>
                <w:rFonts w:ascii="Times New Roman" w:hAnsi="Times New Roman" w:cs="Times New Roman"/>
                <w:color w:val="000000"/>
              </w:rPr>
              <w:t>ostały wyliczone na podstawie kosztów przedstawionych przez UOKiK (1000 próbek) i zwiększone odpowiednio o 40%, czyli o koszty Krajowej Administracji Skarbowej (400 próbek).</w:t>
            </w:r>
          </w:p>
          <w:p w:rsidR="00FB7B29" w:rsidRPr="001578DD" w:rsidRDefault="00FB7B29" w:rsidP="001578DD">
            <w:pPr>
              <w:spacing w:before="60" w:after="60" w:line="240" w:lineRule="auto"/>
              <w:jc w:val="both"/>
              <w:rPr>
                <w:rFonts w:ascii="Times New Roman" w:hAnsi="Times New Roman" w:cs="Times New Roman"/>
                <w:color w:val="000000"/>
              </w:rPr>
            </w:pPr>
            <w:r w:rsidRPr="001578DD">
              <w:rPr>
                <w:rFonts w:ascii="Times New Roman" w:hAnsi="Times New Roman" w:cs="Times New Roman"/>
                <w:color w:val="000000"/>
              </w:rPr>
              <w:t>Powyższe koszty zostały zestawione na podstawie informacji o cenach rynkowych przedstawionych przez akredytowane laboratoria zewnętrzne</w:t>
            </w:r>
            <w:r w:rsidR="00267EFE" w:rsidRPr="001578DD">
              <w:rPr>
                <w:rFonts w:ascii="Times New Roman" w:hAnsi="Times New Roman" w:cs="Times New Roman"/>
                <w:color w:val="000000"/>
              </w:rPr>
              <w:t xml:space="preserve"> dokonujące poboru oraz</w:t>
            </w:r>
            <w:r w:rsidR="00833625" w:rsidRPr="001578DD">
              <w:rPr>
                <w:rFonts w:ascii="Times New Roman" w:hAnsi="Times New Roman" w:cs="Times New Roman"/>
                <w:color w:val="000000"/>
              </w:rPr>
              <w:t xml:space="preserve"> </w:t>
            </w:r>
            <w:r w:rsidRPr="001578DD">
              <w:rPr>
                <w:rFonts w:ascii="Times New Roman" w:hAnsi="Times New Roman" w:cs="Times New Roman"/>
                <w:color w:val="000000"/>
              </w:rPr>
              <w:t>bada</w:t>
            </w:r>
            <w:r w:rsidR="00267EFE" w:rsidRPr="001578DD">
              <w:rPr>
                <w:rFonts w:ascii="Times New Roman" w:hAnsi="Times New Roman" w:cs="Times New Roman"/>
                <w:color w:val="000000"/>
              </w:rPr>
              <w:t>ń</w:t>
            </w:r>
            <w:r w:rsidRPr="001578DD">
              <w:rPr>
                <w:rFonts w:ascii="Times New Roman" w:hAnsi="Times New Roman" w:cs="Times New Roman"/>
                <w:color w:val="000000"/>
              </w:rPr>
              <w:t xml:space="preserve"> prób</w:t>
            </w:r>
            <w:r w:rsidR="00267EFE" w:rsidRPr="001578DD">
              <w:rPr>
                <w:rFonts w:ascii="Times New Roman" w:hAnsi="Times New Roman" w:cs="Times New Roman"/>
                <w:color w:val="000000"/>
              </w:rPr>
              <w:t xml:space="preserve">ek </w:t>
            </w:r>
            <w:r w:rsidRPr="001578DD">
              <w:rPr>
                <w:rFonts w:ascii="Times New Roman" w:hAnsi="Times New Roman" w:cs="Times New Roman"/>
                <w:color w:val="000000"/>
              </w:rPr>
              <w:t>paliw stałych</w:t>
            </w:r>
            <w:r w:rsidR="0080239B" w:rsidRPr="001578DD">
              <w:rPr>
                <w:rFonts w:ascii="Times New Roman" w:hAnsi="Times New Roman" w:cs="Times New Roman"/>
                <w:color w:val="000000"/>
              </w:rPr>
              <w:t xml:space="preserve"> w 2017 r</w:t>
            </w:r>
            <w:r w:rsidRPr="001578DD">
              <w:rPr>
                <w:rFonts w:ascii="Times New Roman" w:hAnsi="Times New Roman" w:cs="Times New Roman"/>
                <w:color w:val="000000"/>
              </w:rPr>
              <w:t>.</w:t>
            </w:r>
          </w:p>
          <w:p w:rsidR="00FB7B29" w:rsidRPr="001578DD" w:rsidRDefault="00FB7B29" w:rsidP="001578DD">
            <w:pPr>
              <w:spacing w:before="60" w:after="60" w:line="240" w:lineRule="auto"/>
              <w:jc w:val="both"/>
              <w:rPr>
                <w:rFonts w:ascii="Times New Roman" w:hAnsi="Times New Roman" w:cs="Times New Roman"/>
                <w:color w:val="000000"/>
              </w:rPr>
            </w:pPr>
            <w:r w:rsidRPr="001578DD">
              <w:rPr>
                <w:rFonts w:ascii="Times New Roman" w:hAnsi="Times New Roman" w:cs="Times New Roman"/>
                <w:color w:val="000000"/>
              </w:rPr>
              <w:t>Faktyczne koszty związane z</w:t>
            </w:r>
            <w:r w:rsidR="00267EFE" w:rsidRPr="001578DD">
              <w:rPr>
                <w:rFonts w:ascii="Times New Roman" w:hAnsi="Times New Roman" w:cs="Times New Roman"/>
                <w:color w:val="000000"/>
              </w:rPr>
              <w:t xml:space="preserve"> poborem i</w:t>
            </w:r>
            <w:r w:rsidRPr="001578DD">
              <w:rPr>
                <w:rFonts w:ascii="Times New Roman" w:hAnsi="Times New Roman" w:cs="Times New Roman"/>
                <w:color w:val="000000"/>
              </w:rPr>
              <w:t xml:space="preserve"> badaniem próbek w laboratoriach zewnętrznych zostaną potwierdzone w ramach przeprowadzonych przetargów.</w:t>
            </w:r>
          </w:p>
          <w:p w:rsidR="004E5D0A" w:rsidRPr="001578DD" w:rsidRDefault="004E5D0A" w:rsidP="001578DD">
            <w:pPr>
              <w:spacing w:before="60" w:after="60" w:line="240" w:lineRule="auto"/>
              <w:jc w:val="both"/>
              <w:rPr>
                <w:rFonts w:ascii="Times New Roman" w:hAnsi="Times New Roman" w:cs="Times New Roman"/>
                <w:color w:val="000000"/>
              </w:rPr>
            </w:pPr>
            <w:r w:rsidRPr="001578DD">
              <w:rPr>
                <w:rFonts w:ascii="Times New Roman" w:hAnsi="Times New Roman" w:cs="Times New Roman"/>
                <w:color w:val="000000"/>
              </w:rPr>
              <w:t>W roku 2018 projektowana ustawa nie wywoła dodatkowych skutków finansowych dla budżetu państwa.</w:t>
            </w:r>
          </w:p>
          <w:p w:rsidR="0047421C" w:rsidRPr="001578DD" w:rsidRDefault="00FB7B29" w:rsidP="001578DD">
            <w:pPr>
              <w:spacing w:before="60" w:after="60" w:line="240" w:lineRule="auto"/>
              <w:jc w:val="both"/>
              <w:rPr>
                <w:rFonts w:ascii="Times New Roman" w:hAnsi="Times New Roman" w:cs="Times New Roman"/>
                <w:color w:val="000000"/>
              </w:rPr>
            </w:pPr>
            <w:r w:rsidRPr="001578DD">
              <w:rPr>
                <w:rFonts w:ascii="Times New Roman" w:hAnsi="Times New Roman" w:cs="Times New Roman"/>
                <w:color w:val="000000"/>
              </w:rPr>
              <w:t>Regulacja nie ma wpływu na budżety jednostek samorządu terytorialnego.</w:t>
            </w:r>
          </w:p>
        </w:tc>
      </w:tr>
      <w:tr w:rsidR="00390AE3" w:rsidRPr="001578DD" w:rsidTr="001578DD">
        <w:trPr>
          <w:trHeight w:val="345"/>
          <w:jc w:val="center"/>
        </w:trPr>
        <w:tc>
          <w:tcPr>
            <w:tcW w:w="10242" w:type="dxa"/>
            <w:gridSpan w:val="29"/>
            <w:shd w:val="clear" w:color="auto" w:fill="99CCFF"/>
          </w:tcPr>
          <w:p w:rsidR="00390AE3" w:rsidRPr="001578DD" w:rsidRDefault="00390AE3" w:rsidP="00F33ECE">
            <w:pPr>
              <w:keepNext/>
              <w:numPr>
                <w:ilvl w:val="0"/>
                <w:numId w:val="1"/>
              </w:numPr>
              <w:spacing w:before="60" w:after="60" w:line="240" w:lineRule="auto"/>
              <w:jc w:val="both"/>
              <w:rPr>
                <w:rFonts w:ascii="Times New Roman" w:hAnsi="Times New Roman" w:cs="Times New Roman"/>
                <w:b/>
                <w:color w:val="000000"/>
              </w:rPr>
            </w:pPr>
            <w:r w:rsidRPr="001578DD">
              <w:rPr>
                <w:rFonts w:ascii="Times New Roman" w:hAnsi="Times New Roman" w:cs="Times New Roman"/>
                <w:b/>
                <w:color w:val="000000"/>
              </w:rPr>
              <w:t>Wpływ na konkurencyjność gospodarki i przedsiębiorczość, w tym funkcjonowanie przedsiębiorców</w:t>
            </w:r>
            <w:r w:rsidR="001C4500">
              <w:rPr>
                <w:rFonts w:ascii="Times New Roman" w:hAnsi="Times New Roman" w:cs="Times New Roman"/>
                <w:b/>
                <w:color w:val="000000"/>
              </w:rPr>
              <w:t>,</w:t>
            </w:r>
            <w:r w:rsidRPr="001578DD">
              <w:rPr>
                <w:rFonts w:ascii="Times New Roman" w:hAnsi="Times New Roman" w:cs="Times New Roman"/>
                <w:b/>
                <w:color w:val="000000"/>
              </w:rPr>
              <w:t xml:space="preserve"> oraz na rodzinę, obywateli i gospodarstwa domowe </w:t>
            </w:r>
          </w:p>
        </w:tc>
      </w:tr>
      <w:tr w:rsidR="00390AE3" w:rsidRPr="001578DD" w:rsidTr="001578DD">
        <w:trPr>
          <w:trHeight w:val="142"/>
          <w:jc w:val="center"/>
        </w:trPr>
        <w:tc>
          <w:tcPr>
            <w:tcW w:w="10242" w:type="dxa"/>
            <w:gridSpan w:val="29"/>
            <w:shd w:val="clear" w:color="auto" w:fill="FFFFFF"/>
          </w:tcPr>
          <w:p w:rsidR="00390AE3" w:rsidRPr="001578DD" w:rsidRDefault="00390AE3" w:rsidP="00F33ECE">
            <w:pPr>
              <w:keepNext/>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Skutki</w:t>
            </w:r>
          </w:p>
        </w:tc>
      </w:tr>
      <w:tr w:rsidR="00390AE3" w:rsidRPr="001578DD" w:rsidTr="001578DD">
        <w:trPr>
          <w:trHeight w:val="142"/>
          <w:jc w:val="center"/>
        </w:trPr>
        <w:tc>
          <w:tcPr>
            <w:tcW w:w="4033" w:type="dxa"/>
            <w:gridSpan w:val="8"/>
            <w:shd w:val="clear" w:color="auto" w:fill="FFFFFF"/>
          </w:tcPr>
          <w:p w:rsidR="00390AE3" w:rsidRPr="001578DD" w:rsidRDefault="00390AE3" w:rsidP="00F33ECE">
            <w:pPr>
              <w:keepNext/>
              <w:spacing w:before="60" w:after="60" w:line="240" w:lineRule="auto"/>
              <w:rPr>
                <w:rFonts w:ascii="Times New Roman" w:hAnsi="Times New Roman" w:cs="Times New Roman"/>
                <w:color w:val="000000"/>
              </w:rPr>
            </w:pPr>
            <w:r w:rsidRPr="001578DD">
              <w:rPr>
                <w:rFonts w:ascii="Times New Roman" w:hAnsi="Times New Roman" w:cs="Times New Roman"/>
                <w:color w:val="000000"/>
              </w:rPr>
              <w:t>Czas w latach od wejścia w życie zmian</w:t>
            </w:r>
          </w:p>
        </w:tc>
        <w:tc>
          <w:tcPr>
            <w:tcW w:w="796" w:type="dxa"/>
            <w:gridSpan w:val="2"/>
            <w:shd w:val="clear" w:color="auto" w:fill="FFFFFF"/>
          </w:tcPr>
          <w:p w:rsidR="00390AE3" w:rsidRPr="001578DD" w:rsidRDefault="00390AE3" w:rsidP="00F33ECE">
            <w:pPr>
              <w:keepNext/>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0</w:t>
            </w:r>
          </w:p>
        </w:tc>
        <w:tc>
          <w:tcPr>
            <w:tcW w:w="797" w:type="dxa"/>
            <w:gridSpan w:val="5"/>
            <w:shd w:val="clear" w:color="auto" w:fill="FFFFFF"/>
          </w:tcPr>
          <w:p w:rsidR="00390AE3" w:rsidRPr="001578DD" w:rsidRDefault="00390AE3" w:rsidP="00F33ECE">
            <w:pPr>
              <w:keepNext/>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1</w:t>
            </w:r>
          </w:p>
        </w:tc>
        <w:tc>
          <w:tcPr>
            <w:tcW w:w="797" w:type="dxa"/>
            <w:gridSpan w:val="2"/>
            <w:shd w:val="clear" w:color="auto" w:fill="FFFFFF"/>
          </w:tcPr>
          <w:p w:rsidR="00390AE3" w:rsidRPr="001578DD" w:rsidRDefault="00390AE3" w:rsidP="00F33ECE">
            <w:pPr>
              <w:keepNext/>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2</w:t>
            </w:r>
          </w:p>
        </w:tc>
        <w:tc>
          <w:tcPr>
            <w:tcW w:w="797" w:type="dxa"/>
            <w:gridSpan w:val="4"/>
            <w:shd w:val="clear" w:color="auto" w:fill="FFFFFF"/>
          </w:tcPr>
          <w:p w:rsidR="00390AE3" w:rsidRPr="001578DD" w:rsidRDefault="00390AE3" w:rsidP="00F33ECE">
            <w:pPr>
              <w:keepNext/>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3</w:t>
            </w:r>
          </w:p>
        </w:tc>
        <w:tc>
          <w:tcPr>
            <w:tcW w:w="797" w:type="dxa"/>
            <w:gridSpan w:val="4"/>
            <w:shd w:val="clear" w:color="auto" w:fill="FFFFFF"/>
          </w:tcPr>
          <w:p w:rsidR="00390AE3" w:rsidRPr="001578DD" w:rsidRDefault="00390AE3" w:rsidP="00F33ECE">
            <w:pPr>
              <w:keepNext/>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5</w:t>
            </w:r>
          </w:p>
        </w:tc>
        <w:tc>
          <w:tcPr>
            <w:tcW w:w="797" w:type="dxa"/>
            <w:gridSpan w:val="2"/>
            <w:shd w:val="clear" w:color="auto" w:fill="FFFFFF"/>
          </w:tcPr>
          <w:p w:rsidR="00390AE3" w:rsidRPr="001578DD" w:rsidRDefault="00390AE3" w:rsidP="00F33ECE">
            <w:pPr>
              <w:keepNext/>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10</w:t>
            </w:r>
          </w:p>
        </w:tc>
        <w:tc>
          <w:tcPr>
            <w:tcW w:w="1428" w:type="dxa"/>
            <w:gridSpan w:val="2"/>
            <w:shd w:val="clear" w:color="auto" w:fill="FFFFFF"/>
          </w:tcPr>
          <w:p w:rsidR="00390AE3" w:rsidRPr="001578DD" w:rsidRDefault="00390AE3" w:rsidP="00F33ECE">
            <w:pPr>
              <w:keepNext/>
              <w:spacing w:before="60" w:after="60" w:line="240" w:lineRule="auto"/>
              <w:ind w:left="-28" w:right="-46"/>
              <w:jc w:val="center"/>
              <w:rPr>
                <w:rFonts w:ascii="Times New Roman" w:hAnsi="Times New Roman" w:cs="Times New Roman"/>
                <w:color w:val="000000"/>
              </w:rPr>
            </w:pPr>
            <w:r w:rsidRPr="001578DD">
              <w:rPr>
                <w:rFonts w:ascii="Times New Roman" w:hAnsi="Times New Roman" w:cs="Times New Roman"/>
                <w:color w:val="000000"/>
              </w:rPr>
              <w:t>Łącznie</w:t>
            </w:r>
            <w:r w:rsidRPr="001578DD" w:rsidDel="0073273A">
              <w:rPr>
                <w:rFonts w:ascii="Times New Roman" w:hAnsi="Times New Roman" w:cs="Times New Roman"/>
                <w:color w:val="000000"/>
              </w:rPr>
              <w:t xml:space="preserve"> </w:t>
            </w:r>
            <w:r w:rsidR="001578DD">
              <w:rPr>
                <w:rFonts w:ascii="Times New Roman" w:hAnsi="Times New Roman" w:cs="Times New Roman"/>
                <w:color w:val="000000"/>
              </w:rPr>
              <w:t>(0–</w:t>
            </w:r>
            <w:r w:rsidRPr="001578DD">
              <w:rPr>
                <w:rFonts w:ascii="Times New Roman" w:hAnsi="Times New Roman" w:cs="Times New Roman"/>
                <w:color w:val="000000"/>
              </w:rPr>
              <w:t>10)</w:t>
            </w:r>
          </w:p>
        </w:tc>
      </w:tr>
      <w:tr w:rsidR="001578DD" w:rsidRPr="001578DD" w:rsidTr="001578DD">
        <w:trPr>
          <w:trHeight w:val="142"/>
          <w:jc w:val="center"/>
        </w:trPr>
        <w:tc>
          <w:tcPr>
            <w:tcW w:w="1584" w:type="dxa"/>
            <w:vMerge w:val="restart"/>
            <w:shd w:val="clear" w:color="auto" w:fill="FFFFFF"/>
          </w:tcPr>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W ujęciu pieniężnym</w:t>
            </w:r>
          </w:p>
          <w:p w:rsidR="00390AE3" w:rsidRPr="001578DD" w:rsidRDefault="00390AE3" w:rsidP="00F33ECE">
            <w:pPr>
              <w:spacing w:before="60" w:after="60" w:line="240" w:lineRule="auto"/>
              <w:rPr>
                <w:rFonts w:ascii="Times New Roman" w:hAnsi="Times New Roman" w:cs="Times New Roman"/>
                <w:color w:val="000000"/>
              </w:rPr>
            </w:pPr>
            <w:r w:rsidRPr="001578DD">
              <w:rPr>
                <w:rFonts w:ascii="Times New Roman" w:hAnsi="Times New Roman" w:cs="Times New Roman"/>
              </w:rPr>
              <w:t xml:space="preserve">(w mln zł, ceny stałe </w:t>
            </w:r>
            <w:r w:rsidR="00A5252F">
              <w:rPr>
                <w:rFonts w:ascii="Times New Roman" w:hAnsi="Times New Roman" w:cs="Times New Roman"/>
              </w:rPr>
              <w:t>z </w:t>
            </w:r>
            <w:r w:rsidR="00873BFA" w:rsidRPr="001578DD">
              <w:rPr>
                <w:rFonts w:ascii="Times New Roman" w:hAnsi="Times New Roman" w:cs="Times New Roman"/>
              </w:rPr>
              <w:t>2016</w:t>
            </w:r>
            <w:r w:rsidR="00833625" w:rsidRPr="001578DD">
              <w:rPr>
                <w:rFonts w:ascii="Times New Roman" w:hAnsi="Times New Roman" w:cs="Times New Roman"/>
              </w:rPr>
              <w:t xml:space="preserve"> </w:t>
            </w:r>
            <w:r w:rsidRPr="001578DD">
              <w:rPr>
                <w:rFonts w:ascii="Times New Roman" w:hAnsi="Times New Roman" w:cs="Times New Roman"/>
              </w:rPr>
              <w:t>r.)</w:t>
            </w:r>
          </w:p>
        </w:tc>
        <w:tc>
          <w:tcPr>
            <w:tcW w:w="2449" w:type="dxa"/>
            <w:gridSpan w:val="7"/>
            <w:shd w:val="clear" w:color="auto" w:fill="FFFFFF"/>
          </w:tcPr>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duże przedsiębiorstwa</w:t>
            </w:r>
          </w:p>
        </w:tc>
        <w:tc>
          <w:tcPr>
            <w:tcW w:w="796" w:type="dxa"/>
            <w:gridSpan w:val="2"/>
            <w:shd w:val="clear" w:color="auto" w:fill="FFFFFF"/>
          </w:tcPr>
          <w:p w:rsidR="00390AE3" w:rsidRPr="001578DD" w:rsidRDefault="00DE266E"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w:t>
            </w:r>
            <w:r w:rsidR="005F7B25" w:rsidRPr="001578DD">
              <w:rPr>
                <w:rFonts w:ascii="Times New Roman" w:hAnsi="Times New Roman" w:cs="Times New Roman"/>
                <w:color w:val="000000"/>
              </w:rPr>
              <w:t>12</w:t>
            </w:r>
            <w:r w:rsidR="00B07845" w:rsidRPr="001578DD">
              <w:rPr>
                <w:rFonts w:ascii="Times New Roman" w:hAnsi="Times New Roman" w:cs="Times New Roman"/>
                <w:color w:val="000000"/>
              </w:rPr>
              <w:t>0</w:t>
            </w:r>
          </w:p>
        </w:tc>
        <w:tc>
          <w:tcPr>
            <w:tcW w:w="797" w:type="dxa"/>
            <w:gridSpan w:val="5"/>
            <w:shd w:val="clear" w:color="auto" w:fill="FFFFFF"/>
          </w:tcPr>
          <w:p w:rsidR="00390AE3" w:rsidRPr="001578DD" w:rsidRDefault="00DE266E"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w:t>
            </w:r>
            <w:r w:rsidR="005F7B25" w:rsidRPr="001578DD">
              <w:rPr>
                <w:rFonts w:ascii="Times New Roman" w:hAnsi="Times New Roman" w:cs="Times New Roman"/>
                <w:color w:val="000000"/>
              </w:rPr>
              <w:t>50</w:t>
            </w:r>
          </w:p>
        </w:tc>
        <w:tc>
          <w:tcPr>
            <w:tcW w:w="797" w:type="dxa"/>
            <w:gridSpan w:val="2"/>
            <w:shd w:val="clear" w:color="auto" w:fill="FFFFFF"/>
          </w:tcPr>
          <w:p w:rsidR="00390AE3" w:rsidRPr="001578DD" w:rsidRDefault="00DE266E"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w:t>
            </w:r>
            <w:r w:rsidR="005F7B25" w:rsidRPr="001578DD">
              <w:rPr>
                <w:rFonts w:ascii="Times New Roman" w:hAnsi="Times New Roman" w:cs="Times New Roman"/>
                <w:color w:val="000000"/>
              </w:rPr>
              <w:t>50</w:t>
            </w:r>
          </w:p>
        </w:tc>
        <w:tc>
          <w:tcPr>
            <w:tcW w:w="797" w:type="dxa"/>
            <w:gridSpan w:val="4"/>
            <w:shd w:val="clear" w:color="auto" w:fill="FFFFFF"/>
          </w:tcPr>
          <w:p w:rsidR="00390AE3" w:rsidRPr="001578DD" w:rsidRDefault="00DE266E"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w:t>
            </w:r>
            <w:r w:rsidR="00ED68DB" w:rsidRPr="001578DD">
              <w:rPr>
                <w:rFonts w:ascii="Times New Roman" w:hAnsi="Times New Roman" w:cs="Times New Roman"/>
                <w:color w:val="000000"/>
              </w:rPr>
              <w:t>50</w:t>
            </w:r>
          </w:p>
        </w:tc>
        <w:tc>
          <w:tcPr>
            <w:tcW w:w="797" w:type="dxa"/>
            <w:gridSpan w:val="4"/>
            <w:shd w:val="clear" w:color="auto" w:fill="FFFFFF"/>
          </w:tcPr>
          <w:p w:rsidR="00390AE3" w:rsidRPr="001578DD" w:rsidRDefault="00DE266E"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w:t>
            </w:r>
            <w:r w:rsidR="00ED68DB" w:rsidRPr="001578DD">
              <w:rPr>
                <w:rFonts w:ascii="Times New Roman" w:hAnsi="Times New Roman" w:cs="Times New Roman"/>
                <w:color w:val="000000"/>
              </w:rPr>
              <w:t>50</w:t>
            </w:r>
          </w:p>
        </w:tc>
        <w:tc>
          <w:tcPr>
            <w:tcW w:w="797" w:type="dxa"/>
            <w:gridSpan w:val="2"/>
            <w:shd w:val="clear" w:color="auto" w:fill="FFFFFF"/>
          </w:tcPr>
          <w:p w:rsidR="00390AE3" w:rsidRPr="001578DD" w:rsidRDefault="00DE266E"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w:t>
            </w:r>
            <w:r w:rsidR="00ED68DB" w:rsidRPr="001578DD">
              <w:rPr>
                <w:rFonts w:ascii="Times New Roman" w:hAnsi="Times New Roman" w:cs="Times New Roman"/>
                <w:color w:val="000000"/>
              </w:rPr>
              <w:t>50</w:t>
            </w:r>
          </w:p>
        </w:tc>
        <w:tc>
          <w:tcPr>
            <w:tcW w:w="1428" w:type="dxa"/>
            <w:gridSpan w:val="2"/>
            <w:shd w:val="clear" w:color="auto" w:fill="FFFFFF"/>
          </w:tcPr>
          <w:p w:rsidR="00390AE3" w:rsidRPr="001578DD" w:rsidRDefault="00DE266E"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w:t>
            </w:r>
            <w:r w:rsidR="0031179C" w:rsidRPr="001578DD">
              <w:rPr>
                <w:rFonts w:ascii="Times New Roman" w:hAnsi="Times New Roman" w:cs="Times New Roman"/>
                <w:color w:val="000000"/>
              </w:rPr>
              <w:t>62</w:t>
            </w:r>
            <w:r w:rsidR="005D0026" w:rsidRPr="001578DD">
              <w:rPr>
                <w:rFonts w:ascii="Times New Roman" w:hAnsi="Times New Roman" w:cs="Times New Roman"/>
                <w:color w:val="000000"/>
              </w:rPr>
              <w:t>0</w:t>
            </w:r>
          </w:p>
        </w:tc>
      </w:tr>
      <w:tr w:rsidR="001578DD" w:rsidRPr="001578DD" w:rsidTr="001578DD">
        <w:trPr>
          <w:trHeight w:val="142"/>
          <w:jc w:val="center"/>
        </w:trPr>
        <w:tc>
          <w:tcPr>
            <w:tcW w:w="1584" w:type="dxa"/>
            <w:vMerge/>
            <w:shd w:val="clear" w:color="auto" w:fill="FFFFFF"/>
          </w:tcPr>
          <w:p w:rsidR="00390AE3" w:rsidRPr="001578DD" w:rsidRDefault="00390AE3" w:rsidP="001578DD">
            <w:pPr>
              <w:spacing w:before="60" w:after="60" w:line="240" w:lineRule="auto"/>
              <w:rPr>
                <w:rFonts w:ascii="Times New Roman" w:hAnsi="Times New Roman" w:cs="Times New Roman"/>
                <w:color w:val="000000"/>
              </w:rPr>
            </w:pPr>
          </w:p>
        </w:tc>
        <w:tc>
          <w:tcPr>
            <w:tcW w:w="2449" w:type="dxa"/>
            <w:gridSpan w:val="7"/>
            <w:shd w:val="clear" w:color="auto" w:fill="FFFFFF"/>
          </w:tcPr>
          <w:p w:rsidR="00390AE3" w:rsidRPr="001578DD" w:rsidRDefault="00F33ECE" w:rsidP="001578DD">
            <w:pPr>
              <w:spacing w:before="60" w:after="60" w:line="240" w:lineRule="auto"/>
              <w:rPr>
                <w:rFonts w:ascii="Times New Roman" w:hAnsi="Times New Roman" w:cs="Times New Roman"/>
                <w:color w:val="000000"/>
              </w:rPr>
            </w:pPr>
            <w:r>
              <w:rPr>
                <w:rFonts w:ascii="Times New Roman" w:hAnsi="Times New Roman" w:cs="Times New Roman"/>
                <w:color w:val="000000"/>
              </w:rPr>
              <w:t>sektor mikro-, małych i </w:t>
            </w:r>
            <w:r w:rsidR="00390AE3" w:rsidRPr="001578DD">
              <w:rPr>
                <w:rFonts w:ascii="Times New Roman" w:hAnsi="Times New Roman" w:cs="Times New Roman"/>
                <w:color w:val="000000"/>
              </w:rPr>
              <w:t>średnich przedsiębiorstw</w:t>
            </w:r>
          </w:p>
        </w:tc>
        <w:tc>
          <w:tcPr>
            <w:tcW w:w="796" w:type="dxa"/>
            <w:gridSpan w:val="2"/>
            <w:shd w:val="clear" w:color="auto" w:fill="FFFFFF"/>
          </w:tcPr>
          <w:p w:rsidR="00390AE3" w:rsidRPr="001578DD" w:rsidRDefault="00390AE3" w:rsidP="001578DD">
            <w:pPr>
              <w:spacing w:before="60" w:after="60" w:line="240" w:lineRule="auto"/>
              <w:jc w:val="center"/>
              <w:rPr>
                <w:rFonts w:ascii="Times New Roman" w:hAnsi="Times New Roman" w:cs="Times New Roman"/>
                <w:color w:val="000000"/>
              </w:rPr>
            </w:pPr>
          </w:p>
        </w:tc>
        <w:tc>
          <w:tcPr>
            <w:tcW w:w="797" w:type="dxa"/>
            <w:gridSpan w:val="5"/>
            <w:shd w:val="clear" w:color="auto" w:fill="FFFFFF"/>
          </w:tcPr>
          <w:p w:rsidR="00390AE3" w:rsidRPr="001578DD" w:rsidRDefault="00390AE3" w:rsidP="001578DD">
            <w:pPr>
              <w:spacing w:before="60" w:after="60" w:line="240" w:lineRule="auto"/>
              <w:jc w:val="center"/>
              <w:rPr>
                <w:rFonts w:ascii="Times New Roman" w:hAnsi="Times New Roman" w:cs="Times New Roman"/>
                <w:color w:val="000000"/>
              </w:rPr>
            </w:pPr>
          </w:p>
        </w:tc>
        <w:tc>
          <w:tcPr>
            <w:tcW w:w="797" w:type="dxa"/>
            <w:gridSpan w:val="2"/>
            <w:shd w:val="clear" w:color="auto" w:fill="FFFFFF"/>
          </w:tcPr>
          <w:p w:rsidR="00390AE3" w:rsidRPr="001578DD" w:rsidRDefault="00390AE3" w:rsidP="001578DD">
            <w:pPr>
              <w:spacing w:before="60" w:after="60" w:line="240" w:lineRule="auto"/>
              <w:jc w:val="center"/>
              <w:rPr>
                <w:rFonts w:ascii="Times New Roman" w:hAnsi="Times New Roman" w:cs="Times New Roman"/>
                <w:color w:val="000000"/>
              </w:rPr>
            </w:pPr>
          </w:p>
        </w:tc>
        <w:tc>
          <w:tcPr>
            <w:tcW w:w="797" w:type="dxa"/>
            <w:gridSpan w:val="4"/>
            <w:shd w:val="clear" w:color="auto" w:fill="FFFFFF"/>
          </w:tcPr>
          <w:p w:rsidR="00390AE3" w:rsidRPr="001578DD" w:rsidRDefault="00390AE3" w:rsidP="001578DD">
            <w:pPr>
              <w:spacing w:before="60" w:after="60" w:line="240" w:lineRule="auto"/>
              <w:jc w:val="center"/>
              <w:rPr>
                <w:rFonts w:ascii="Times New Roman" w:hAnsi="Times New Roman" w:cs="Times New Roman"/>
                <w:color w:val="000000"/>
              </w:rPr>
            </w:pPr>
          </w:p>
        </w:tc>
        <w:tc>
          <w:tcPr>
            <w:tcW w:w="797" w:type="dxa"/>
            <w:gridSpan w:val="4"/>
            <w:shd w:val="clear" w:color="auto" w:fill="FFFFFF"/>
          </w:tcPr>
          <w:p w:rsidR="00390AE3" w:rsidRPr="001578DD" w:rsidRDefault="00390AE3" w:rsidP="001578DD">
            <w:pPr>
              <w:spacing w:before="60" w:after="60" w:line="240" w:lineRule="auto"/>
              <w:jc w:val="center"/>
              <w:rPr>
                <w:rFonts w:ascii="Times New Roman" w:hAnsi="Times New Roman" w:cs="Times New Roman"/>
                <w:color w:val="000000"/>
              </w:rPr>
            </w:pPr>
          </w:p>
        </w:tc>
        <w:tc>
          <w:tcPr>
            <w:tcW w:w="797" w:type="dxa"/>
            <w:gridSpan w:val="2"/>
            <w:shd w:val="clear" w:color="auto" w:fill="FFFFFF"/>
          </w:tcPr>
          <w:p w:rsidR="00390AE3" w:rsidRPr="001578DD" w:rsidRDefault="00390AE3" w:rsidP="001578DD">
            <w:pPr>
              <w:spacing w:before="60" w:after="60" w:line="240" w:lineRule="auto"/>
              <w:jc w:val="center"/>
              <w:rPr>
                <w:rFonts w:ascii="Times New Roman" w:hAnsi="Times New Roman" w:cs="Times New Roman"/>
                <w:color w:val="000000"/>
              </w:rPr>
            </w:pPr>
          </w:p>
        </w:tc>
        <w:tc>
          <w:tcPr>
            <w:tcW w:w="1428" w:type="dxa"/>
            <w:gridSpan w:val="2"/>
            <w:shd w:val="clear" w:color="auto" w:fill="FFFFFF"/>
          </w:tcPr>
          <w:p w:rsidR="00390AE3" w:rsidRPr="001578DD" w:rsidRDefault="00390AE3" w:rsidP="001578DD">
            <w:pPr>
              <w:spacing w:before="60" w:after="60" w:line="240" w:lineRule="auto"/>
              <w:jc w:val="center"/>
              <w:rPr>
                <w:rFonts w:ascii="Times New Roman" w:hAnsi="Times New Roman" w:cs="Times New Roman"/>
                <w:color w:val="000000"/>
              </w:rPr>
            </w:pPr>
          </w:p>
        </w:tc>
      </w:tr>
      <w:tr w:rsidR="001578DD" w:rsidRPr="001578DD" w:rsidTr="001578DD">
        <w:trPr>
          <w:trHeight w:val="493"/>
          <w:jc w:val="center"/>
        </w:trPr>
        <w:tc>
          <w:tcPr>
            <w:tcW w:w="1584" w:type="dxa"/>
            <w:vMerge/>
            <w:shd w:val="clear" w:color="auto" w:fill="FFFFFF"/>
          </w:tcPr>
          <w:p w:rsidR="00390AE3" w:rsidRPr="001578DD" w:rsidRDefault="00390AE3" w:rsidP="001578DD">
            <w:pPr>
              <w:spacing w:before="60" w:after="60" w:line="240" w:lineRule="auto"/>
              <w:rPr>
                <w:rFonts w:ascii="Times New Roman" w:hAnsi="Times New Roman" w:cs="Times New Roman"/>
                <w:color w:val="000000"/>
              </w:rPr>
            </w:pPr>
          </w:p>
        </w:tc>
        <w:tc>
          <w:tcPr>
            <w:tcW w:w="2449" w:type="dxa"/>
            <w:gridSpan w:val="7"/>
            <w:shd w:val="clear" w:color="auto" w:fill="FFFFFF"/>
          </w:tcPr>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rPr>
              <w:t>rodzina, obywatele oraz gospodarstwa domowe</w:t>
            </w:r>
          </w:p>
        </w:tc>
        <w:tc>
          <w:tcPr>
            <w:tcW w:w="796" w:type="dxa"/>
            <w:gridSpan w:val="2"/>
            <w:shd w:val="clear" w:color="auto" w:fill="FFFFFF"/>
          </w:tcPr>
          <w:p w:rsidR="00390AE3" w:rsidRPr="001578DD" w:rsidRDefault="00DE266E"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w:t>
            </w:r>
            <w:r w:rsidR="00C53604" w:rsidRPr="001578DD">
              <w:rPr>
                <w:rFonts w:ascii="Times New Roman" w:hAnsi="Times New Roman" w:cs="Times New Roman"/>
                <w:color w:val="000000"/>
              </w:rPr>
              <w:t>49</w:t>
            </w:r>
          </w:p>
        </w:tc>
        <w:tc>
          <w:tcPr>
            <w:tcW w:w="797" w:type="dxa"/>
            <w:gridSpan w:val="5"/>
            <w:shd w:val="clear" w:color="auto" w:fill="FFFFFF"/>
          </w:tcPr>
          <w:p w:rsidR="00390AE3" w:rsidRPr="001578DD" w:rsidRDefault="00DE266E"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w:t>
            </w:r>
            <w:r w:rsidR="00C53604" w:rsidRPr="001578DD">
              <w:rPr>
                <w:rFonts w:ascii="Times New Roman" w:hAnsi="Times New Roman" w:cs="Times New Roman"/>
                <w:color w:val="000000"/>
              </w:rPr>
              <w:t>49</w:t>
            </w:r>
          </w:p>
        </w:tc>
        <w:tc>
          <w:tcPr>
            <w:tcW w:w="797" w:type="dxa"/>
            <w:gridSpan w:val="2"/>
            <w:shd w:val="clear" w:color="auto" w:fill="FFFFFF"/>
          </w:tcPr>
          <w:p w:rsidR="00390AE3" w:rsidRPr="001578DD" w:rsidRDefault="00DE266E"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w:t>
            </w:r>
            <w:r w:rsidR="00C53604" w:rsidRPr="001578DD">
              <w:rPr>
                <w:rFonts w:ascii="Times New Roman" w:hAnsi="Times New Roman" w:cs="Times New Roman"/>
                <w:color w:val="000000"/>
              </w:rPr>
              <w:t>49</w:t>
            </w:r>
          </w:p>
        </w:tc>
        <w:tc>
          <w:tcPr>
            <w:tcW w:w="797" w:type="dxa"/>
            <w:gridSpan w:val="4"/>
            <w:shd w:val="clear" w:color="auto" w:fill="FFFFFF"/>
          </w:tcPr>
          <w:p w:rsidR="00390AE3" w:rsidRPr="001578DD" w:rsidRDefault="00DE266E"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w:t>
            </w:r>
            <w:r w:rsidR="00C53604" w:rsidRPr="001578DD">
              <w:rPr>
                <w:rFonts w:ascii="Times New Roman" w:hAnsi="Times New Roman" w:cs="Times New Roman"/>
                <w:color w:val="000000"/>
              </w:rPr>
              <w:t>49</w:t>
            </w:r>
          </w:p>
        </w:tc>
        <w:tc>
          <w:tcPr>
            <w:tcW w:w="797" w:type="dxa"/>
            <w:gridSpan w:val="4"/>
            <w:shd w:val="clear" w:color="auto" w:fill="FFFFFF"/>
          </w:tcPr>
          <w:p w:rsidR="00390AE3" w:rsidRPr="001578DD" w:rsidRDefault="00DE266E"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w:t>
            </w:r>
            <w:r w:rsidR="00C53604" w:rsidRPr="001578DD">
              <w:rPr>
                <w:rFonts w:ascii="Times New Roman" w:hAnsi="Times New Roman" w:cs="Times New Roman"/>
                <w:color w:val="000000"/>
              </w:rPr>
              <w:t>49</w:t>
            </w:r>
          </w:p>
        </w:tc>
        <w:tc>
          <w:tcPr>
            <w:tcW w:w="797" w:type="dxa"/>
            <w:gridSpan w:val="2"/>
            <w:shd w:val="clear" w:color="auto" w:fill="FFFFFF"/>
          </w:tcPr>
          <w:p w:rsidR="00390AE3" w:rsidRPr="001578DD" w:rsidRDefault="00DE266E"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w:t>
            </w:r>
            <w:r w:rsidR="00873BFA" w:rsidRPr="001578DD">
              <w:rPr>
                <w:rFonts w:ascii="Times New Roman" w:hAnsi="Times New Roman" w:cs="Times New Roman"/>
                <w:color w:val="000000"/>
              </w:rPr>
              <w:t>49</w:t>
            </w:r>
          </w:p>
        </w:tc>
        <w:tc>
          <w:tcPr>
            <w:tcW w:w="1428" w:type="dxa"/>
            <w:gridSpan w:val="2"/>
            <w:shd w:val="clear" w:color="auto" w:fill="FFFFFF"/>
          </w:tcPr>
          <w:p w:rsidR="00390AE3" w:rsidRPr="001578DD" w:rsidRDefault="00DE266E" w:rsidP="001578DD">
            <w:pPr>
              <w:spacing w:before="60" w:after="60" w:line="240" w:lineRule="auto"/>
              <w:jc w:val="center"/>
              <w:rPr>
                <w:rFonts w:ascii="Times New Roman" w:hAnsi="Times New Roman" w:cs="Times New Roman"/>
                <w:color w:val="000000"/>
              </w:rPr>
            </w:pPr>
            <w:r w:rsidRPr="001578DD">
              <w:rPr>
                <w:rFonts w:ascii="Times New Roman" w:hAnsi="Times New Roman" w:cs="Times New Roman"/>
                <w:color w:val="000000"/>
              </w:rPr>
              <w:t>-</w:t>
            </w:r>
            <w:r w:rsidR="005D0026" w:rsidRPr="001578DD">
              <w:rPr>
                <w:rFonts w:ascii="Times New Roman" w:hAnsi="Times New Roman" w:cs="Times New Roman"/>
                <w:color w:val="000000"/>
              </w:rPr>
              <w:t>539</w:t>
            </w:r>
          </w:p>
        </w:tc>
      </w:tr>
      <w:tr w:rsidR="00390AE3" w:rsidRPr="001578DD" w:rsidTr="001578DD">
        <w:trPr>
          <w:trHeight w:val="142"/>
          <w:jc w:val="center"/>
        </w:trPr>
        <w:tc>
          <w:tcPr>
            <w:tcW w:w="1584" w:type="dxa"/>
            <w:vMerge w:val="restart"/>
            <w:shd w:val="clear" w:color="auto" w:fill="FFFFFF"/>
          </w:tcPr>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W ujęciu niepieniężnym</w:t>
            </w:r>
          </w:p>
        </w:tc>
        <w:tc>
          <w:tcPr>
            <w:tcW w:w="2449" w:type="dxa"/>
            <w:gridSpan w:val="7"/>
            <w:shd w:val="clear" w:color="auto" w:fill="FFFFFF"/>
          </w:tcPr>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duże przedsiębiorstwa</w:t>
            </w:r>
          </w:p>
        </w:tc>
        <w:tc>
          <w:tcPr>
            <w:tcW w:w="6209" w:type="dxa"/>
            <w:gridSpan w:val="21"/>
            <w:shd w:val="clear" w:color="auto" w:fill="FFFFFF"/>
          </w:tcPr>
          <w:p w:rsidR="00390AE3" w:rsidRPr="001578DD" w:rsidRDefault="00390AE3" w:rsidP="001578DD">
            <w:pPr>
              <w:spacing w:before="60" w:after="60" w:line="240" w:lineRule="auto"/>
              <w:jc w:val="both"/>
              <w:rPr>
                <w:rFonts w:ascii="Times New Roman" w:hAnsi="Times New Roman" w:cs="Times New Roman"/>
                <w:color w:val="000000"/>
              </w:rPr>
            </w:pPr>
            <w:r w:rsidRPr="001578DD">
              <w:rPr>
                <w:rFonts w:ascii="Times New Roman" w:hAnsi="Times New Roman" w:cs="Times New Roman"/>
                <w:color w:val="000000"/>
              </w:rPr>
              <w:t>Wprowadzane przepisy nie będą miały wpływu na działalność dużych przedsiębiorstw</w:t>
            </w:r>
            <w:r w:rsidR="00ED68DB" w:rsidRPr="001578DD">
              <w:rPr>
                <w:rFonts w:ascii="Times New Roman" w:hAnsi="Times New Roman" w:cs="Times New Roman"/>
                <w:color w:val="000000"/>
              </w:rPr>
              <w:t xml:space="preserve"> poza wprowadzającymi do obrotu muły węglowe i flotokoncentraty na potrzeby gospodarstw domowych</w:t>
            </w:r>
            <w:r w:rsidRPr="001578DD">
              <w:rPr>
                <w:rFonts w:ascii="Times New Roman" w:hAnsi="Times New Roman" w:cs="Times New Roman"/>
                <w:color w:val="000000"/>
              </w:rPr>
              <w:t>. Jak pokazuje praktyka, badania jakościowe węgla kamiennego są już wykonywane na poziomie przykopalnianych laboratoriów (zarówno dla odbiorców przemysłowych jak i odbiorców indywidualnych).</w:t>
            </w:r>
            <w:r w:rsidR="00ED68DB" w:rsidRPr="001578DD">
              <w:rPr>
                <w:rFonts w:ascii="Times New Roman" w:hAnsi="Times New Roman" w:cs="Times New Roman"/>
                <w:color w:val="000000"/>
              </w:rPr>
              <w:t xml:space="preserve"> Brak możliwości sprzedaży mułów</w:t>
            </w:r>
            <w:r w:rsidR="0052083F" w:rsidRPr="001578DD">
              <w:rPr>
                <w:rFonts w:ascii="Times New Roman" w:hAnsi="Times New Roman" w:cs="Times New Roman"/>
                <w:color w:val="000000"/>
              </w:rPr>
              <w:t xml:space="preserve"> węglowych i flotokoncentratów</w:t>
            </w:r>
            <w:r w:rsidR="00ED68DB" w:rsidRPr="001578DD">
              <w:rPr>
                <w:rFonts w:ascii="Times New Roman" w:hAnsi="Times New Roman" w:cs="Times New Roman"/>
                <w:color w:val="000000"/>
              </w:rPr>
              <w:t xml:space="preserve"> do odbiorców indywidualnych generować będzie koszty, które </w:t>
            </w:r>
            <w:r w:rsidR="0052083F" w:rsidRPr="001578DD">
              <w:rPr>
                <w:rFonts w:ascii="Times New Roman" w:hAnsi="Times New Roman" w:cs="Times New Roman"/>
                <w:color w:val="000000"/>
              </w:rPr>
              <w:t xml:space="preserve">wymuszą na producentach węgla znalezienie nowych kierunków zbytu lub zastosowań dla ww. paliw stałych. </w:t>
            </w:r>
          </w:p>
        </w:tc>
      </w:tr>
      <w:tr w:rsidR="00390AE3" w:rsidRPr="001578DD" w:rsidTr="001578DD">
        <w:trPr>
          <w:trHeight w:val="142"/>
          <w:jc w:val="center"/>
        </w:trPr>
        <w:tc>
          <w:tcPr>
            <w:tcW w:w="1584" w:type="dxa"/>
            <w:vMerge/>
            <w:shd w:val="clear" w:color="auto" w:fill="FFFFFF"/>
          </w:tcPr>
          <w:p w:rsidR="00390AE3" w:rsidRPr="001578DD" w:rsidRDefault="00390AE3" w:rsidP="001578DD">
            <w:pPr>
              <w:spacing w:before="60" w:after="60" w:line="240" w:lineRule="auto"/>
              <w:rPr>
                <w:rFonts w:ascii="Times New Roman" w:hAnsi="Times New Roman" w:cs="Times New Roman"/>
                <w:color w:val="000000"/>
              </w:rPr>
            </w:pPr>
          </w:p>
        </w:tc>
        <w:tc>
          <w:tcPr>
            <w:tcW w:w="2449" w:type="dxa"/>
            <w:gridSpan w:val="7"/>
            <w:shd w:val="clear" w:color="auto" w:fill="FFFFFF"/>
          </w:tcPr>
          <w:p w:rsidR="00390AE3" w:rsidRPr="001578DD" w:rsidRDefault="00F33ECE" w:rsidP="001578DD">
            <w:pPr>
              <w:spacing w:before="60" w:after="60" w:line="240" w:lineRule="auto"/>
              <w:rPr>
                <w:rFonts w:ascii="Times New Roman" w:hAnsi="Times New Roman" w:cs="Times New Roman"/>
                <w:color w:val="000000"/>
              </w:rPr>
            </w:pPr>
            <w:r>
              <w:rPr>
                <w:rFonts w:ascii="Times New Roman" w:hAnsi="Times New Roman" w:cs="Times New Roman"/>
                <w:color w:val="000000"/>
              </w:rPr>
              <w:t>sektor mikro-, małych i </w:t>
            </w:r>
            <w:r w:rsidR="00390AE3" w:rsidRPr="001578DD">
              <w:rPr>
                <w:rFonts w:ascii="Times New Roman" w:hAnsi="Times New Roman" w:cs="Times New Roman"/>
                <w:color w:val="000000"/>
              </w:rPr>
              <w:t>średnich przedsiębiorstw</w:t>
            </w:r>
          </w:p>
        </w:tc>
        <w:tc>
          <w:tcPr>
            <w:tcW w:w="6209" w:type="dxa"/>
            <w:gridSpan w:val="21"/>
            <w:shd w:val="clear" w:color="auto" w:fill="FFFFFF"/>
            <w:vAlign w:val="center"/>
          </w:tcPr>
          <w:p w:rsidR="00390AE3" w:rsidRPr="001578DD" w:rsidRDefault="00390AE3" w:rsidP="001578DD">
            <w:pPr>
              <w:spacing w:before="60" w:after="60" w:line="240" w:lineRule="auto"/>
              <w:jc w:val="both"/>
              <w:rPr>
                <w:rFonts w:ascii="Times New Roman" w:hAnsi="Times New Roman" w:cs="Times New Roman"/>
                <w:color w:val="000000"/>
              </w:rPr>
            </w:pPr>
            <w:r w:rsidRPr="001578DD">
              <w:rPr>
                <w:rFonts w:ascii="Times New Roman" w:hAnsi="Times New Roman" w:cs="Times New Roman"/>
                <w:color w:val="000000"/>
              </w:rPr>
              <w:t xml:space="preserve">Wejście w życie </w:t>
            </w:r>
            <w:r w:rsidR="00C66E2E" w:rsidRPr="001578DD">
              <w:rPr>
                <w:rFonts w:ascii="Times New Roman" w:hAnsi="Times New Roman" w:cs="Times New Roman"/>
                <w:color w:val="000000"/>
              </w:rPr>
              <w:t xml:space="preserve">ustawy </w:t>
            </w:r>
            <w:r w:rsidRPr="001578DD">
              <w:rPr>
                <w:rFonts w:ascii="Times New Roman" w:hAnsi="Times New Roman" w:cs="Times New Roman"/>
                <w:color w:val="000000"/>
              </w:rPr>
              <w:t>nie spowoduje skutków w ujęciu niepieniężnym.</w:t>
            </w:r>
          </w:p>
        </w:tc>
      </w:tr>
      <w:tr w:rsidR="00390AE3" w:rsidRPr="001578DD" w:rsidTr="001578DD">
        <w:trPr>
          <w:trHeight w:val="1227"/>
          <w:jc w:val="center"/>
        </w:trPr>
        <w:tc>
          <w:tcPr>
            <w:tcW w:w="1584" w:type="dxa"/>
            <w:vMerge/>
            <w:shd w:val="clear" w:color="auto" w:fill="FFFFFF"/>
          </w:tcPr>
          <w:p w:rsidR="00390AE3" w:rsidRPr="001578DD" w:rsidRDefault="00390AE3" w:rsidP="001578DD">
            <w:pPr>
              <w:spacing w:before="60" w:after="60" w:line="240" w:lineRule="auto"/>
              <w:rPr>
                <w:rFonts w:ascii="Times New Roman" w:hAnsi="Times New Roman" w:cs="Times New Roman"/>
                <w:color w:val="000000"/>
              </w:rPr>
            </w:pPr>
          </w:p>
        </w:tc>
        <w:tc>
          <w:tcPr>
            <w:tcW w:w="2449" w:type="dxa"/>
            <w:gridSpan w:val="7"/>
            <w:shd w:val="clear" w:color="auto" w:fill="FFFFFF"/>
          </w:tcPr>
          <w:p w:rsidR="00390AE3" w:rsidRPr="001578DD" w:rsidRDefault="00390AE3" w:rsidP="001578DD">
            <w:pPr>
              <w:tabs>
                <w:tab w:val="right" w:pos="1936"/>
              </w:tabs>
              <w:spacing w:before="60" w:after="60" w:line="240" w:lineRule="auto"/>
              <w:rPr>
                <w:rFonts w:ascii="Times New Roman" w:hAnsi="Times New Roman" w:cs="Times New Roman"/>
                <w:color w:val="000000"/>
              </w:rPr>
            </w:pPr>
            <w:r w:rsidRPr="001578DD">
              <w:rPr>
                <w:rFonts w:ascii="Times New Roman" w:hAnsi="Times New Roman" w:cs="Times New Roman"/>
              </w:rPr>
              <w:t>rodzina, obywatele oraz gospodarstwa domowe</w:t>
            </w:r>
            <w:r w:rsidRPr="001578DD">
              <w:rPr>
                <w:rFonts w:ascii="Times New Roman" w:hAnsi="Times New Roman" w:cs="Times New Roman"/>
                <w:color w:val="000000"/>
              </w:rPr>
              <w:t xml:space="preserve"> </w:t>
            </w:r>
          </w:p>
        </w:tc>
        <w:tc>
          <w:tcPr>
            <w:tcW w:w="6209" w:type="dxa"/>
            <w:gridSpan w:val="21"/>
            <w:shd w:val="clear" w:color="auto" w:fill="FFFFFF"/>
            <w:vAlign w:val="center"/>
          </w:tcPr>
          <w:p w:rsidR="00390AE3" w:rsidRPr="001578DD" w:rsidRDefault="00390AE3" w:rsidP="001578DD">
            <w:pPr>
              <w:spacing w:before="60" w:after="60" w:line="240" w:lineRule="auto"/>
              <w:jc w:val="both"/>
              <w:rPr>
                <w:rFonts w:ascii="Times New Roman" w:hAnsi="Times New Roman" w:cs="Times New Roman"/>
                <w:color w:val="000000"/>
              </w:rPr>
            </w:pPr>
            <w:r w:rsidRPr="001578DD">
              <w:rPr>
                <w:rFonts w:ascii="Times New Roman" w:hAnsi="Times New Roman" w:cs="Times New Roman"/>
                <w:color w:val="000000"/>
              </w:rPr>
              <w:t>Wprowadzenie wymagań jakościowy</w:t>
            </w:r>
            <w:r w:rsidR="00F33ECE">
              <w:rPr>
                <w:rFonts w:ascii="Times New Roman" w:hAnsi="Times New Roman" w:cs="Times New Roman"/>
                <w:color w:val="000000"/>
              </w:rPr>
              <w:t>ch dla paliw stałych wykluczy z </w:t>
            </w:r>
            <w:r w:rsidRPr="001578DD">
              <w:rPr>
                <w:rFonts w:ascii="Times New Roman" w:hAnsi="Times New Roman" w:cs="Times New Roman"/>
                <w:color w:val="000000"/>
              </w:rPr>
              <w:t xml:space="preserve">obrotu paliwa niespełniające minimalnych wymagań, umożliwiając ponadto potencjalnym nabywcom wybór paliw o wysokich parametrach jakościowych. Ww. </w:t>
            </w:r>
            <w:r w:rsidR="00F33ECE">
              <w:rPr>
                <w:rFonts w:ascii="Times New Roman" w:hAnsi="Times New Roman" w:cs="Times New Roman"/>
                <w:color w:val="000000"/>
              </w:rPr>
              <w:t>działania mogą przyczynić się w </w:t>
            </w:r>
            <w:r w:rsidRPr="001578DD">
              <w:rPr>
                <w:rFonts w:ascii="Times New Roman" w:hAnsi="Times New Roman" w:cs="Times New Roman"/>
                <w:color w:val="000000"/>
              </w:rPr>
              <w:t>efekcie do redukcji tzw. emisji niskiej, a przez to do poprawy zdrowia i jakości życia obywateli.</w:t>
            </w:r>
          </w:p>
        </w:tc>
      </w:tr>
      <w:tr w:rsidR="00390AE3" w:rsidRPr="001578DD" w:rsidTr="001578DD">
        <w:trPr>
          <w:trHeight w:val="1868"/>
          <w:jc w:val="center"/>
        </w:trPr>
        <w:tc>
          <w:tcPr>
            <w:tcW w:w="1584" w:type="dxa"/>
            <w:shd w:val="clear" w:color="auto" w:fill="FFFFFF"/>
          </w:tcPr>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Niemierzalne</w:t>
            </w:r>
          </w:p>
        </w:tc>
        <w:tc>
          <w:tcPr>
            <w:tcW w:w="2449" w:type="dxa"/>
            <w:gridSpan w:val="7"/>
            <w:shd w:val="clear" w:color="auto" w:fill="FFFFFF"/>
          </w:tcPr>
          <w:p w:rsidR="00390AE3" w:rsidRPr="001578DD" w:rsidRDefault="00390AE3" w:rsidP="001578DD">
            <w:pPr>
              <w:spacing w:before="60" w:after="60" w:line="240" w:lineRule="auto"/>
              <w:rPr>
                <w:rFonts w:ascii="Times New Roman" w:hAnsi="Times New Roman" w:cs="Times New Roman"/>
                <w:color w:val="000000"/>
              </w:rPr>
            </w:pPr>
          </w:p>
        </w:tc>
        <w:tc>
          <w:tcPr>
            <w:tcW w:w="6209" w:type="dxa"/>
            <w:gridSpan w:val="21"/>
            <w:shd w:val="clear" w:color="auto" w:fill="FFFFFF"/>
          </w:tcPr>
          <w:p w:rsidR="00390AE3" w:rsidRPr="001578DD" w:rsidRDefault="00CF6C37" w:rsidP="001578DD">
            <w:pPr>
              <w:spacing w:before="60" w:after="60" w:line="240" w:lineRule="auto"/>
              <w:jc w:val="both"/>
              <w:rPr>
                <w:rFonts w:ascii="Times New Roman" w:hAnsi="Times New Roman" w:cs="Times New Roman"/>
                <w:color w:val="000000"/>
              </w:rPr>
            </w:pPr>
            <w:r w:rsidRPr="001578DD">
              <w:rPr>
                <w:rFonts w:ascii="Times New Roman" w:hAnsi="Times New Roman" w:cs="Times New Roman"/>
              </w:rPr>
              <w:t>E</w:t>
            </w:r>
            <w:r w:rsidR="00390AE3" w:rsidRPr="001578DD">
              <w:rPr>
                <w:rFonts w:ascii="Times New Roman" w:hAnsi="Times New Roman" w:cs="Times New Roman"/>
              </w:rPr>
              <w:t>fektywność ogrzewania nie zależy jedynie od rodzaju spalanego paliwa. Koszty ogrzewania domu zależą również od standardu izolacyjności cieplnej, a także od sprawności systemu grzewczego. Spalanie najlepszej jakości paliwa stałego w starym, niskosprawnym kotle nie</w:t>
            </w:r>
            <w:r w:rsidR="00A5252F">
              <w:rPr>
                <w:rFonts w:ascii="Times New Roman" w:hAnsi="Times New Roman" w:cs="Times New Roman"/>
              </w:rPr>
              <w:t xml:space="preserve"> </w:t>
            </w:r>
            <w:r w:rsidR="00390AE3" w:rsidRPr="001578DD">
              <w:rPr>
                <w:rFonts w:ascii="Times New Roman" w:hAnsi="Times New Roman" w:cs="Times New Roman"/>
              </w:rPr>
              <w:t>będzie porównywaln</w:t>
            </w:r>
            <w:r w:rsidR="00F62225" w:rsidRPr="001578DD">
              <w:rPr>
                <w:rFonts w:ascii="Times New Roman" w:hAnsi="Times New Roman" w:cs="Times New Roman"/>
              </w:rPr>
              <w:t>e</w:t>
            </w:r>
            <w:r w:rsidR="00F33ECE">
              <w:rPr>
                <w:rFonts w:ascii="Times New Roman" w:hAnsi="Times New Roman" w:cs="Times New Roman"/>
              </w:rPr>
              <w:t xml:space="preserve"> do tej, którą otrzymać można w </w:t>
            </w:r>
            <w:r w:rsidR="00390AE3" w:rsidRPr="001578DD">
              <w:rPr>
                <w:rFonts w:ascii="Times New Roman" w:hAnsi="Times New Roman" w:cs="Times New Roman"/>
              </w:rPr>
              <w:t>wyniku spalania odpowiedniej jakości paliwa stałego rekomendowanego przez producentów kotłów grzewczych wysokiej klasy.</w:t>
            </w:r>
          </w:p>
        </w:tc>
      </w:tr>
      <w:tr w:rsidR="00390AE3" w:rsidRPr="001578DD" w:rsidTr="001578DD">
        <w:trPr>
          <w:trHeight w:val="269"/>
          <w:jc w:val="center"/>
        </w:trPr>
        <w:tc>
          <w:tcPr>
            <w:tcW w:w="2373" w:type="dxa"/>
            <w:gridSpan w:val="3"/>
            <w:shd w:val="clear" w:color="auto" w:fill="FFFFFF"/>
          </w:tcPr>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Dodatkowe informacje, w tym wskazanie źródeł danych i przyjętych do obliczeń założeń</w:t>
            </w:r>
          </w:p>
        </w:tc>
        <w:tc>
          <w:tcPr>
            <w:tcW w:w="7869" w:type="dxa"/>
            <w:gridSpan w:val="26"/>
            <w:shd w:val="clear" w:color="auto" w:fill="FFFFFF"/>
            <w:vAlign w:val="center"/>
          </w:tcPr>
          <w:p w:rsidR="005D0026" w:rsidRPr="001578DD" w:rsidRDefault="005D0026" w:rsidP="001578DD">
            <w:pPr>
              <w:spacing w:before="60" w:after="60" w:line="240" w:lineRule="auto"/>
              <w:jc w:val="both"/>
              <w:rPr>
                <w:rFonts w:ascii="Times New Roman" w:hAnsi="Times New Roman" w:cs="Times New Roman"/>
                <w:color w:val="000000"/>
              </w:rPr>
            </w:pPr>
            <w:r w:rsidRPr="001578DD">
              <w:rPr>
                <w:rFonts w:ascii="Times New Roman" w:hAnsi="Times New Roman" w:cs="Times New Roman"/>
                <w:color w:val="000000"/>
              </w:rPr>
              <w:t>Do oszacowania kosztów dużych przedsiębiorstw, w tym przypadku wprowadzających do obrotu muły węglowe i flotokoncentraty na potrzeby gospodarstw domowych</w:t>
            </w:r>
            <w:r w:rsidR="00523C50" w:rsidRPr="001578DD">
              <w:rPr>
                <w:rFonts w:ascii="Times New Roman" w:hAnsi="Times New Roman" w:cs="Times New Roman"/>
                <w:color w:val="000000"/>
              </w:rPr>
              <w:t>, przyjęto</w:t>
            </w:r>
            <w:r w:rsidRPr="001578DD">
              <w:rPr>
                <w:rFonts w:ascii="Times New Roman" w:hAnsi="Times New Roman" w:cs="Times New Roman"/>
                <w:color w:val="000000"/>
              </w:rPr>
              <w:t xml:space="preserve"> utratę </w:t>
            </w:r>
            <w:r w:rsidR="00523C50" w:rsidRPr="001578DD">
              <w:rPr>
                <w:rFonts w:ascii="Times New Roman" w:hAnsi="Times New Roman" w:cs="Times New Roman"/>
                <w:color w:val="000000"/>
              </w:rPr>
              <w:t>przychodów ze sprzedaży</w:t>
            </w:r>
            <w:r w:rsidRPr="001578DD">
              <w:rPr>
                <w:rFonts w:ascii="Times New Roman" w:hAnsi="Times New Roman" w:cs="Times New Roman"/>
                <w:color w:val="000000"/>
              </w:rPr>
              <w:t xml:space="preserve"> </w:t>
            </w:r>
            <w:r w:rsidR="00B07845" w:rsidRPr="001578DD">
              <w:rPr>
                <w:rFonts w:ascii="Times New Roman" w:hAnsi="Times New Roman" w:cs="Times New Roman"/>
                <w:color w:val="000000"/>
              </w:rPr>
              <w:t xml:space="preserve">oraz koszty zagospodarowania niesprzedanego </w:t>
            </w:r>
            <w:r w:rsidRPr="001578DD">
              <w:rPr>
                <w:rFonts w:ascii="Times New Roman" w:hAnsi="Times New Roman" w:cs="Times New Roman"/>
                <w:color w:val="000000"/>
              </w:rPr>
              <w:t xml:space="preserve">paliwa. Zmniejszenie kosztów wynikać będzie </w:t>
            </w:r>
            <w:r w:rsidR="00523C50" w:rsidRPr="001578DD">
              <w:rPr>
                <w:rFonts w:ascii="Times New Roman" w:hAnsi="Times New Roman" w:cs="Times New Roman"/>
                <w:color w:val="000000"/>
              </w:rPr>
              <w:t>z</w:t>
            </w:r>
            <w:r w:rsidR="00F33ECE">
              <w:rPr>
                <w:rFonts w:ascii="Times New Roman" w:hAnsi="Times New Roman" w:cs="Times New Roman"/>
                <w:color w:val="000000"/>
              </w:rPr>
              <w:t>e zwiększenia wykorzystania ww. </w:t>
            </w:r>
            <w:r w:rsidR="00523C50" w:rsidRPr="001578DD">
              <w:rPr>
                <w:rFonts w:ascii="Times New Roman" w:hAnsi="Times New Roman" w:cs="Times New Roman"/>
                <w:color w:val="000000"/>
              </w:rPr>
              <w:t>paliw stałych w zakładach posiadających instalacje nieobjęte projektowaną ustawą</w:t>
            </w:r>
            <w:r w:rsidR="00F62225" w:rsidRPr="001578DD">
              <w:rPr>
                <w:rFonts w:ascii="Times New Roman" w:hAnsi="Times New Roman" w:cs="Times New Roman"/>
                <w:color w:val="000000"/>
              </w:rPr>
              <w:t>, a</w:t>
            </w:r>
            <w:r w:rsidR="00523C50" w:rsidRPr="001578DD">
              <w:rPr>
                <w:rFonts w:ascii="Times New Roman" w:hAnsi="Times New Roman" w:cs="Times New Roman"/>
                <w:color w:val="000000"/>
              </w:rPr>
              <w:t xml:space="preserve"> także zastosowania ich w innych celach niż spalanie np. w rekultywacji.</w:t>
            </w:r>
            <w:r w:rsidR="001405FE" w:rsidRPr="001578DD">
              <w:rPr>
                <w:rFonts w:ascii="Times New Roman" w:hAnsi="Times New Roman" w:cs="Times New Roman"/>
                <w:color w:val="000000"/>
              </w:rPr>
              <w:t xml:space="preserve"> Szacuj</w:t>
            </w:r>
            <w:r w:rsidR="008C509D">
              <w:rPr>
                <w:rFonts w:ascii="Times New Roman" w:hAnsi="Times New Roman" w:cs="Times New Roman"/>
                <w:color w:val="000000"/>
              </w:rPr>
              <w:t>e</w:t>
            </w:r>
            <w:r w:rsidR="001405FE" w:rsidRPr="001578DD">
              <w:rPr>
                <w:rFonts w:ascii="Times New Roman" w:hAnsi="Times New Roman" w:cs="Times New Roman"/>
                <w:color w:val="000000"/>
              </w:rPr>
              <w:t xml:space="preserve"> się, że koszty te wynosić będą około 50 mln zł</w:t>
            </w:r>
            <w:r w:rsidR="000E458A" w:rsidRPr="001578DD">
              <w:rPr>
                <w:rFonts w:ascii="Times New Roman" w:hAnsi="Times New Roman" w:cs="Times New Roman"/>
                <w:color w:val="000000"/>
              </w:rPr>
              <w:t xml:space="preserve"> rocznie. Dodatkowo spółki górnicze</w:t>
            </w:r>
            <w:r w:rsidR="001C4500">
              <w:rPr>
                <w:rFonts w:ascii="Times New Roman" w:hAnsi="Times New Roman" w:cs="Times New Roman"/>
                <w:color w:val="000000"/>
              </w:rPr>
              <w:t>,</w:t>
            </w:r>
            <w:r w:rsidR="000E458A" w:rsidRPr="001578DD">
              <w:rPr>
                <w:rFonts w:ascii="Times New Roman" w:hAnsi="Times New Roman" w:cs="Times New Roman"/>
                <w:color w:val="000000"/>
              </w:rPr>
              <w:t xml:space="preserve"> aby sprostać nowym wymaganiom</w:t>
            </w:r>
            <w:r w:rsidR="001C4500">
              <w:rPr>
                <w:rFonts w:ascii="Times New Roman" w:hAnsi="Times New Roman" w:cs="Times New Roman"/>
                <w:color w:val="000000"/>
              </w:rPr>
              <w:t>,</w:t>
            </w:r>
            <w:r w:rsidR="000E458A" w:rsidRPr="001578DD">
              <w:rPr>
                <w:rFonts w:ascii="Times New Roman" w:hAnsi="Times New Roman" w:cs="Times New Roman"/>
                <w:color w:val="000000"/>
              </w:rPr>
              <w:t xml:space="preserve"> muszą dokonać niezbędnych inwestycji, które szacow</w:t>
            </w:r>
            <w:r w:rsidR="00F62225" w:rsidRPr="001578DD">
              <w:rPr>
                <w:rFonts w:ascii="Times New Roman" w:hAnsi="Times New Roman" w:cs="Times New Roman"/>
                <w:color w:val="000000"/>
              </w:rPr>
              <w:t>a</w:t>
            </w:r>
            <w:r w:rsidR="000E458A" w:rsidRPr="001578DD">
              <w:rPr>
                <w:rFonts w:ascii="Times New Roman" w:hAnsi="Times New Roman" w:cs="Times New Roman"/>
                <w:color w:val="000000"/>
              </w:rPr>
              <w:t>ne są na około 70 mln zł.</w:t>
            </w:r>
          </w:p>
          <w:p w:rsidR="008925A5" w:rsidRPr="001578DD" w:rsidRDefault="00A41C10" w:rsidP="001C4500">
            <w:pPr>
              <w:spacing w:before="60" w:after="60" w:line="240" w:lineRule="auto"/>
              <w:jc w:val="both"/>
              <w:rPr>
                <w:rFonts w:ascii="Times New Roman" w:hAnsi="Times New Roman" w:cs="Times New Roman"/>
                <w:color w:val="000000"/>
              </w:rPr>
            </w:pPr>
            <w:r w:rsidRPr="001578DD">
              <w:rPr>
                <w:rFonts w:ascii="Times New Roman" w:hAnsi="Times New Roman" w:cs="Times New Roman"/>
                <w:color w:val="000000"/>
              </w:rPr>
              <w:t xml:space="preserve">Do </w:t>
            </w:r>
            <w:r w:rsidR="005D0026" w:rsidRPr="001578DD">
              <w:rPr>
                <w:rFonts w:ascii="Times New Roman" w:hAnsi="Times New Roman" w:cs="Times New Roman"/>
                <w:color w:val="000000"/>
              </w:rPr>
              <w:t>oszacowania</w:t>
            </w:r>
            <w:r w:rsidRPr="001578DD">
              <w:rPr>
                <w:rFonts w:ascii="Times New Roman" w:hAnsi="Times New Roman" w:cs="Times New Roman"/>
                <w:color w:val="000000"/>
              </w:rPr>
              <w:t xml:space="preserve"> </w:t>
            </w:r>
            <w:r w:rsidR="00ED68DB" w:rsidRPr="001578DD">
              <w:rPr>
                <w:rFonts w:ascii="Times New Roman" w:hAnsi="Times New Roman" w:cs="Times New Roman"/>
                <w:color w:val="000000"/>
              </w:rPr>
              <w:t xml:space="preserve">kosztów dla gospodarstw domowych </w:t>
            </w:r>
            <w:r w:rsidRPr="001578DD">
              <w:rPr>
                <w:rFonts w:ascii="Times New Roman" w:hAnsi="Times New Roman" w:cs="Times New Roman"/>
                <w:color w:val="000000"/>
              </w:rPr>
              <w:t xml:space="preserve">przyjęte </w:t>
            </w:r>
            <w:r w:rsidR="00ED68DB" w:rsidRPr="001578DD">
              <w:rPr>
                <w:rFonts w:ascii="Times New Roman" w:hAnsi="Times New Roman" w:cs="Times New Roman"/>
                <w:color w:val="000000"/>
              </w:rPr>
              <w:t xml:space="preserve">zostały </w:t>
            </w:r>
            <w:r w:rsidRPr="001578DD">
              <w:rPr>
                <w:rFonts w:ascii="Times New Roman" w:hAnsi="Times New Roman" w:cs="Times New Roman"/>
                <w:color w:val="000000"/>
              </w:rPr>
              <w:t>dane szacunkowe</w:t>
            </w:r>
            <w:r w:rsidR="00C53604" w:rsidRPr="001578DD">
              <w:rPr>
                <w:rFonts w:ascii="Times New Roman" w:hAnsi="Times New Roman" w:cs="Times New Roman"/>
                <w:color w:val="000000"/>
              </w:rPr>
              <w:t xml:space="preserve"> z roku 2016</w:t>
            </w:r>
            <w:r w:rsidRPr="001578DD">
              <w:rPr>
                <w:rFonts w:ascii="Times New Roman" w:hAnsi="Times New Roman" w:cs="Times New Roman"/>
                <w:color w:val="000000"/>
              </w:rPr>
              <w:t>, które w różnych źródłach mogą się różni</w:t>
            </w:r>
            <w:r w:rsidR="00F33ECE">
              <w:rPr>
                <w:rFonts w:ascii="Times New Roman" w:hAnsi="Times New Roman" w:cs="Times New Roman"/>
                <w:color w:val="000000"/>
              </w:rPr>
              <w:t>ć względem siebie o </w:t>
            </w:r>
            <w:r w:rsidR="00C418D0" w:rsidRPr="001578DD">
              <w:rPr>
                <w:rFonts w:ascii="Times New Roman" w:hAnsi="Times New Roman" w:cs="Times New Roman"/>
                <w:color w:val="000000"/>
              </w:rPr>
              <w:t>5 do 10%</w:t>
            </w:r>
            <w:r w:rsidR="00873BFA" w:rsidRPr="001578DD">
              <w:rPr>
                <w:rFonts w:ascii="Times New Roman" w:hAnsi="Times New Roman" w:cs="Times New Roman"/>
                <w:color w:val="000000"/>
              </w:rPr>
              <w:t>. Założono eliminacj</w:t>
            </w:r>
            <w:r w:rsidR="00F62225" w:rsidRPr="001578DD">
              <w:rPr>
                <w:rFonts w:ascii="Times New Roman" w:hAnsi="Times New Roman" w:cs="Times New Roman"/>
                <w:color w:val="000000"/>
              </w:rPr>
              <w:t>ę</w:t>
            </w:r>
            <w:r w:rsidR="00C53604" w:rsidRPr="001578DD">
              <w:rPr>
                <w:rFonts w:ascii="Times New Roman" w:hAnsi="Times New Roman" w:cs="Times New Roman"/>
                <w:color w:val="000000"/>
              </w:rPr>
              <w:t xml:space="preserve"> mułów węglowych i flotokoncentratów oraz węgla brunatnego</w:t>
            </w:r>
            <w:r w:rsidR="00873BFA" w:rsidRPr="001578DD">
              <w:rPr>
                <w:rFonts w:ascii="Times New Roman" w:hAnsi="Times New Roman" w:cs="Times New Roman"/>
                <w:color w:val="000000"/>
              </w:rPr>
              <w:t xml:space="preserve"> ze sprzedaży do sektora komunalno-bytowego</w:t>
            </w:r>
            <w:r w:rsidR="00C53604" w:rsidRPr="001578DD">
              <w:rPr>
                <w:rFonts w:ascii="Times New Roman" w:hAnsi="Times New Roman" w:cs="Times New Roman"/>
                <w:color w:val="000000"/>
              </w:rPr>
              <w:t xml:space="preserve">. </w:t>
            </w:r>
            <w:r w:rsidR="0094270D" w:rsidRPr="001578DD">
              <w:rPr>
                <w:rFonts w:ascii="Times New Roman" w:hAnsi="Times New Roman" w:cs="Times New Roman"/>
                <w:color w:val="000000"/>
              </w:rPr>
              <w:t xml:space="preserve">W polskich gospodarstwach zużywa się </w:t>
            </w:r>
            <w:r w:rsidR="007B6E8F" w:rsidRPr="001578DD">
              <w:rPr>
                <w:rFonts w:ascii="Times New Roman" w:hAnsi="Times New Roman" w:cs="Times New Roman"/>
                <w:color w:val="000000"/>
              </w:rPr>
              <w:t>od 1 do</w:t>
            </w:r>
            <w:r w:rsidR="0094270D" w:rsidRPr="001578DD">
              <w:rPr>
                <w:rFonts w:ascii="Times New Roman" w:hAnsi="Times New Roman" w:cs="Times New Roman"/>
                <w:color w:val="000000"/>
              </w:rPr>
              <w:t xml:space="preserve"> 1,5 mln mułów węglowych i flotokoncentratów oraz 0,7 mln ton węgla brunatnego. Średnia cena </w:t>
            </w:r>
            <w:r w:rsidR="00456247" w:rsidRPr="001578DD">
              <w:rPr>
                <w:rFonts w:ascii="Times New Roman" w:hAnsi="Times New Roman" w:cs="Times New Roman"/>
                <w:color w:val="000000"/>
              </w:rPr>
              <w:t xml:space="preserve">netto, </w:t>
            </w:r>
            <w:r w:rsidR="00F33ECE">
              <w:rPr>
                <w:rFonts w:ascii="Times New Roman" w:hAnsi="Times New Roman" w:cs="Times New Roman"/>
                <w:color w:val="000000"/>
              </w:rPr>
              <w:t>w kopalniach, mułów węglowych i </w:t>
            </w:r>
            <w:r w:rsidR="0094270D" w:rsidRPr="001578DD">
              <w:rPr>
                <w:rFonts w:ascii="Times New Roman" w:hAnsi="Times New Roman" w:cs="Times New Roman"/>
                <w:color w:val="000000"/>
              </w:rPr>
              <w:t xml:space="preserve">flotokoncentratów </w:t>
            </w:r>
            <w:r w:rsidR="00456247" w:rsidRPr="001578DD">
              <w:rPr>
                <w:rFonts w:ascii="Times New Roman" w:hAnsi="Times New Roman" w:cs="Times New Roman"/>
                <w:color w:val="000000"/>
              </w:rPr>
              <w:t>wynosi 158 zł/tona. Natomiast</w:t>
            </w:r>
            <w:r w:rsidR="0094270D" w:rsidRPr="001578DD">
              <w:rPr>
                <w:rFonts w:ascii="Times New Roman" w:hAnsi="Times New Roman" w:cs="Times New Roman"/>
                <w:color w:val="000000"/>
              </w:rPr>
              <w:t xml:space="preserve"> cena </w:t>
            </w:r>
            <w:r w:rsidR="00523C50" w:rsidRPr="001578DD">
              <w:rPr>
                <w:rFonts w:ascii="Times New Roman" w:hAnsi="Times New Roman" w:cs="Times New Roman"/>
                <w:color w:val="000000"/>
              </w:rPr>
              <w:t xml:space="preserve">netto </w:t>
            </w:r>
            <w:r w:rsidR="0094270D" w:rsidRPr="001578DD">
              <w:rPr>
                <w:rFonts w:ascii="Times New Roman" w:hAnsi="Times New Roman" w:cs="Times New Roman"/>
                <w:color w:val="000000"/>
              </w:rPr>
              <w:t xml:space="preserve">węgla brunatnego </w:t>
            </w:r>
            <w:r w:rsidR="00C53604" w:rsidRPr="001578DD">
              <w:rPr>
                <w:rFonts w:ascii="Times New Roman" w:hAnsi="Times New Roman" w:cs="Times New Roman"/>
                <w:color w:val="000000"/>
              </w:rPr>
              <w:t xml:space="preserve">wynosi około </w:t>
            </w:r>
            <w:r w:rsidRPr="001578DD">
              <w:rPr>
                <w:rFonts w:ascii="Times New Roman" w:hAnsi="Times New Roman" w:cs="Times New Roman"/>
                <w:color w:val="000000"/>
              </w:rPr>
              <w:t>124</w:t>
            </w:r>
            <w:r w:rsidR="0094270D" w:rsidRPr="001578DD">
              <w:rPr>
                <w:rFonts w:ascii="Times New Roman" w:hAnsi="Times New Roman" w:cs="Times New Roman"/>
                <w:color w:val="000000"/>
              </w:rPr>
              <w:t xml:space="preserve"> zł/tona. </w:t>
            </w:r>
            <w:r w:rsidRPr="001578DD">
              <w:rPr>
                <w:rFonts w:ascii="Times New Roman" w:hAnsi="Times New Roman" w:cs="Times New Roman"/>
                <w:color w:val="000000"/>
              </w:rPr>
              <w:t>Koszt</w:t>
            </w:r>
            <w:r w:rsidR="00C53604" w:rsidRPr="001578DD">
              <w:rPr>
                <w:rFonts w:ascii="Times New Roman" w:hAnsi="Times New Roman" w:cs="Times New Roman"/>
                <w:color w:val="000000"/>
              </w:rPr>
              <w:t>y</w:t>
            </w:r>
            <w:r w:rsidRPr="001578DD">
              <w:rPr>
                <w:rFonts w:ascii="Times New Roman" w:hAnsi="Times New Roman" w:cs="Times New Roman"/>
                <w:color w:val="000000"/>
              </w:rPr>
              <w:t xml:space="preserve"> zakupu ww. paliw poniesione przez sektor komunalno</w:t>
            </w:r>
            <w:r w:rsidR="00CA1F2B">
              <w:rPr>
                <w:rFonts w:ascii="Times New Roman" w:hAnsi="Times New Roman" w:cs="Times New Roman"/>
                <w:color w:val="000000"/>
              </w:rPr>
              <w:t>-</w:t>
            </w:r>
            <w:r w:rsidR="00CA1F2B">
              <w:rPr>
                <w:rFonts w:ascii="Times New Roman" w:hAnsi="Times New Roman" w:cs="Times New Roman"/>
                <w:color w:val="000000"/>
              </w:rPr>
              <w:br/>
            </w:r>
            <w:bookmarkStart w:id="3" w:name="_GoBack"/>
            <w:bookmarkEnd w:id="3"/>
            <w:r w:rsidRPr="001578DD">
              <w:rPr>
                <w:rFonts w:ascii="Times New Roman" w:hAnsi="Times New Roman" w:cs="Times New Roman"/>
                <w:color w:val="000000"/>
              </w:rPr>
              <w:t xml:space="preserve">-bytowy </w:t>
            </w:r>
            <w:r w:rsidR="00C53604" w:rsidRPr="001578DD">
              <w:rPr>
                <w:rFonts w:ascii="Times New Roman" w:hAnsi="Times New Roman" w:cs="Times New Roman"/>
                <w:color w:val="000000"/>
              </w:rPr>
              <w:t>w 2016 r. wynoszą</w:t>
            </w:r>
            <w:r w:rsidRPr="001578DD">
              <w:rPr>
                <w:rFonts w:ascii="Times New Roman" w:hAnsi="Times New Roman" w:cs="Times New Roman"/>
                <w:color w:val="000000"/>
              </w:rPr>
              <w:t xml:space="preserve"> około 324 mln zł. </w:t>
            </w:r>
            <w:r w:rsidR="00435D08" w:rsidRPr="001578DD">
              <w:rPr>
                <w:rFonts w:ascii="Times New Roman" w:hAnsi="Times New Roman" w:cs="Times New Roman"/>
                <w:color w:val="000000"/>
              </w:rPr>
              <w:t>Średnia wartość opałowa mułów węglowych i flotokoncentratów</w:t>
            </w:r>
            <w:r w:rsidR="00076FF1" w:rsidRPr="001578DD">
              <w:rPr>
                <w:rFonts w:ascii="Times New Roman" w:hAnsi="Times New Roman" w:cs="Times New Roman"/>
                <w:color w:val="000000"/>
              </w:rPr>
              <w:t xml:space="preserve"> </w:t>
            </w:r>
            <w:r w:rsidR="00264691" w:rsidRPr="001578DD">
              <w:rPr>
                <w:rFonts w:ascii="Times New Roman" w:hAnsi="Times New Roman" w:cs="Times New Roman"/>
                <w:color w:val="000000"/>
              </w:rPr>
              <w:t xml:space="preserve">sprzedanych do sektora komunalno-bytowego </w:t>
            </w:r>
            <w:r w:rsidR="00076FF1" w:rsidRPr="001578DD">
              <w:rPr>
                <w:rFonts w:ascii="Times New Roman" w:hAnsi="Times New Roman" w:cs="Times New Roman"/>
                <w:color w:val="000000"/>
              </w:rPr>
              <w:t>wynosi o</w:t>
            </w:r>
            <w:r w:rsidR="00264691" w:rsidRPr="001578DD">
              <w:rPr>
                <w:rFonts w:ascii="Times New Roman" w:hAnsi="Times New Roman" w:cs="Times New Roman"/>
                <w:color w:val="000000"/>
              </w:rPr>
              <w:t>koło 15</w:t>
            </w:r>
            <w:r w:rsidR="00435D08" w:rsidRPr="001578DD">
              <w:rPr>
                <w:rFonts w:ascii="Times New Roman" w:hAnsi="Times New Roman" w:cs="Times New Roman"/>
                <w:color w:val="000000"/>
              </w:rPr>
              <w:t xml:space="preserve"> MJ/kg, natomiast węgla brunatnego 8 MJ/kg. </w:t>
            </w:r>
            <w:r w:rsidR="00456247" w:rsidRPr="001578DD">
              <w:rPr>
                <w:rFonts w:ascii="Times New Roman" w:hAnsi="Times New Roman" w:cs="Times New Roman"/>
                <w:color w:val="000000"/>
              </w:rPr>
              <w:t>Zastępując</w:t>
            </w:r>
            <w:r w:rsidR="00833625" w:rsidRPr="001578DD">
              <w:rPr>
                <w:rFonts w:ascii="Times New Roman" w:hAnsi="Times New Roman" w:cs="Times New Roman"/>
                <w:color w:val="000000"/>
              </w:rPr>
              <w:t xml:space="preserve"> </w:t>
            </w:r>
            <w:r w:rsidRPr="001578DD">
              <w:rPr>
                <w:rFonts w:ascii="Times New Roman" w:hAnsi="Times New Roman" w:cs="Times New Roman"/>
                <w:color w:val="000000"/>
              </w:rPr>
              <w:t>muły</w:t>
            </w:r>
            <w:r w:rsidR="00456247" w:rsidRPr="001578DD">
              <w:rPr>
                <w:rFonts w:ascii="Times New Roman" w:hAnsi="Times New Roman" w:cs="Times New Roman"/>
                <w:color w:val="000000"/>
              </w:rPr>
              <w:t xml:space="preserve"> </w:t>
            </w:r>
            <w:r w:rsidRPr="001578DD">
              <w:rPr>
                <w:rFonts w:ascii="Times New Roman" w:hAnsi="Times New Roman" w:cs="Times New Roman"/>
                <w:color w:val="000000"/>
              </w:rPr>
              <w:t>węglowe</w:t>
            </w:r>
            <w:r w:rsidR="00456247" w:rsidRPr="001578DD">
              <w:rPr>
                <w:rFonts w:ascii="Times New Roman" w:hAnsi="Times New Roman" w:cs="Times New Roman"/>
                <w:color w:val="000000"/>
              </w:rPr>
              <w:t>,</w:t>
            </w:r>
            <w:r w:rsidRPr="001578DD">
              <w:rPr>
                <w:rFonts w:ascii="Times New Roman" w:hAnsi="Times New Roman" w:cs="Times New Roman"/>
                <w:color w:val="000000"/>
              </w:rPr>
              <w:t xml:space="preserve"> flotokoncentraty oraz</w:t>
            </w:r>
            <w:r w:rsidR="00456247" w:rsidRPr="001578DD">
              <w:rPr>
                <w:rFonts w:ascii="Times New Roman" w:hAnsi="Times New Roman" w:cs="Times New Roman"/>
                <w:color w:val="000000"/>
              </w:rPr>
              <w:t xml:space="preserve"> węgiel brunatny </w:t>
            </w:r>
            <w:r w:rsidRPr="001578DD">
              <w:rPr>
                <w:rFonts w:ascii="Times New Roman" w:hAnsi="Times New Roman" w:cs="Times New Roman"/>
                <w:color w:val="000000"/>
              </w:rPr>
              <w:t>miałem</w:t>
            </w:r>
            <w:r w:rsidR="00833625" w:rsidRPr="001578DD">
              <w:rPr>
                <w:rFonts w:ascii="Times New Roman" w:hAnsi="Times New Roman" w:cs="Times New Roman"/>
                <w:color w:val="000000"/>
              </w:rPr>
              <w:t xml:space="preserve"> </w:t>
            </w:r>
            <w:r w:rsidR="00456247" w:rsidRPr="001578DD">
              <w:rPr>
                <w:rFonts w:ascii="Times New Roman" w:hAnsi="Times New Roman" w:cs="Times New Roman"/>
                <w:color w:val="000000"/>
              </w:rPr>
              <w:t>o wartości opałowej 21 MJ/kg i</w:t>
            </w:r>
            <w:r w:rsidRPr="001578DD">
              <w:rPr>
                <w:rFonts w:ascii="Times New Roman" w:hAnsi="Times New Roman" w:cs="Times New Roman"/>
                <w:color w:val="000000"/>
              </w:rPr>
              <w:t xml:space="preserve"> cenie</w:t>
            </w:r>
            <w:r w:rsidR="00456247" w:rsidRPr="001578DD">
              <w:rPr>
                <w:rFonts w:ascii="Times New Roman" w:hAnsi="Times New Roman" w:cs="Times New Roman"/>
                <w:color w:val="000000"/>
              </w:rPr>
              <w:t xml:space="preserve"> </w:t>
            </w:r>
            <w:r w:rsidR="00523C50" w:rsidRPr="001578DD">
              <w:rPr>
                <w:rFonts w:ascii="Times New Roman" w:hAnsi="Times New Roman" w:cs="Times New Roman"/>
                <w:color w:val="000000"/>
              </w:rPr>
              <w:t xml:space="preserve">netto </w:t>
            </w:r>
            <w:r w:rsidR="00456247" w:rsidRPr="001578DD">
              <w:rPr>
                <w:rFonts w:ascii="Times New Roman" w:hAnsi="Times New Roman" w:cs="Times New Roman"/>
                <w:color w:val="000000"/>
              </w:rPr>
              <w:t>260 zł/tona</w:t>
            </w:r>
            <w:r w:rsidRPr="001578DD">
              <w:rPr>
                <w:rFonts w:ascii="Times New Roman" w:hAnsi="Times New Roman" w:cs="Times New Roman"/>
                <w:color w:val="000000"/>
              </w:rPr>
              <w:t xml:space="preserve"> (dane paliwa pochodzą z cennika jednej ze spółek górniczych)</w:t>
            </w:r>
            <w:r w:rsidR="00456247" w:rsidRPr="001578DD">
              <w:rPr>
                <w:rFonts w:ascii="Times New Roman" w:hAnsi="Times New Roman" w:cs="Times New Roman"/>
                <w:color w:val="000000"/>
              </w:rPr>
              <w:t xml:space="preserve">, </w:t>
            </w:r>
            <w:r w:rsidRPr="001578DD">
              <w:rPr>
                <w:rFonts w:ascii="Times New Roman" w:hAnsi="Times New Roman" w:cs="Times New Roman"/>
                <w:color w:val="000000"/>
              </w:rPr>
              <w:t>zużyjemy 1,4 mln ton miału o</w:t>
            </w:r>
            <w:r w:rsidR="00523C50" w:rsidRPr="001578DD">
              <w:rPr>
                <w:rFonts w:ascii="Times New Roman" w:hAnsi="Times New Roman" w:cs="Times New Roman"/>
                <w:color w:val="000000"/>
              </w:rPr>
              <w:t xml:space="preserve"> ww.</w:t>
            </w:r>
            <w:r w:rsidRPr="001578DD">
              <w:rPr>
                <w:rFonts w:ascii="Times New Roman" w:hAnsi="Times New Roman" w:cs="Times New Roman"/>
                <w:color w:val="000000"/>
              </w:rPr>
              <w:t xml:space="preserve"> parametrach, o wartości około 373 mln zł</w:t>
            </w:r>
            <w:r w:rsidR="00C53604" w:rsidRPr="001578DD">
              <w:rPr>
                <w:rFonts w:ascii="Times New Roman" w:hAnsi="Times New Roman" w:cs="Times New Roman"/>
                <w:color w:val="000000"/>
              </w:rPr>
              <w:t xml:space="preserve"> netto</w:t>
            </w:r>
            <w:r w:rsidR="00C418D0" w:rsidRPr="001578DD">
              <w:rPr>
                <w:rFonts w:ascii="Times New Roman" w:hAnsi="Times New Roman" w:cs="Times New Roman"/>
                <w:color w:val="000000"/>
              </w:rPr>
              <w:t xml:space="preserve">. </w:t>
            </w:r>
            <w:r w:rsidR="00C53604" w:rsidRPr="001578DD">
              <w:rPr>
                <w:rFonts w:ascii="Times New Roman" w:hAnsi="Times New Roman" w:cs="Times New Roman"/>
                <w:color w:val="000000"/>
              </w:rPr>
              <w:t>W</w:t>
            </w:r>
            <w:r w:rsidR="00F33ECE">
              <w:rPr>
                <w:rFonts w:ascii="Times New Roman" w:hAnsi="Times New Roman" w:cs="Times New Roman"/>
                <w:color w:val="000000"/>
              </w:rPr>
              <w:t> </w:t>
            </w:r>
            <w:r w:rsidR="00C53604" w:rsidRPr="001578DD">
              <w:rPr>
                <w:rFonts w:ascii="Times New Roman" w:hAnsi="Times New Roman" w:cs="Times New Roman"/>
                <w:color w:val="000000"/>
              </w:rPr>
              <w:t>kosztach nie została uwzględniona marża poś</w:t>
            </w:r>
            <w:r w:rsidR="00523C50" w:rsidRPr="001578DD">
              <w:rPr>
                <w:rFonts w:ascii="Times New Roman" w:hAnsi="Times New Roman" w:cs="Times New Roman"/>
                <w:color w:val="000000"/>
              </w:rPr>
              <w:t>redników oraz koszty transportu.</w:t>
            </w:r>
            <w:r w:rsidR="005A39D1" w:rsidRPr="001578DD">
              <w:rPr>
                <w:rFonts w:ascii="Times New Roman" w:hAnsi="Times New Roman" w:cs="Times New Roman"/>
                <w:color w:val="000000"/>
              </w:rPr>
              <w:t xml:space="preserve"> </w:t>
            </w:r>
            <w:r w:rsidR="00926B3A" w:rsidRPr="001578DD">
              <w:rPr>
                <w:rFonts w:ascii="Times New Roman" w:hAnsi="Times New Roman" w:cs="Times New Roman"/>
                <w:color w:val="000000"/>
              </w:rPr>
              <w:t>Nie uwzględniono t</w:t>
            </w:r>
            <w:r w:rsidR="008925A5" w:rsidRPr="001578DD">
              <w:rPr>
                <w:rFonts w:ascii="Times New Roman" w:hAnsi="Times New Roman" w:cs="Times New Roman"/>
                <w:color w:val="000000"/>
              </w:rPr>
              <w:t>akże inflacji.</w:t>
            </w:r>
            <w:r w:rsidR="0084124C" w:rsidRPr="001578DD">
              <w:rPr>
                <w:rFonts w:ascii="Times New Roman" w:hAnsi="Times New Roman" w:cs="Times New Roman"/>
                <w:color w:val="000000"/>
              </w:rPr>
              <w:t xml:space="preserve"> </w:t>
            </w:r>
            <w:r w:rsidR="008925A5" w:rsidRPr="001578DD">
              <w:rPr>
                <w:rFonts w:ascii="Times New Roman" w:hAnsi="Times New Roman" w:cs="Times New Roman"/>
                <w:color w:val="000000"/>
              </w:rPr>
              <w:t xml:space="preserve">Nie uwzględniono wahań cen paliw na rynkach, co może mieć </w:t>
            </w:r>
            <w:r w:rsidR="000E458A" w:rsidRPr="001578DD">
              <w:rPr>
                <w:rFonts w:ascii="Times New Roman" w:hAnsi="Times New Roman" w:cs="Times New Roman"/>
                <w:color w:val="000000"/>
              </w:rPr>
              <w:t xml:space="preserve">największy </w:t>
            </w:r>
            <w:r w:rsidR="008925A5" w:rsidRPr="001578DD">
              <w:rPr>
                <w:rFonts w:ascii="Times New Roman" w:hAnsi="Times New Roman" w:cs="Times New Roman"/>
                <w:color w:val="000000"/>
              </w:rPr>
              <w:t xml:space="preserve">wpływ na </w:t>
            </w:r>
            <w:r w:rsidR="000E458A" w:rsidRPr="001578DD">
              <w:rPr>
                <w:rFonts w:ascii="Times New Roman" w:hAnsi="Times New Roman" w:cs="Times New Roman"/>
                <w:color w:val="000000"/>
              </w:rPr>
              <w:t xml:space="preserve">wszystkie </w:t>
            </w:r>
            <w:r w:rsidR="008925A5" w:rsidRPr="001578DD">
              <w:rPr>
                <w:rFonts w:ascii="Times New Roman" w:hAnsi="Times New Roman" w:cs="Times New Roman"/>
                <w:color w:val="000000"/>
              </w:rPr>
              <w:t xml:space="preserve">koszty </w:t>
            </w:r>
            <w:r w:rsidR="0084124C" w:rsidRPr="001578DD">
              <w:rPr>
                <w:rFonts w:ascii="Times New Roman" w:hAnsi="Times New Roman" w:cs="Times New Roman"/>
                <w:color w:val="000000"/>
              </w:rPr>
              <w:t>w dalszej perspektywie czasowej.</w:t>
            </w:r>
          </w:p>
        </w:tc>
      </w:tr>
      <w:tr w:rsidR="00390AE3" w:rsidRPr="001578DD" w:rsidTr="001578DD">
        <w:trPr>
          <w:trHeight w:val="342"/>
          <w:jc w:val="center"/>
        </w:trPr>
        <w:tc>
          <w:tcPr>
            <w:tcW w:w="10242" w:type="dxa"/>
            <w:gridSpan w:val="29"/>
            <w:shd w:val="clear" w:color="auto" w:fill="99CCFF"/>
            <w:vAlign w:val="center"/>
          </w:tcPr>
          <w:p w:rsidR="00390AE3" w:rsidRPr="001578DD" w:rsidRDefault="00390AE3" w:rsidP="001578DD">
            <w:pPr>
              <w:numPr>
                <w:ilvl w:val="0"/>
                <w:numId w:val="1"/>
              </w:numPr>
              <w:spacing w:before="60" w:after="60" w:line="240" w:lineRule="auto"/>
              <w:ind w:left="318" w:hanging="284"/>
              <w:jc w:val="both"/>
              <w:rPr>
                <w:rFonts w:ascii="Times New Roman" w:hAnsi="Times New Roman" w:cs="Times New Roman"/>
                <w:b/>
                <w:color w:val="000000"/>
              </w:rPr>
            </w:pPr>
            <w:r w:rsidRPr="001578DD">
              <w:rPr>
                <w:rFonts w:ascii="Times New Roman" w:hAnsi="Times New Roman" w:cs="Times New Roman"/>
                <w:b/>
                <w:color w:val="000000"/>
              </w:rPr>
              <w:t>Zmiana obciążeń regulacyjnych (w tym obowiązków informacyjnych) wynikających z projektu</w:t>
            </w:r>
          </w:p>
        </w:tc>
      </w:tr>
      <w:tr w:rsidR="00390AE3" w:rsidRPr="001578DD" w:rsidTr="001578DD">
        <w:trPr>
          <w:trHeight w:val="151"/>
          <w:jc w:val="center"/>
        </w:trPr>
        <w:tc>
          <w:tcPr>
            <w:tcW w:w="10242" w:type="dxa"/>
            <w:gridSpan w:val="29"/>
            <w:shd w:val="clear" w:color="auto" w:fill="FFFFFF"/>
          </w:tcPr>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fldChar w:fldCharType="begin">
                <w:ffData>
                  <w:name w:val="Wybór1"/>
                  <w:enabled/>
                  <w:calcOnExit w:val="0"/>
                  <w:checkBox>
                    <w:sizeAuto/>
                    <w:default w:val="0"/>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Pr="001578DD">
              <w:rPr>
                <w:rFonts w:ascii="Times New Roman" w:hAnsi="Times New Roman" w:cs="Times New Roman"/>
                <w:color w:val="000000"/>
              </w:rPr>
              <w:t xml:space="preserve"> nie dotyczy</w:t>
            </w:r>
          </w:p>
        </w:tc>
      </w:tr>
      <w:tr w:rsidR="00390AE3" w:rsidRPr="001578DD" w:rsidTr="001578DD">
        <w:trPr>
          <w:trHeight w:val="946"/>
          <w:jc w:val="center"/>
        </w:trPr>
        <w:tc>
          <w:tcPr>
            <w:tcW w:w="5237" w:type="dxa"/>
            <w:gridSpan w:val="13"/>
            <w:shd w:val="clear" w:color="auto" w:fill="FFFFFF"/>
          </w:tcPr>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Wprowadzane są obciążenia poza bezwzględnie wymaganymi przez UE (szczegóły w odwróconej tabeli zgodności).</w:t>
            </w:r>
          </w:p>
        </w:tc>
        <w:tc>
          <w:tcPr>
            <w:tcW w:w="5005" w:type="dxa"/>
            <w:gridSpan w:val="16"/>
            <w:shd w:val="clear" w:color="auto" w:fill="FFFFFF"/>
          </w:tcPr>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fldChar w:fldCharType="begin">
                <w:ffData>
                  <w:name w:val=""/>
                  <w:enabled/>
                  <w:calcOnExit w:val="0"/>
                  <w:checkBox>
                    <w:sizeAuto/>
                    <w:default w:val="1"/>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Pr="001578DD">
              <w:rPr>
                <w:rFonts w:ascii="Times New Roman" w:hAnsi="Times New Roman" w:cs="Times New Roman"/>
                <w:color w:val="000000"/>
              </w:rPr>
              <w:t xml:space="preserve"> tak</w:t>
            </w:r>
          </w:p>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fldChar w:fldCharType="begin">
                <w:ffData>
                  <w:name w:val=""/>
                  <w:enabled/>
                  <w:calcOnExit w:val="0"/>
                  <w:checkBox>
                    <w:sizeAuto/>
                    <w:default w:val="0"/>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Pr="001578DD">
              <w:rPr>
                <w:rFonts w:ascii="Times New Roman" w:hAnsi="Times New Roman" w:cs="Times New Roman"/>
                <w:color w:val="000000"/>
              </w:rPr>
              <w:t xml:space="preserve"> nie</w:t>
            </w:r>
          </w:p>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fldChar w:fldCharType="begin">
                <w:ffData>
                  <w:name w:val="Wybór1"/>
                  <w:enabled/>
                  <w:calcOnExit w:val="0"/>
                  <w:checkBox>
                    <w:sizeAuto/>
                    <w:default w:val="0"/>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Pr="001578DD">
              <w:rPr>
                <w:rFonts w:ascii="Times New Roman" w:hAnsi="Times New Roman" w:cs="Times New Roman"/>
                <w:color w:val="000000"/>
              </w:rPr>
              <w:t xml:space="preserve"> nie dotyczy</w:t>
            </w:r>
          </w:p>
        </w:tc>
      </w:tr>
      <w:tr w:rsidR="00390AE3" w:rsidRPr="001578DD" w:rsidTr="001578DD">
        <w:trPr>
          <w:trHeight w:val="699"/>
          <w:jc w:val="center"/>
        </w:trPr>
        <w:tc>
          <w:tcPr>
            <w:tcW w:w="5237" w:type="dxa"/>
            <w:gridSpan w:val="13"/>
            <w:shd w:val="clear" w:color="auto" w:fill="FFFFFF"/>
          </w:tcPr>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fldChar w:fldCharType="begin">
                <w:ffData>
                  <w:name w:val="Wybór1"/>
                  <w:enabled/>
                  <w:calcOnExit w:val="0"/>
                  <w:checkBox>
                    <w:sizeAuto/>
                    <w:default w:val="0"/>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Pr="001578DD">
              <w:rPr>
                <w:rFonts w:ascii="Times New Roman" w:hAnsi="Times New Roman" w:cs="Times New Roman"/>
                <w:color w:val="000000"/>
              </w:rPr>
              <w:t xml:space="preserve"> zmniejszenie liczby dokumentów </w:t>
            </w:r>
          </w:p>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fldChar w:fldCharType="begin">
                <w:ffData>
                  <w:name w:val=""/>
                  <w:enabled/>
                  <w:calcOnExit w:val="0"/>
                  <w:checkBox>
                    <w:sizeAuto/>
                    <w:default w:val="0"/>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Pr="001578DD">
              <w:rPr>
                <w:rFonts w:ascii="Times New Roman" w:hAnsi="Times New Roman" w:cs="Times New Roman"/>
                <w:color w:val="000000"/>
              </w:rPr>
              <w:t xml:space="preserve"> zmniejszenie liczby procedur</w:t>
            </w:r>
          </w:p>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fldChar w:fldCharType="begin">
                <w:ffData>
                  <w:name w:val=""/>
                  <w:enabled/>
                  <w:calcOnExit w:val="0"/>
                  <w:checkBox>
                    <w:sizeAuto/>
                    <w:default w:val="0"/>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Pr="001578DD">
              <w:rPr>
                <w:rFonts w:ascii="Times New Roman" w:hAnsi="Times New Roman" w:cs="Times New Roman"/>
                <w:color w:val="000000"/>
              </w:rPr>
              <w:t xml:space="preserve"> skrócenie czasu na załatwienie sprawy</w:t>
            </w:r>
          </w:p>
          <w:p w:rsidR="00390AE3" w:rsidRPr="001578DD" w:rsidRDefault="00390AE3" w:rsidP="001578DD">
            <w:pPr>
              <w:spacing w:before="60" w:after="60" w:line="240" w:lineRule="auto"/>
              <w:rPr>
                <w:rFonts w:ascii="Times New Roman" w:hAnsi="Times New Roman" w:cs="Times New Roman"/>
                <w:b/>
                <w:color w:val="000000"/>
              </w:rPr>
            </w:pPr>
            <w:r w:rsidRPr="001578DD">
              <w:rPr>
                <w:rFonts w:ascii="Times New Roman" w:hAnsi="Times New Roman" w:cs="Times New Roman"/>
                <w:color w:val="000000"/>
              </w:rPr>
              <w:fldChar w:fldCharType="begin">
                <w:ffData>
                  <w:name w:val="Wybór1"/>
                  <w:enabled/>
                  <w:calcOnExit w:val="0"/>
                  <w:checkBox>
                    <w:sizeAuto/>
                    <w:default w:val="0"/>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Pr="001578DD">
              <w:rPr>
                <w:rFonts w:ascii="Times New Roman" w:hAnsi="Times New Roman" w:cs="Times New Roman"/>
                <w:color w:val="000000"/>
              </w:rPr>
              <w:t xml:space="preserve"> inne: </w:t>
            </w:r>
          </w:p>
        </w:tc>
        <w:tc>
          <w:tcPr>
            <w:tcW w:w="5005" w:type="dxa"/>
            <w:gridSpan w:val="16"/>
            <w:shd w:val="clear" w:color="auto" w:fill="FFFFFF"/>
          </w:tcPr>
          <w:p w:rsidR="00390AE3" w:rsidRPr="001578DD" w:rsidRDefault="0031179C"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fldChar w:fldCharType="begin">
                <w:ffData>
                  <w:name w:val=""/>
                  <w:enabled/>
                  <w:calcOnExit w:val="0"/>
                  <w:checkBox>
                    <w:sizeAuto/>
                    <w:default w:val="1"/>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00390AE3" w:rsidRPr="001578DD">
              <w:rPr>
                <w:rFonts w:ascii="Times New Roman" w:hAnsi="Times New Roman" w:cs="Times New Roman"/>
                <w:color w:val="000000"/>
              </w:rPr>
              <w:t xml:space="preserve"> zwiększenie liczby dokumentów</w:t>
            </w:r>
          </w:p>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fldChar w:fldCharType="begin">
                <w:ffData>
                  <w:name w:val=""/>
                  <w:enabled/>
                  <w:calcOnExit w:val="0"/>
                  <w:checkBox>
                    <w:sizeAuto/>
                    <w:default w:val="1"/>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Pr="001578DD">
              <w:rPr>
                <w:rFonts w:ascii="Times New Roman" w:hAnsi="Times New Roman" w:cs="Times New Roman"/>
                <w:color w:val="000000"/>
              </w:rPr>
              <w:t xml:space="preserve"> zwiększenie liczby procedur</w:t>
            </w:r>
          </w:p>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fldChar w:fldCharType="begin">
                <w:ffData>
                  <w:name w:val="Wybór1"/>
                  <w:enabled/>
                  <w:calcOnExit w:val="0"/>
                  <w:checkBox>
                    <w:sizeAuto/>
                    <w:default w:val="0"/>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Pr="001578DD">
              <w:rPr>
                <w:rFonts w:ascii="Times New Roman" w:hAnsi="Times New Roman" w:cs="Times New Roman"/>
                <w:color w:val="000000"/>
              </w:rPr>
              <w:t xml:space="preserve"> wydłużenie czasu na załatwienie sprawy</w:t>
            </w:r>
          </w:p>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fldChar w:fldCharType="begin">
                <w:ffData>
                  <w:name w:val="Wybór1"/>
                  <w:enabled/>
                  <w:calcOnExit w:val="0"/>
                  <w:checkBox>
                    <w:sizeAuto/>
                    <w:default w:val="0"/>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Pr="001578DD">
              <w:rPr>
                <w:rFonts w:ascii="Times New Roman" w:hAnsi="Times New Roman" w:cs="Times New Roman"/>
                <w:color w:val="000000"/>
              </w:rPr>
              <w:t xml:space="preserve"> inne: </w:t>
            </w:r>
          </w:p>
        </w:tc>
      </w:tr>
      <w:tr w:rsidR="00390AE3" w:rsidRPr="001578DD" w:rsidTr="001578DD">
        <w:trPr>
          <w:trHeight w:val="991"/>
          <w:jc w:val="center"/>
        </w:trPr>
        <w:tc>
          <w:tcPr>
            <w:tcW w:w="5237" w:type="dxa"/>
            <w:gridSpan w:val="13"/>
            <w:shd w:val="clear" w:color="auto" w:fill="FFFFFF"/>
          </w:tcPr>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 xml:space="preserve">Wprowadzane obciążenia są przystosowane do ich elektronizacji. </w:t>
            </w:r>
          </w:p>
        </w:tc>
        <w:tc>
          <w:tcPr>
            <w:tcW w:w="5005" w:type="dxa"/>
            <w:gridSpan w:val="16"/>
            <w:shd w:val="clear" w:color="auto" w:fill="FFFFFF"/>
          </w:tcPr>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fldChar w:fldCharType="begin">
                <w:ffData>
                  <w:name w:val="Wybór1"/>
                  <w:enabled/>
                  <w:calcOnExit w:val="0"/>
                  <w:checkBox>
                    <w:sizeAuto/>
                    <w:default w:val="0"/>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Pr="001578DD">
              <w:rPr>
                <w:rFonts w:ascii="Times New Roman" w:hAnsi="Times New Roman" w:cs="Times New Roman"/>
                <w:color w:val="000000"/>
              </w:rPr>
              <w:t xml:space="preserve"> tak</w:t>
            </w:r>
          </w:p>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fldChar w:fldCharType="begin">
                <w:ffData>
                  <w:name w:val="Wybór1"/>
                  <w:enabled/>
                  <w:calcOnExit w:val="0"/>
                  <w:checkBox>
                    <w:sizeAuto/>
                    <w:default w:val="0"/>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Pr="001578DD">
              <w:rPr>
                <w:rFonts w:ascii="Times New Roman" w:hAnsi="Times New Roman" w:cs="Times New Roman"/>
                <w:color w:val="000000"/>
              </w:rPr>
              <w:t xml:space="preserve"> nie</w:t>
            </w:r>
          </w:p>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fldChar w:fldCharType="begin">
                <w:ffData>
                  <w:name w:val=""/>
                  <w:enabled/>
                  <w:calcOnExit w:val="0"/>
                  <w:checkBox>
                    <w:sizeAuto/>
                    <w:default w:val="1"/>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Pr="001578DD">
              <w:rPr>
                <w:rFonts w:ascii="Times New Roman" w:hAnsi="Times New Roman" w:cs="Times New Roman"/>
                <w:color w:val="000000"/>
              </w:rPr>
              <w:t xml:space="preserve"> nie dotyczy</w:t>
            </w:r>
          </w:p>
        </w:tc>
      </w:tr>
      <w:tr w:rsidR="00390AE3" w:rsidRPr="001578DD" w:rsidTr="001578DD">
        <w:trPr>
          <w:trHeight w:val="157"/>
          <w:jc w:val="center"/>
        </w:trPr>
        <w:tc>
          <w:tcPr>
            <w:tcW w:w="10242" w:type="dxa"/>
            <w:gridSpan w:val="29"/>
            <w:shd w:val="clear" w:color="auto" w:fill="FFFFFF"/>
          </w:tcPr>
          <w:p w:rsidR="00390AE3" w:rsidRPr="001578DD" w:rsidRDefault="00234C81" w:rsidP="001578DD">
            <w:pPr>
              <w:spacing w:before="60" w:after="60" w:line="240" w:lineRule="auto"/>
              <w:jc w:val="both"/>
              <w:rPr>
                <w:rFonts w:ascii="Times New Roman" w:hAnsi="Times New Roman" w:cs="Times New Roman"/>
                <w:color w:val="000000"/>
              </w:rPr>
            </w:pPr>
            <w:r w:rsidRPr="001578DD">
              <w:rPr>
                <w:rFonts w:ascii="Times New Roman" w:hAnsi="Times New Roman" w:cs="Times New Roman"/>
                <w:color w:val="000000"/>
              </w:rPr>
              <w:t xml:space="preserve">Wprowadzający do obrotu paliwo stałe </w:t>
            </w:r>
            <w:r w:rsidR="008C509D">
              <w:rPr>
                <w:rFonts w:ascii="Times New Roman" w:hAnsi="Times New Roman" w:cs="Times New Roman"/>
                <w:color w:val="000000"/>
              </w:rPr>
              <w:t>(</w:t>
            </w:r>
            <w:r w:rsidRPr="001578DD">
              <w:rPr>
                <w:rFonts w:ascii="Times New Roman" w:hAnsi="Times New Roman" w:cs="Times New Roman"/>
                <w:color w:val="000000"/>
              </w:rPr>
              <w:t>przedsiębiorca</w:t>
            </w:r>
            <w:r w:rsidR="008C509D">
              <w:rPr>
                <w:rFonts w:ascii="Times New Roman" w:hAnsi="Times New Roman" w:cs="Times New Roman"/>
                <w:color w:val="000000"/>
              </w:rPr>
              <w:t>)</w:t>
            </w:r>
            <w:r w:rsidRPr="001578DD">
              <w:rPr>
                <w:rFonts w:ascii="Times New Roman" w:hAnsi="Times New Roman" w:cs="Times New Roman"/>
                <w:color w:val="000000"/>
              </w:rPr>
              <w:t xml:space="preserve"> w momencie sprzedaży np. węgla kamiennego wystawia świadectwo jakości paliw dla sprzedawanego paliwa i ma obowiązek przekazać je</w:t>
            </w:r>
            <w:r w:rsidR="00F62225" w:rsidRPr="001578DD">
              <w:rPr>
                <w:rFonts w:ascii="Times New Roman" w:hAnsi="Times New Roman" w:cs="Times New Roman"/>
                <w:color w:val="000000"/>
              </w:rPr>
              <w:t>go</w:t>
            </w:r>
            <w:r w:rsidRPr="001578DD">
              <w:rPr>
                <w:rFonts w:ascii="Times New Roman" w:hAnsi="Times New Roman" w:cs="Times New Roman"/>
                <w:color w:val="000000"/>
              </w:rPr>
              <w:t xml:space="preserve"> poświadczoną kopię klientowi. Proponowany system nie przyczyni się do wzrostu kosztów po stronie producentów z tytułu wystawiania świadectw jakości paliw stałych. Spółki górnicze stworzyły wł</w:t>
            </w:r>
            <w:r w:rsidR="00F33ECE">
              <w:rPr>
                <w:rFonts w:ascii="Times New Roman" w:hAnsi="Times New Roman" w:cs="Times New Roman"/>
                <w:color w:val="000000"/>
              </w:rPr>
              <w:t>asne systemy kontroli jakości i </w:t>
            </w:r>
            <w:r w:rsidRPr="001578DD">
              <w:rPr>
                <w:rFonts w:ascii="Times New Roman" w:hAnsi="Times New Roman" w:cs="Times New Roman"/>
                <w:color w:val="000000"/>
              </w:rPr>
              <w:t xml:space="preserve">sposoby przekazywania informacji o jakości produktów do klientów. W przypadku producentów system informowania klientów o jakości paliwa stałego zostanie ujednolicony. W przypadku pośredników (diler), którzy mieszają lub konfekcjonują paliwo stałe, powinny zostać wykonane badania jakości paliwa stałego, aby móc wystawić świadectwo jakości. Jeżeli pośrednik sprzedaje paliwo stałe bez dokonywania zmian jego jakości, także wystawia świadectwo jakości, może jednak posiłkować się </w:t>
            </w:r>
            <w:r w:rsidR="00F62225" w:rsidRPr="001578DD">
              <w:rPr>
                <w:rFonts w:ascii="Times New Roman" w:hAnsi="Times New Roman" w:cs="Times New Roman"/>
                <w:color w:val="000000"/>
              </w:rPr>
              <w:t xml:space="preserve">kopią </w:t>
            </w:r>
            <w:r w:rsidRPr="001578DD">
              <w:rPr>
                <w:rFonts w:ascii="Times New Roman" w:hAnsi="Times New Roman" w:cs="Times New Roman"/>
                <w:color w:val="000000"/>
              </w:rPr>
              <w:t>świadectw</w:t>
            </w:r>
            <w:r w:rsidR="00F62225" w:rsidRPr="001578DD">
              <w:rPr>
                <w:rFonts w:ascii="Times New Roman" w:hAnsi="Times New Roman" w:cs="Times New Roman"/>
                <w:color w:val="000000"/>
              </w:rPr>
              <w:t>a</w:t>
            </w:r>
            <w:r w:rsidRPr="001578DD">
              <w:rPr>
                <w:rFonts w:ascii="Times New Roman" w:hAnsi="Times New Roman" w:cs="Times New Roman"/>
                <w:color w:val="000000"/>
              </w:rPr>
              <w:t xml:space="preserve"> wystawion</w:t>
            </w:r>
            <w:r w:rsidR="00F62225" w:rsidRPr="001578DD">
              <w:rPr>
                <w:rFonts w:ascii="Times New Roman" w:hAnsi="Times New Roman" w:cs="Times New Roman"/>
                <w:color w:val="000000"/>
              </w:rPr>
              <w:t>ego</w:t>
            </w:r>
            <w:r w:rsidRPr="001578DD">
              <w:rPr>
                <w:rFonts w:ascii="Times New Roman" w:hAnsi="Times New Roman" w:cs="Times New Roman"/>
                <w:color w:val="000000"/>
              </w:rPr>
              <w:t xml:space="preserve"> przez producenta.</w:t>
            </w:r>
          </w:p>
          <w:p w:rsidR="007466DA" w:rsidRPr="001578DD" w:rsidRDefault="007466DA" w:rsidP="001578DD">
            <w:pPr>
              <w:spacing w:before="60" w:after="60" w:line="240" w:lineRule="auto"/>
              <w:jc w:val="both"/>
              <w:rPr>
                <w:rFonts w:ascii="Times New Roman" w:hAnsi="Times New Roman" w:cs="Times New Roman"/>
                <w:color w:val="000000"/>
              </w:rPr>
            </w:pPr>
            <w:r w:rsidRPr="001578DD">
              <w:rPr>
                <w:rFonts w:ascii="Times New Roman" w:hAnsi="Times New Roman" w:cs="Times New Roman"/>
                <w:color w:val="000000"/>
              </w:rPr>
              <w:t>Nabywca paliwa stałego, które nie spełnia wymagań jakościowych, będzie obowiązany do przedstawienia zaświadczenia</w:t>
            </w:r>
            <w:r w:rsidR="00BE2793" w:rsidRPr="001578DD">
              <w:rPr>
                <w:rFonts w:ascii="Times New Roman" w:hAnsi="Times New Roman" w:cs="Times New Roman"/>
                <w:color w:val="000000"/>
              </w:rPr>
              <w:t xml:space="preserve"> w przypadku posiadania</w:t>
            </w:r>
            <w:r w:rsidRPr="001578DD">
              <w:rPr>
                <w:rFonts w:ascii="Times New Roman" w:hAnsi="Times New Roman" w:cs="Times New Roman"/>
                <w:color w:val="000000"/>
              </w:rPr>
              <w:t xml:space="preserve"> instalacji wymagającej pozwolenia, o którym mowa w art. 181 ust. 1 pkt 1 albo 2 ustawy z dnia 27 kwietnia 2001 r. </w:t>
            </w:r>
            <w:r w:rsidR="00A5252F">
              <w:rPr>
                <w:rFonts w:ascii="Times New Roman" w:hAnsi="Times New Roman" w:cs="Times New Roman"/>
                <w:color w:val="000000"/>
              </w:rPr>
              <w:t>–</w:t>
            </w:r>
            <w:r w:rsidRPr="001578DD">
              <w:rPr>
                <w:rFonts w:ascii="Times New Roman" w:hAnsi="Times New Roman" w:cs="Times New Roman"/>
                <w:color w:val="000000"/>
              </w:rPr>
              <w:t xml:space="preserve"> </w:t>
            </w:r>
            <w:r w:rsidRPr="001578DD">
              <w:rPr>
                <w:rFonts w:ascii="Times New Roman" w:hAnsi="Times New Roman" w:cs="Times New Roman"/>
                <w:i/>
                <w:color w:val="000000"/>
              </w:rPr>
              <w:t>Prawo ochrony środowiska</w:t>
            </w:r>
            <w:r w:rsidRPr="001578DD">
              <w:rPr>
                <w:rFonts w:ascii="Times New Roman" w:hAnsi="Times New Roman" w:cs="Times New Roman"/>
                <w:color w:val="000000"/>
              </w:rPr>
              <w:t xml:space="preserve"> (Dz. U. z 2017 r. poz. 519, z późn. zm.) albo zgłoszenia, o którym mowa w art. 152 ust. 1 tej ustawy</w:t>
            </w:r>
            <w:r w:rsidR="00BE2793" w:rsidRPr="001578DD">
              <w:rPr>
                <w:rFonts w:ascii="Times New Roman" w:hAnsi="Times New Roman" w:cs="Times New Roman"/>
                <w:color w:val="000000"/>
              </w:rPr>
              <w:t>.</w:t>
            </w:r>
            <w:r w:rsidRPr="001578DD">
              <w:rPr>
                <w:rFonts w:ascii="Times New Roman" w:hAnsi="Times New Roman" w:cs="Times New Roman"/>
                <w:color w:val="000000"/>
              </w:rPr>
              <w:t xml:space="preserve"> Zaświadczenia wydawane są na wniosek przez </w:t>
            </w:r>
            <w:r w:rsidR="00BE2793" w:rsidRPr="001578DD">
              <w:rPr>
                <w:rFonts w:ascii="Times New Roman" w:hAnsi="Times New Roman" w:cs="Times New Roman"/>
                <w:color w:val="000000"/>
              </w:rPr>
              <w:t>organ ochrony środowiska, który wydał takie pozwolenie albo przyjął takie zgłoszenie</w:t>
            </w:r>
            <w:r w:rsidRPr="001578DD">
              <w:rPr>
                <w:rFonts w:ascii="Times New Roman" w:hAnsi="Times New Roman" w:cs="Times New Roman"/>
                <w:color w:val="000000"/>
              </w:rPr>
              <w:t>.</w:t>
            </w:r>
          </w:p>
          <w:p w:rsidR="00BE2793" w:rsidRPr="001578DD" w:rsidRDefault="00BE2793" w:rsidP="001578DD">
            <w:pPr>
              <w:spacing w:before="60" w:after="60" w:line="240" w:lineRule="auto"/>
              <w:jc w:val="both"/>
              <w:rPr>
                <w:rFonts w:ascii="Times New Roman" w:hAnsi="Times New Roman" w:cs="Times New Roman"/>
                <w:color w:val="000000"/>
              </w:rPr>
            </w:pPr>
            <w:r w:rsidRPr="001578DD">
              <w:rPr>
                <w:rFonts w:ascii="Times New Roman" w:hAnsi="Times New Roman" w:cs="Times New Roman"/>
                <w:color w:val="000000"/>
              </w:rPr>
              <w:t>Nabywcą paliwa stałego, które nie spełnia wymagań jakościowych, będzie mógł być tak</w:t>
            </w:r>
            <w:r w:rsidR="001C4500">
              <w:rPr>
                <w:rFonts w:ascii="Times New Roman" w:hAnsi="Times New Roman" w:cs="Times New Roman"/>
                <w:color w:val="000000"/>
              </w:rPr>
              <w:t>że przedsiębiorca, który zajmuje</w:t>
            </w:r>
            <w:r w:rsidRPr="001578DD">
              <w:rPr>
                <w:rFonts w:ascii="Times New Roman" w:hAnsi="Times New Roman" w:cs="Times New Roman"/>
                <w:color w:val="000000"/>
              </w:rPr>
              <w:t xml:space="preserve"> się handlem paliwami stałymi po prze</w:t>
            </w:r>
            <w:r w:rsidR="00D45024" w:rsidRPr="001578DD">
              <w:rPr>
                <w:rFonts w:ascii="Times New Roman" w:hAnsi="Times New Roman" w:cs="Times New Roman"/>
                <w:color w:val="000000"/>
              </w:rPr>
              <w:t>kazaniu</w:t>
            </w:r>
            <w:r w:rsidRPr="001578DD">
              <w:rPr>
                <w:rFonts w:ascii="Times New Roman" w:hAnsi="Times New Roman" w:cs="Times New Roman"/>
                <w:color w:val="000000"/>
              </w:rPr>
              <w:t xml:space="preserve"> dokumentu potwierdzającego prowadzenie takiej działalności.</w:t>
            </w:r>
          </w:p>
        </w:tc>
      </w:tr>
      <w:tr w:rsidR="00390AE3" w:rsidRPr="001578DD" w:rsidTr="001578DD">
        <w:trPr>
          <w:trHeight w:val="142"/>
          <w:jc w:val="center"/>
        </w:trPr>
        <w:tc>
          <w:tcPr>
            <w:tcW w:w="10242" w:type="dxa"/>
            <w:gridSpan w:val="29"/>
            <w:shd w:val="clear" w:color="auto" w:fill="99CCFF"/>
          </w:tcPr>
          <w:p w:rsidR="00390AE3" w:rsidRPr="001578DD" w:rsidRDefault="00390AE3" w:rsidP="001578DD">
            <w:pPr>
              <w:numPr>
                <w:ilvl w:val="0"/>
                <w:numId w:val="1"/>
              </w:numPr>
              <w:spacing w:before="60" w:after="60" w:line="240" w:lineRule="auto"/>
              <w:jc w:val="both"/>
              <w:rPr>
                <w:rFonts w:ascii="Times New Roman" w:hAnsi="Times New Roman" w:cs="Times New Roman"/>
                <w:b/>
                <w:color w:val="000000"/>
              </w:rPr>
            </w:pPr>
            <w:r w:rsidRPr="001578DD">
              <w:rPr>
                <w:rFonts w:ascii="Times New Roman" w:hAnsi="Times New Roman" w:cs="Times New Roman"/>
                <w:b/>
                <w:color w:val="000000"/>
              </w:rPr>
              <w:t xml:space="preserve">Wpływ na rynek pracy </w:t>
            </w:r>
          </w:p>
        </w:tc>
      </w:tr>
      <w:tr w:rsidR="00390AE3" w:rsidRPr="001578DD" w:rsidTr="001578DD">
        <w:trPr>
          <w:trHeight w:val="142"/>
          <w:jc w:val="center"/>
        </w:trPr>
        <w:tc>
          <w:tcPr>
            <w:tcW w:w="10242" w:type="dxa"/>
            <w:gridSpan w:val="29"/>
            <w:shd w:val="clear" w:color="auto" w:fill="auto"/>
          </w:tcPr>
          <w:p w:rsidR="00390AE3" w:rsidRPr="001578DD" w:rsidRDefault="00390AE3" w:rsidP="001578DD">
            <w:pPr>
              <w:spacing w:before="60" w:after="60" w:line="240" w:lineRule="auto"/>
              <w:jc w:val="both"/>
              <w:rPr>
                <w:rFonts w:ascii="Times New Roman" w:hAnsi="Times New Roman" w:cs="Times New Roman"/>
                <w:color w:val="000000"/>
              </w:rPr>
            </w:pPr>
            <w:r w:rsidRPr="001578DD">
              <w:rPr>
                <w:rFonts w:ascii="Times New Roman" w:hAnsi="Times New Roman" w:cs="Times New Roman"/>
                <w:color w:val="000000"/>
              </w:rPr>
              <w:t>Nie dotyczy</w:t>
            </w:r>
            <w:r w:rsidR="003D6BCB">
              <w:rPr>
                <w:rFonts w:ascii="Times New Roman" w:hAnsi="Times New Roman" w:cs="Times New Roman"/>
                <w:color w:val="000000"/>
              </w:rPr>
              <w:t>.</w:t>
            </w:r>
          </w:p>
        </w:tc>
      </w:tr>
      <w:tr w:rsidR="00390AE3" w:rsidRPr="001578DD" w:rsidTr="001578DD">
        <w:trPr>
          <w:trHeight w:val="142"/>
          <w:jc w:val="center"/>
        </w:trPr>
        <w:tc>
          <w:tcPr>
            <w:tcW w:w="10242" w:type="dxa"/>
            <w:gridSpan w:val="29"/>
            <w:shd w:val="clear" w:color="auto" w:fill="99CCFF"/>
          </w:tcPr>
          <w:p w:rsidR="00390AE3" w:rsidRPr="001578DD" w:rsidRDefault="00390AE3" w:rsidP="001578DD">
            <w:pPr>
              <w:numPr>
                <w:ilvl w:val="0"/>
                <w:numId w:val="1"/>
              </w:numPr>
              <w:spacing w:before="60" w:after="60" w:line="240" w:lineRule="auto"/>
              <w:jc w:val="both"/>
              <w:rPr>
                <w:rFonts w:ascii="Times New Roman" w:hAnsi="Times New Roman" w:cs="Times New Roman"/>
                <w:b/>
                <w:color w:val="000000"/>
              </w:rPr>
            </w:pPr>
            <w:r w:rsidRPr="001578DD">
              <w:rPr>
                <w:rFonts w:ascii="Times New Roman" w:hAnsi="Times New Roman" w:cs="Times New Roman"/>
                <w:b/>
                <w:color w:val="000000"/>
              </w:rPr>
              <w:t>Wpływ na pozostałe obszary</w:t>
            </w:r>
          </w:p>
        </w:tc>
      </w:tr>
      <w:tr w:rsidR="00390AE3" w:rsidRPr="001578DD" w:rsidTr="001578DD">
        <w:trPr>
          <w:trHeight w:val="1031"/>
          <w:jc w:val="center"/>
        </w:trPr>
        <w:tc>
          <w:tcPr>
            <w:tcW w:w="3673" w:type="dxa"/>
            <w:gridSpan w:val="7"/>
            <w:shd w:val="clear" w:color="auto" w:fill="FFFFFF"/>
          </w:tcPr>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fldChar w:fldCharType="begin">
                <w:ffData>
                  <w:name w:val=""/>
                  <w:enabled/>
                  <w:calcOnExit w:val="0"/>
                  <w:checkBox>
                    <w:sizeAuto/>
                    <w:default w:val="1"/>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Pr="001578DD">
              <w:rPr>
                <w:rFonts w:ascii="Times New Roman" w:hAnsi="Times New Roman" w:cs="Times New Roman"/>
                <w:color w:val="000000"/>
              </w:rPr>
              <w:t xml:space="preserve"> środowisko naturalne</w:t>
            </w:r>
          </w:p>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fldChar w:fldCharType="begin">
                <w:ffData>
                  <w:name w:val=""/>
                  <w:enabled/>
                  <w:calcOnExit w:val="0"/>
                  <w:checkBox>
                    <w:sizeAuto/>
                    <w:default w:val="0"/>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Pr="001578DD">
              <w:rPr>
                <w:rFonts w:ascii="Times New Roman" w:hAnsi="Times New Roman" w:cs="Times New Roman"/>
                <w:color w:val="000000"/>
              </w:rPr>
              <w:t xml:space="preserve"> sytuacja i rozwój regionalny</w:t>
            </w:r>
          </w:p>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fldChar w:fldCharType="begin">
                <w:ffData>
                  <w:name w:val=""/>
                  <w:enabled/>
                  <w:calcOnExit w:val="0"/>
                  <w:checkBox>
                    <w:sizeAuto/>
                    <w:default w:val="1"/>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Pr="001578DD">
              <w:rPr>
                <w:rFonts w:ascii="Times New Roman" w:hAnsi="Times New Roman" w:cs="Times New Roman"/>
                <w:color w:val="000000"/>
              </w:rPr>
              <w:t xml:space="preserve"> inne: rynek paliw</w:t>
            </w:r>
          </w:p>
        </w:tc>
        <w:tc>
          <w:tcPr>
            <w:tcW w:w="3687" w:type="dxa"/>
            <w:gridSpan w:val="16"/>
            <w:shd w:val="clear" w:color="auto" w:fill="FFFFFF"/>
          </w:tcPr>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fldChar w:fldCharType="begin">
                <w:ffData>
                  <w:name w:val="Wybór1"/>
                  <w:enabled/>
                  <w:calcOnExit w:val="0"/>
                  <w:checkBox>
                    <w:sizeAuto/>
                    <w:default w:val="0"/>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Pr="001578DD">
              <w:rPr>
                <w:rFonts w:ascii="Times New Roman" w:hAnsi="Times New Roman" w:cs="Times New Roman"/>
                <w:color w:val="000000"/>
              </w:rPr>
              <w:t xml:space="preserve"> demografia</w:t>
            </w:r>
          </w:p>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fldChar w:fldCharType="begin">
                <w:ffData>
                  <w:name w:val=""/>
                  <w:enabled/>
                  <w:calcOnExit w:val="0"/>
                  <w:checkBox>
                    <w:sizeAuto/>
                    <w:default w:val="0"/>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Pr="001578DD">
              <w:rPr>
                <w:rFonts w:ascii="Times New Roman" w:hAnsi="Times New Roman" w:cs="Times New Roman"/>
                <w:color w:val="000000"/>
              </w:rPr>
              <w:t xml:space="preserve"> mienie państwowe</w:t>
            </w:r>
          </w:p>
        </w:tc>
        <w:tc>
          <w:tcPr>
            <w:tcW w:w="2882" w:type="dxa"/>
            <w:gridSpan w:val="6"/>
            <w:shd w:val="clear" w:color="auto" w:fill="FFFFFF"/>
          </w:tcPr>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fldChar w:fldCharType="begin">
                <w:ffData>
                  <w:name w:val="Wybór1"/>
                  <w:enabled/>
                  <w:calcOnExit w:val="0"/>
                  <w:checkBox>
                    <w:sizeAuto/>
                    <w:default w:val="0"/>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Pr="001578DD">
              <w:rPr>
                <w:rFonts w:ascii="Times New Roman" w:hAnsi="Times New Roman" w:cs="Times New Roman"/>
                <w:color w:val="000000"/>
              </w:rPr>
              <w:t xml:space="preserve"> informatyzacja</w:t>
            </w:r>
          </w:p>
          <w:p w:rsidR="00390AE3" w:rsidRPr="001578DD" w:rsidRDefault="0084124C"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fldChar w:fldCharType="begin">
                <w:ffData>
                  <w:name w:val=""/>
                  <w:enabled/>
                  <w:calcOnExit w:val="0"/>
                  <w:checkBox>
                    <w:sizeAuto/>
                    <w:default w:val="1"/>
                  </w:checkBox>
                </w:ffData>
              </w:fldChar>
            </w:r>
            <w:r w:rsidRPr="001578DD">
              <w:rPr>
                <w:rFonts w:ascii="Times New Roman" w:hAnsi="Times New Roman" w:cs="Times New Roman"/>
                <w:color w:val="000000"/>
              </w:rPr>
              <w:instrText xml:space="preserve"> FORMCHECKBOX </w:instrText>
            </w:r>
            <w:r w:rsidR="003D6BCB">
              <w:rPr>
                <w:rFonts w:ascii="Times New Roman" w:hAnsi="Times New Roman" w:cs="Times New Roman"/>
                <w:color w:val="000000"/>
              </w:rPr>
            </w:r>
            <w:r w:rsidR="003D6BCB">
              <w:rPr>
                <w:rFonts w:ascii="Times New Roman" w:hAnsi="Times New Roman" w:cs="Times New Roman"/>
                <w:color w:val="000000"/>
              </w:rPr>
              <w:fldChar w:fldCharType="separate"/>
            </w:r>
            <w:r w:rsidRPr="001578DD">
              <w:rPr>
                <w:rFonts w:ascii="Times New Roman" w:hAnsi="Times New Roman" w:cs="Times New Roman"/>
                <w:color w:val="000000"/>
              </w:rPr>
              <w:fldChar w:fldCharType="end"/>
            </w:r>
            <w:r w:rsidR="00390AE3" w:rsidRPr="001578DD">
              <w:rPr>
                <w:rFonts w:ascii="Times New Roman" w:hAnsi="Times New Roman" w:cs="Times New Roman"/>
                <w:color w:val="000000"/>
              </w:rPr>
              <w:t xml:space="preserve"> zdrowie</w:t>
            </w:r>
          </w:p>
        </w:tc>
      </w:tr>
      <w:tr w:rsidR="00390AE3" w:rsidRPr="001578DD" w:rsidTr="001578DD">
        <w:trPr>
          <w:trHeight w:val="111"/>
          <w:jc w:val="center"/>
        </w:trPr>
        <w:tc>
          <w:tcPr>
            <w:tcW w:w="2373" w:type="dxa"/>
            <w:gridSpan w:val="3"/>
            <w:shd w:val="clear" w:color="auto" w:fill="FFFFFF"/>
            <w:vAlign w:val="center"/>
          </w:tcPr>
          <w:p w:rsidR="00390AE3" w:rsidRPr="001578DD" w:rsidRDefault="00390AE3" w:rsidP="001578DD">
            <w:pPr>
              <w:spacing w:before="60" w:after="60" w:line="240" w:lineRule="auto"/>
              <w:rPr>
                <w:rFonts w:ascii="Times New Roman" w:hAnsi="Times New Roman" w:cs="Times New Roman"/>
                <w:color w:val="000000"/>
              </w:rPr>
            </w:pPr>
            <w:r w:rsidRPr="001578DD">
              <w:rPr>
                <w:rFonts w:ascii="Times New Roman" w:hAnsi="Times New Roman" w:cs="Times New Roman"/>
                <w:color w:val="000000"/>
              </w:rPr>
              <w:t>Omówienie wpływu</w:t>
            </w:r>
          </w:p>
        </w:tc>
        <w:tc>
          <w:tcPr>
            <w:tcW w:w="7869" w:type="dxa"/>
            <w:gridSpan w:val="26"/>
            <w:shd w:val="clear" w:color="auto" w:fill="FFFFFF"/>
            <w:vAlign w:val="center"/>
          </w:tcPr>
          <w:p w:rsidR="00390AE3" w:rsidRPr="001578DD" w:rsidRDefault="00390AE3" w:rsidP="001578DD">
            <w:pPr>
              <w:suppressAutoHyphens/>
              <w:autoSpaceDE w:val="0"/>
              <w:autoSpaceDN w:val="0"/>
              <w:adjustRightInd w:val="0"/>
              <w:spacing w:before="60" w:after="60" w:line="240" w:lineRule="auto"/>
              <w:jc w:val="both"/>
              <w:rPr>
                <w:rFonts w:ascii="Times New Roman" w:eastAsia="Times New Roman" w:hAnsi="Times New Roman" w:cs="Times New Roman"/>
                <w:lang w:eastAsia="pl-PL"/>
              </w:rPr>
            </w:pPr>
            <w:r w:rsidRPr="001578DD">
              <w:rPr>
                <w:rFonts w:ascii="Times New Roman" w:eastAsia="Times New Roman" w:hAnsi="Times New Roman" w:cs="Times New Roman"/>
                <w:lang w:eastAsia="pl-PL"/>
              </w:rPr>
              <w:t>Regulacja będzie miała korzystny wpływ na rynek paliw stały</w:t>
            </w:r>
            <w:r w:rsidR="00F54E2B">
              <w:rPr>
                <w:rFonts w:ascii="Times New Roman" w:eastAsia="Times New Roman" w:hAnsi="Times New Roman" w:cs="Times New Roman"/>
                <w:lang w:eastAsia="pl-PL"/>
              </w:rPr>
              <w:t>ch</w:t>
            </w:r>
            <w:r w:rsidRPr="001578DD">
              <w:rPr>
                <w:rFonts w:ascii="Times New Roman" w:eastAsia="Times New Roman" w:hAnsi="Times New Roman" w:cs="Times New Roman"/>
                <w:lang w:eastAsia="pl-PL"/>
              </w:rPr>
              <w:t xml:space="preserve"> ponieważ wprowadzone zostaną wymagania jakościowe dla tych paliw oraz umożliwiona zostanie ich kontrola.</w:t>
            </w:r>
          </w:p>
          <w:p w:rsidR="00390AE3" w:rsidRPr="001578DD" w:rsidRDefault="00390AE3" w:rsidP="001578DD">
            <w:pPr>
              <w:suppressAutoHyphens/>
              <w:autoSpaceDE w:val="0"/>
              <w:autoSpaceDN w:val="0"/>
              <w:adjustRightInd w:val="0"/>
              <w:spacing w:before="60" w:after="60" w:line="240" w:lineRule="auto"/>
              <w:jc w:val="both"/>
              <w:rPr>
                <w:rFonts w:ascii="Times New Roman" w:eastAsia="Times New Roman" w:hAnsi="Times New Roman" w:cs="Times New Roman"/>
                <w:lang w:eastAsia="pl-PL"/>
              </w:rPr>
            </w:pPr>
            <w:r w:rsidRPr="001578DD">
              <w:rPr>
                <w:rFonts w:ascii="Times New Roman" w:eastAsia="Times New Roman" w:hAnsi="Times New Roman" w:cs="Times New Roman"/>
                <w:lang w:eastAsia="pl-PL"/>
              </w:rPr>
              <w:t xml:space="preserve">Wprowadzenie wymagań jakościowych dla paliw stałych będzie </w:t>
            </w:r>
            <w:r w:rsidR="00BE2793" w:rsidRPr="001578DD">
              <w:rPr>
                <w:rFonts w:ascii="Times New Roman" w:eastAsia="Times New Roman" w:hAnsi="Times New Roman" w:cs="Times New Roman"/>
                <w:lang w:eastAsia="pl-PL"/>
              </w:rPr>
              <w:t>mieć</w:t>
            </w:r>
            <w:r w:rsidRPr="001578DD">
              <w:rPr>
                <w:rFonts w:ascii="Times New Roman" w:eastAsia="Times New Roman" w:hAnsi="Times New Roman" w:cs="Times New Roman"/>
                <w:lang w:eastAsia="pl-PL"/>
              </w:rPr>
              <w:t xml:space="preserve"> perspektywicznie pozytywny wpływ na parametry jakościowe powietrza (zwłaszcza na terenach zurbanizowanych) oraz w konsekwencji na stan zdrowia i jakość życia obywateli.</w:t>
            </w:r>
          </w:p>
        </w:tc>
      </w:tr>
      <w:tr w:rsidR="00390AE3" w:rsidRPr="001578DD" w:rsidTr="001578DD">
        <w:trPr>
          <w:trHeight w:val="142"/>
          <w:jc w:val="center"/>
        </w:trPr>
        <w:tc>
          <w:tcPr>
            <w:tcW w:w="10242" w:type="dxa"/>
            <w:gridSpan w:val="29"/>
            <w:shd w:val="clear" w:color="auto" w:fill="99CCFF"/>
          </w:tcPr>
          <w:p w:rsidR="00390AE3" w:rsidRPr="001578DD" w:rsidRDefault="00390AE3" w:rsidP="001578DD">
            <w:pPr>
              <w:numPr>
                <w:ilvl w:val="0"/>
                <w:numId w:val="1"/>
              </w:numPr>
              <w:spacing w:before="60" w:after="60" w:line="240" w:lineRule="auto"/>
              <w:jc w:val="both"/>
              <w:rPr>
                <w:rFonts w:ascii="Times New Roman" w:hAnsi="Times New Roman" w:cs="Times New Roman"/>
                <w:b/>
              </w:rPr>
            </w:pPr>
            <w:r w:rsidRPr="001578DD">
              <w:rPr>
                <w:rFonts w:ascii="Times New Roman" w:hAnsi="Times New Roman" w:cs="Times New Roman"/>
                <w:b/>
                <w:color w:val="000000"/>
              </w:rPr>
              <w:t>Planowane</w:t>
            </w:r>
            <w:r w:rsidRPr="001578DD">
              <w:rPr>
                <w:rFonts w:ascii="Times New Roman" w:hAnsi="Times New Roman" w:cs="Times New Roman"/>
                <w:b/>
              </w:rPr>
              <w:t xml:space="preserve"> wykonanie przepisów aktu prawnego</w:t>
            </w:r>
          </w:p>
        </w:tc>
      </w:tr>
      <w:tr w:rsidR="00390AE3" w:rsidRPr="001578DD" w:rsidTr="001578DD">
        <w:trPr>
          <w:trHeight w:val="142"/>
          <w:jc w:val="center"/>
        </w:trPr>
        <w:tc>
          <w:tcPr>
            <w:tcW w:w="10242" w:type="dxa"/>
            <w:gridSpan w:val="29"/>
            <w:shd w:val="clear" w:color="auto" w:fill="FFFFFF"/>
          </w:tcPr>
          <w:p w:rsidR="00390AE3" w:rsidRPr="001578DD" w:rsidRDefault="00390AE3" w:rsidP="001578DD">
            <w:pPr>
              <w:spacing w:before="60" w:after="60" w:line="240" w:lineRule="auto"/>
              <w:jc w:val="both"/>
              <w:rPr>
                <w:rFonts w:ascii="Times New Roman" w:hAnsi="Times New Roman" w:cs="Times New Roman"/>
              </w:rPr>
            </w:pPr>
            <w:r w:rsidRPr="001578DD">
              <w:rPr>
                <w:rFonts w:ascii="Times New Roman" w:hAnsi="Times New Roman" w:cs="Times New Roman"/>
              </w:rPr>
              <w:t>Nie dotyczy.</w:t>
            </w:r>
          </w:p>
        </w:tc>
      </w:tr>
      <w:tr w:rsidR="00390AE3" w:rsidRPr="001578DD" w:rsidTr="001578DD">
        <w:trPr>
          <w:trHeight w:val="142"/>
          <w:jc w:val="center"/>
        </w:trPr>
        <w:tc>
          <w:tcPr>
            <w:tcW w:w="10242" w:type="dxa"/>
            <w:gridSpan w:val="29"/>
            <w:shd w:val="clear" w:color="auto" w:fill="99CCFF"/>
          </w:tcPr>
          <w:p w:rsidR="00390AE3" w:rsidRPr="001578DD" w:rsidRDefault="00390AE3" w:rsidP="001578DD">
            <w:pPr>
              <w:numPr>
                <w:ilvl w:val="0"/>
                <w:numId w:val="1"/>
              </w:numPr>
              <w:spacing w:before="60" w:after="60" w:line="240" w:lineRule="auto"/>
              <w:jc w:val="both"/>
              <w:rPr>
                <w:rFonts w:ascii="Times New Roman" w:hAnsi="Times New Roman" w:cs="Times New Roman"/>
                <w:b/>
                <w:color w:val="000000"/>
              </w:rPr>
            </w:pPr>
            <w:r w:rsidRPr="001578DD">
              <w:rPr>
                <w:rFonts w:ascii="Times New Roman" w:hAnsi="Times New Roman" w:cs="Times New Roman"/>
                <w:b/>
              </w:rPr>
              <w:t>W jaki sposób i kiedy nastąpi ewaluacja efektów projektu oraz jakie mierniki zostaną zastosowane?</w:t>
            </w:r>
          </w:p>
        </w:tc>
      </w:tr>
      <w:tr w:rsidR="00390AE3" w:rsidRPr="001578DD" w:rsidTr="001578DD">
        <w:trPr>
          <w:trHeight w:val="142"/>
          <w:jc w:val="center"/>
        </w:trPr>
        <w:tc>
          <w:tcPr>
            <w:tcW w:w="10242" w:type="dxa"/>
            <w:gridSpan w:val="29"/>
            <w:shd w:val="clear" w:color="auto" w:fill="FFFFFF"/>
          </w:tcPr>
          <w:p w:rsidR="00390AE3" w:rsidRPr="001578DD" w:rsidRDefault="00390AE3" w:rsidP="001578DD">
            <w:pPr>
              <w:spacing w:before="60" w:after="60" w:line="240" w:lineRule="auto"/>
              <w:jc w:val="both"/>
              <w:rPr>
                <w:rFonts w:ascii="Times New Roman" w:hAnsi="Times New Roman" w:cs="Times New Roman"/>
                <w:color w:val="000000"/>
              </w:rPr>
            </w:pPr>
            <w:r w:rsidRPr="001578DD">
              <w:rPr>
                <w:rFonts w:ascii="Times New Roman" w:hAnsi="Times New Roman" w:cs="Times New Roman"/>
                <w:color w:val="000000"/>
              </w:rPr>
              <w:t>Ewaluacja efektów pr</w:t>
            </w:r>
            <w:r w:rsidR="0031179C" w:rsidRPr="001578DD">
              <w:rPr>
                <w:rFonts w:ascii="Times New Roman" w:hAnsi="Times New Roman" w:cs="Times New Roman"/>
                <w:color w:val="000000"/>
              </w:rPr>
              <w:t>ojektu zostanie przeprowadzona w trakcie wykonywania przeglądu, o którym mowa w</w:t>
            </w:r>
            <w:r w:rsidR="0031179C" w:rsidRPr="001578DD">
              <w:rPr>
                <w:rFonts w:ascii="Times New Roman" w:hAnsi="Times New Roman" w:cs="Times New Roman"/>
              </w:rPr>
              <w:t xml:space="preserve"> </w:t>
            </w:r>
            <w:r w:rsidR="004B00C9" w:rsidRPr="001578DD">
              <w:rPr>
                <w:rFonts w:ascii="Times New Roman" w:hAnsi="Times New Roman" w:cs="Times New Roman"/>
                <w:color w:val="000000"/>
              </w:rPr>
              <w:t xml:space="preserve">art. 3a </w:t>
            </w:r>
            <w:r w:rsidR="00F47FB2" w:rsidRPr="001578DD">
              <w:rPr>
                <w:rFonts w:ascii="Times New Roman" w:hAnsi="Times New Roman" w:cs="Times New Roman"/>
                <w:color w:val="000000"/>
              </w:rPr>
              <w:t xml:space="preserve">ust. </w:t>
            </w:r>
            <w:r w:rsidR="004B00C9" w:rsidRPr="001578DD">
              <w:rPr>
                <w:rFonts w:ascii="Times New Roman" w:hAnsi="Times New Roman" w:cs="Times New Roman"/>
                <w:color w:val="000000"/>
              </w:rPr>
              <w:t>2</w:t>
            </w:r>
            <w:r w:rsidR="0031179C" w:rsidRPr="001578DD">
              <w:rPr>
                <w:rFonts w:ascii="Times New Roman" w:hAnsi="Times New Roman" w:cs="Times New Roman"/>
                <w:color w:val="000000"/>
              </w:rPr>
              <w:t>a</w:t>
            </w:r>
            <w:r w:rsidR="00F47FB2" w:rsidRPr="001578DD">
              <w:rPr>
                <w:rFonts w:ascii="Times New Roman" w:hAnsi="Times New Roman" w:cs="Times New Roman"/>
                <w:color w:val="000000"/>
              </w:rPr>
              <w:t xml:space="preserve"> znowelizowanej ustawy</w:t>
            </w:r>
            <w:r w:rsidR="0031179C" w:rsidRPr="001578DD">
              <w:rPr>
                <w:rFonts w:ascii="Times New Roman" w:hAnsi="Times New Roman" w:cs="Times New Roman"/>
                <w:color w:val="000000"/>
              </w:rPr>
              <w:t>. W przypadku istotnej zmiany jakości powietrza ww. przegląd będzie stanowić podstawę do zmiany parametrów</w:t>
            </w:r>
            <w:r w:rsidR="0031179C" w:rsidRPr="001578DD">
              <w:rPr>
                <w:rFonts w:ascii="Times New Roman" w:hAnsi="Times New Roman" w:cs="Times New Roman"/>
              </w:rPr>
              <w:t xml:space="preserve"> </w:t>
            </w:r>
            <w:r w:rsidR="0031179C" w:rsidRPr="001578DD">
              <w:rPr>
                <w:rFonts w:ascii="Times New Roman" w:hAnsi="Times New Roman" w:cs="Times New Roman"/>
                <w:color w:val="000000"/>
              </w:rPr>
              <w:t xml:space="preserve">jakościowych paliw stałych określonych w rozporządzeniu wydanym na podstawie art. 3a ust. 2 </w:t>
            </w:r>
            <w:r w:rsidR="00F47FB2" w:rsidRPr="001578DD">
              <w:rPr>
                <w:rFonts w:ascii="Times New Roman" w:hAnsi="Times New Roman" w:cs="Times New Roman"/>
                <w:color w:val="000000"/>
              </w:rPr>
              <w:t xml:space="preserve">ustawy </w:t>
            </w:r>
            <w:r w:rsidR="0031179C" w:rsidRPr="001578DD">
              <w:rPr>
                <w:rFonts w:ascii="Times New Roman" w:hAnsi="Times New Roman" w:cs="Times New Roman"/>
                <w:color w:val="000000"/>
              </w:rPr>
              <w:t>oraz ich wartości</w:t>
            </w:r>
            <w:r w:rsidR="007B6E8F" w:rsidRPr="001578DD">
              <w:rPr>
                <w:rFonts w:ascii="Times New Roman" w:hAnsi="Times New Roman" w:cs="Times New Roman"/>
                <w:color w:val="000000"/>
              </w:rPr>
              <w:t>.</w:t>
            </w:r>
          </w:p>
        </w:tc>
      </w:tr>
      <w:tr w:rsidR="00390AE3" w:rsidRPr="001578DD" w:rsidTr="001578DD">
        <w:trPr>
          <w:trHeight w:val="142"/>
          <w:jc w:val="center"/>
        </w:trPr>
        <w:tc>
          <w:tcPr>
            <w:tcW w:w="10242" w:type="dxa"/>
            <w:gridSpan w:val="29"/>
            <w:shd w:val="clear" w:color="auto" w:fill="99CCFF"/>
          </w:tcPr>
          <w:p w:rsidR="00390AE3" w:rsidRPr="001578DD" w:rsidRDefault="00390AE3" w:rsidP="001578DD">
            <w:pPr>
              <w:numPr>
                <w:ilvl w:val="0"/>
                <w:numId w:val="1"/>
              </w:numPr>
              <w:spacing w:before="60" w:after="60" w:line="240" w:lineRule="auto"/>
              <w:jc w:val="both"/>
              <w:rPr>
                <w:rFonts w:ascii="Times New Roman" w:hAnsi="Times New Roman" w:cs="Times New Roman"/>
                <w:b/>
                <w:color w:val="000000"/>
              </w:rPr>
            </w:pPr>
            <w:r w:rsidRPr="001578DD">
              <w:rPr>
                <w:rFonts w:ascii="Times New Roman" w:hAnsi="Times New Roman" w:cs="Times New Roman"/>
                <w:b/>
                <w:color w:val="000000"/>
              </w:rPr>
              <w:t xml:space="preserve">Załączniki </w:t>
            </w:r>
            <w:r w:rsidRPr="001578DD">
              <w:rPr>
                <w:rFonts w:ascii="Times New Roman" w:hAnsi="Times New Roman" w:cs="Times New Roman"/>
                <w:b/>
              </w:rPr>
              <w:t>(istotne dokumenty źródłowe, badania, analizy itp.</w:t>
            </w:r>
            <w:r w:rsidRPr="001578DD">
              <w:rPr>
                <w:rFonts w:ascii="Times New Roman" w:hAnsi="Times New Roman" w:cs="Times New Roman"/>
                <w:b/>
                <w:color w:val="000000"/>
              </w:rPr>
              <w:t xml:space="preserve">) </w:t>
            </w:r>
          </w:p>
        </w:tc>
      </w:tr>
      <w:tr w:rsidR="00390AE3" w:rsidRPr="001578DD" w:rsidTr="001578DD">
        <w:trPr>
          <w:trHeight w:val="142"/>
          <w:jc w:val="center"/>
        </w:trPr>
        <w:tc>
          <w:tcPr>
            <w:tcW w:w="10242" w:type="dxa"/>
            <w:gridSpan w:val="29"/>
            <w:shd w:val="clear" w:color="auto" w:fill="FFFFFF"/>
          </w:tcPr>
          <w:p w:rsidR="00390AE3" w:rsidRPr="001578DD" w:rsidRDefault="00395F80" w:rsidP="001578DD">
            <w:pPr>
              <w:spacing w:before="60" w:after="60" w:line="240" w:lineRule="auto"/>
              <w:jc w:val="both"/>
              <w:rPr>
                <w:rFonts w:ascii="Times New Roman" w:hAnsi="Times New Roman" w:cs="Times New Roman"/>
              </w:rPr>
            </w:pPr>
            <w:r w:rsidRPr="001578DD">
              <w:rPr>
                <w:rFonts w:ascii="Times New Roman" w:hAnsi="Times New Roman" w:cs="Times New Roman"/>
              </w:rPr>
              <w:t>Raport z konsultacji społecznych.</w:t>
            </w:r>
          </w:p>
        </w:tc>
      </w:tr>
    </w:tbl>
    <w:p w:rsidR="006B1718" w:rsidRPr="00C12109" w:rsidRDefault="006B1718" w:rsidP="00F54E2B">
      <w:pPr>
        <w:spacing w:after="0" w:line="360" w:lineRule="auto"/>
        <w:rPr>
          <w:rFonts w:ascii="Times New Roman" w:hAnsi="Times New Roman" w:cs="Times New Roman"/>
          <w:sz w:val="24"/>
          <w:szCs w:val="24"/>
        </w:rPr>
      </w:pPr>
    </w:p>
    <w:sectPr w:rsidR="006B1718" w:rsidRPr="00C12109" w:rsidSect="00A5252F">
      <w:footerReference w:type="default" r:id="rId9"/>
      <w:pgSz w:w="11906" w:h="16838"/>
      <w:pgMar w:top="567" w:right="709" w:bottom="567"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BCB" w:rsidRDefault="003D6BCB" w:rsidP="006B1718">
      <w:pPr>
        <w:spacing w:after="0" w:line="240" w:lineRule="auto"/>
      </w:pPr>
      <w:r>
        <w:separator/>
      </w:r>
    </w:p>
  </w:endnote>
  <w:endnote w:type="continuationSeparator" w:id="0">
    <w:p w:rsidR="003D6BCB" w:rsidRDefault="003D6BCB" w:rsidP="006B1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269317"/>
      <w:docPartObj>
        <w:docPartGallery w:val="Page Numbers (Bottom of Page)"/>
        <w:docPartUnique/>
      </w:docPartObj>
    </w:sdtPr>
    <w:sdtEndPr>
      <w:rPr>
        <w:rFonts w:ascii="Times New Roman" w:hAnsi="Times New Roman" w:cs="Times New Roman"/>
        <w:sz w:val="24"/>
        <w:szCs w:val="24"/>
      </w:rPr>
    </w:sdtEndPr>
    <w:sdtContent>
      <w:p w:rsidR="003D6BCB" w:rsidRPr="00A5252F" w:rsidRDefault="003D6BCB" w:rsidP="00A5252F">
        <w:pPr>
          <w:pStyle w:val="Stopka"/>
          <w:jc w:val="center"/>
          <w:rPr>
            <w:rFonts w:ascii="Times New Roman" w:hAnsi="Times New Roman" w:cs="Times New Roman"/>
            <w:sz w:val="24"/>
            <w:szCs w:val="24"/>
          </w:rPr>
        </w:pPr>
        <w:r w:rsidRPr="00A5252F">
          <w:rPr>
            <w:rFonts w:ascii="Times New Roman" w:hAnsi="Times New Roman" w:cs="Times New Roman"/>
            <w:sz w:val="24"/>
            <w:szCs w:val="24"/>
          </w:rPr>
          <w:fldChar w:fldCharType="begin"/>
        </w:r>
        <w:r w:rsidRPr="00A5252F">
          <w:rPr>
            <w:rFonts w:ascii="Times New Roman" w:hAnsi="Times New Roman" w:cs="Times New Roman"/>
            <w:sz w:val="24"/>
            <w:szCs w:val="24"/>
          </w:rPr>
          <w:instrText>PAGE   \* MERGEFORMAT</w:instrText>
        </w:r>
        <w:r w:rsidRPr="00A5252F">
          <w:rPr>
            <w:rFonts w:ascii="Times New Roman" w:hAnsi="Times New Roman" w:cs="Times New Roman"/>
            <w:sz w:val="24"/>
            <w:szCs w:val="24"/>
          </w:rPr>
          <w:fldChar w:fldCharType="separate"/>
        </w:r>
        <w:r w:rsidR="00CA1F2B">
          <w:rPr>
            <w:rFonts w:ascii="Times New Roman" w:hAnsi="Times New Roman" w:cs="Times New Roman"/>
            <w:noProof/>
            <w:sz w:val="24"/>
            <w:szCs w:val="24"/>
          </w:rPr>
          <w:t>6</w:t>
        </w:r>
        <w:r w:rsidRPr="00A5252F">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BCB" w:rsidRDefault="003D6BCB" w:rsidP="006B1718">
      <w:pPr>
        <w:spacing w:after="0" w:line="240" w:lineRule="auto"/>
      </w:pPr>
      <w:r>
        <w:separator/>
      </w:r>
    </w:p>
  </w:footnote>
  <w:footnote w:type="continuationSeparator" w:id="0">
    <w:p w:rsidR="003D6BCB" w:rsidRDefault="003D6BCB" w:rsidP="006B17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6CA5"/>
    <w:multiLevelType w:val="hybridMultilevel"/>
    <w:tmpl w:val="764E20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8A32BB"/>
    <w:multiLevelType w:val="hybridMultilevel"/>
    <w:tmpl w:val="ED4636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2A456257"/>
    <w:multiLevelType w:val="hybridMultilevel"/>
    <w:tmpl w:val="20FE0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ADB5EAC"/>
    <w:multiLevelType w:val="hybridMultilevel"/>
    <w:tmpl w:val="C194EC4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DFA4EE3"/>
    <w:multiLevelType w:val="hybridMultilevel"/>
    <w:tmpl w:val="3B1E623C"/>
    <w:lvl w:ilvl="0" w:tplc="D17E482A">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6">
    <w:nsid w:val="52AF5C47"/>
    <w:multiLevelType w:val="hybridMultilevel"/>
    <w:tmpl w:val="AF8AF7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53DE252E"/>
    <w:multiLevelType w:val="hybridMultilevel"/>
    <w:tmpl w:val="368029B6"/>
    <w:lvl w:ilvl="0" w:tplc="D17E482A">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8">
    <w:nsid w:val="5AD02130"/>
    <w:multiLevelType w:val="hybridMultilevel"/>
    <w:tmpl w:val="AC1E7E66"/>
    <w:lvl w:ilvl="0" w:tplc="0415000F">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9">
    <w:nsid w:val="71383FE5"/>
    <w:multiLevelType w:val="hybridMultilevel"/>
    <w:tmpl w:val="E410C834"/>
    <w:lvl w:ilvl="0" w:tplc="073E23C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1"/>
  </w:num>
  <w:num w:numId="6">
    <w:abstractNumId w:val="7"/>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C1D"/>
    <w:rsid w:val="00017220"/>
    <w:rsid w:val="00050A91"/>
    <w:rsid w:val="000769A3"/>
    <w:rsid w:val="00076FF1"/>
    <w:rsid w:val="00081E11"/>
    <w:rsid w:val="000A701D"/>
    <w:rsid w:val="000C7A83"/>
    <w:rsid w:val="000E0388"/>
    <w:rsid w:val="000E285F"/>
    <w:rsid w:val="000E458A"/>
    <w:rsid w:val="000F3E33"/>
    <w:rsid w:val="001405FE"/>
    <w:rsid w:val="001578DD"/>
    <w:rsid w:val="0017020D"/>
    <w:rsid w:val="001C4500"/>
    <w:rsid w:val="00234C81"/>
    <w:rsid w:val="00264691"/>
    <w:rsid w:val="00267EFE"/>
    <w:rsid w:val="002755F1"/>
    <w:rsid w:val="002A0381"/>
    <w:rsid w:val="002A33A9"/>
    <w:rsid w:val="002F3BED"/>
    <w:rsid w:val="00310B98"/>
    <w:rsid w:val="0031179C"/>
    <w:rsid w:val="00342A9F"/>
    <w:rsid w:val="0034409D"/>
    <w:rsid w:val="00344FA2"/>
    <w:rsid w:val="00390AE3"/>
    <w:rsid w:val="00395F80"/>
    <w:rsid w:val="003A2B6F"/>
    <w:rsid w:val="003D6BCB"/>
    <w:rsid w:val="003F37CF"/>
    <w:rsid w:val="00420DF7"/>
    <w:rsid w:val="00435D08"/>
    <w:rsid w:val="00441996"/>
    <w:rsid w:val="00446C1D"/>
    <w:rsid w:val="00456247"/>
    <w:rsid w:val="00464F93"/>
    <w:rsid w:val="0047421C"/>
    <w:rsid w:val="004B00C9"/>
    <w:rsid w:val="004E5D0A"/>
    <w:rsid w:val="0052083F"/>
    <w:rsid w:val="00523C50"/>
    <w:rsid w:val="00526741"/>
    <w:rsid w:val="0056099A"/>
    <w:rsid w:val="00594AB4"/>
    <w:rsid w:val="005A39D1"/>
    <w:rsid w:val="005D0026"/>
    <w:rsid w:val="005D7540"/>
    <w:rsid w:val="005F2FB0"/>
    <w:rsid w:val="005F7B25"/>
    <w:rsid w:val="0060041F"/>
    <w:rsid w:val="00623F60"/>
    <w:rsid w:val="00641251"/>
    <w:rsid w:val="00655DE0"/>
    <w:rsid w:val="006B16AF"/>
    <w:rsid w:val="006B1718"/>
    <w:rsid w:val="006B7CE3"/>
    <w:rsid w:val="0071455F"/>
    <w:rsid w:val="007466DA"/>
    <w:rsid w:val="00751C59"/>
    <w:rsid w:val="007B5871"/>
    <w:rsid w:val="007B6948"/>
    <w:rsid w:val="007B6E8F"/>
    <w:rsid w:val="007D4439"/>
    <w:rsid w:val="007D6E4E"/>
    <w:rsid w:val="0080239B"/>
    <w:rsid w:val="00833625"/>
    <w:rsid w:val="0084124C"/>
    <w:rsid w:val="00850048"/>
    <w:rsid w:val="0085021C"/>
    <w:rsid w:val="00873BFA"/>
    <w:rsid w:val="008925A5"/>
    <w:rsid w:val="008A09DD"/>
    <w:rsid w:val="008C509D"/>
    <w:rsid w:val="00913BFA"/>
    <w:rsid w:val="00926B3A"/>
    <w:rsid w:val="009422CA"/>
    <w:rsid w:val="0094270D"/>
    <w:rsid w:val="009C714D"/>
    <w:rsid w:val="00A41C10"/>
    <w:rsid w:val="00A5252F"/>
    <w:rsid w:val="00A5635D"/>
    <w:rsid w:val="00A660E1"/>
    <w:rsid w:val="00A6788B"/>
    <w:rsid w:val="00A8207E"/>
    <w:rsid w:val="00AA0959"/>
    <w:rsid w:val="00AD66D7"/>
    <w:rsid w:val="00B0513A"/>
    <w:rsid w:val="00B07845"/>
    <w:rsid w:val="00B2022B"/>
    <w:rsid w:val="00B3164B"/>
    <w:rsid w:val="00B51F94"/>
    <w:rsid w:val="00B52368"/>
    <w:rsid w:val="00B95DCA"/>
    <w:rsid w:val="00BA0857"/>
    <w:rsid w:val="00BB1C98"/>
    <w:rsid w:val="00BB545C"/>
    <w:rsid w:val="00BE04B9"/>
    <w:rsid w:val="00BE2793"/>
    <w:rsid w:val="00BE59C4"/>
    <w:rsid w:val="00C06A19"/>
    <w:rsid w:val="00C12109"/>
    <w:rsid w:val="00C174D3"/>
    <w:rsid w:val="00C418D0"/>
    <w:rsid w:val="00C4617D"/>
    <w:rsid w:val="00C53604"/>
    <w:rsid w:val="00C66E2E"/>
    <w:rsid w:val="00CA1F2B"/>
    <w:rsid w:val="00CE1CF1"/>
    <w:rsid w:val="00CF6BCC"/>
    <w:rsid w:val="00CF6C37"/>
    <w:rsid w:val="00D22DC0"/>
    <w:rsid w:val="00D45024"/>
    <w:rsid w:val="00DC3731"/>
    <w:rsid w:val="00DE0958"/>
    <w:rsid w:val="00DE266E"/>
    <w:rsid w:val="00E153C9"/>
    <w:rsid w:val="00E42015"/>
    <w:rsid w:val="00E772B1"/>
    <w:rsid w:val="00ED68DB"/>
    <w:rsid w:val="00EF435A"/>
    <w:rsid w:val="00F33ECE"/>
    <w:rsid w:val="00F47FB2"/>
    <w:rsid w:val="00F54E2B"/>
    <w:rsid w:val="00F56109"/>
    <w:rsid w:val="00F62225"/>
    <w:rsid w:val="00F973D7"/>
    <w:rsid w:val="00FB7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390AE3"/>
    <w:rPr>
      <w:sz w:val="16"/>
      <w:szCs w:val="16"/>
    </w:rPr>
  </w:style>
  <w:style w:type="paragraph" w:styleId="Tekstkomentarza">
    <w:name w:val="annotation text"/>
    <w:basedOn w:val="Normalny"/>
    <w:link w:val="TekstkomentarzaZnak"/>
    <w:uiPriority w:val="99"/>
    <w:semiHidden/>
    <w:unhideWhenUsed/>
    <w:rsid w:val="00390AE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0AE3"/>
    <w:rPr>
      <w:sz w:val="20"/>
      <w:szCs w:val="20"/>
    </w:rPr>
  </w:style>
  <w:style w:type="paragraph" w:styleId="Tekstdymka">
    <w:name w:val="Balloon Text"/>
    <w:basedOn w:val="Normalny"/>
    <w:link w:val="TekstdymkaZnak"/>
    <w:uiPriority w:val="99"/>
    <w:semiHidden/>
    <w:unhideWhenUsed/>
    <w:rsid w:val="00390A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0AE3"/>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26B3A"/>
    <w:rPr>
      <w:b/>
      <w:bCs/>
    </w:rPr>
  </w:style>
  <w:style w:type="character" w:customStyle="1" w:styleId="TematkomentarzaZnak">
    <w:name w:val="Temat komentarza Znak"/>
    <w:basedOn w:val="TekstkomentarzaZnak"/>
    <w:link w:val="Tematkomentarza"/>
    <w:uiPriority w:val="99"/>
    <w:semiHidden/>
    <w:rsid w:val="00926B3A"/>
    <w:rPr>
      <w:b/>
      <w:bCs/>
      <w:sz w:val="20"/>
      <w:szCs w:val="20"/>
    </w:rPr>
  </w:style>
  <w:style w:type="paragraph" w:styleId="Poprawka">
    <w:name w:val="Revision"/>
    <w:hidden/>
    <w:uiPriority w:val="99"/>
    <w:semiHidden/>
    <w:rsid w:val="00B52368"/>
    <w:pPr>
      <w:spacing w:after="0" w:line="240" w:lineRule="auto"/>
    </w:pPr>
  </w:style>
  <w:style w:type="paragraph" w:styleId="Bezodstpw">
    <w:name w:val="No Spacing"/>
    <w:uiPriority w:val="1"/>
    <w:qFormat/>
    <w:rsid w:val="009C714D"/>
    <w:pPr>
      <w:spacing w:after="0" w:line="240" w:lineRule="auto"/>
    </w:pPr>
  </w:style>
  <w:style w:type="paragraph" w:styleId="Akapitzlist">
    <w:name w:val="List Paragraph"/>
    <w:basedOn w:val="Normalny"/>
    <w:uiPriority w:val="34"/>
    <w:qFormat/>
    <w:rsid w:val="00594AB4"/>
    <w:pPr>
      <w:ind w:left="720"/>
      <w:contextualSpacing/>
    </w:pPr>
  </w:style>
  <w:style w:type="paragraph" w:styleId="Nagwek">
    <w:name w:val="header"/>
    <w:basedOn w:val="Normalny"/>
    <w:link w:val="NagwekZnak"/>
    <w:uiPriority w:val="99"/>
    <w:unhideWhenUsed/>
    <w:rsid w:val="006B17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1718"/>
  </w:style>
  <w:style w:type="paragraph" w:styleId="Stopka">
    <w:name w:val="footer"/>
    <w:basedOn w:val="Normalny"/>
    <w:link w:val="StopkaZnak"/>
    <w:uiPriority w:val="99"/>
    <w:unhideWhenUsed/>
    <w:rsid w:val="006B17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17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390AE3"/>
    <w:rPr>
      <w:sz w:val="16"/>
      <w:szCs w:val="16"/>
    </w:rPr>
  </w:style>
  <w:style w:type="paragraph" w:styleId="Tekstkomentarza">
    <w:name w:val="annotation text"/>
    <w:basedOn w:val="Normalny"/>
    <w:link w:val="TekstkomentarzaZnak"/>
    <w:uiPriority w:val="99"/>
    <w:semiHidden/>
    <w:unhideWhenUsed/>
    <w:rsid w:val="00390AE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0AE3"/>
    <w:rPr>
      <w:sz w:val="20"/>
      <w:szCs w:val="20"/>
    </w:rPr>
  </w:style>
  <w:style w:type="paragraph" w:styleId="Tekstdymka">
    <w:name w:val="Balloon Text"/>
    <w:basedOn w:val="Normalny"/>
    <w:link w:val="TekstdymkaZnak"/>
    <w:uiPriority w:val="99"/>
    <w:semiHidden/>
    <w:unhideWhenUsed/>
    <w:rsid w:val="00390A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0AE3"/>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26B3A"/>
    <w:rPr>
      <w:b/>
      <w:bCs/>
    </w:rPr>
  </w:style>
  <w:style w:type="character" w:customStyle="1" w:styleId="TematkomentarzaZnak">
    <w:name w:val="Temat komentarza Znak"/>
    <w:basedOn w:val="TekstkomentarzaZnak"/>
    <w:link w:val="Tematkomentarza"/>
    <w:uiPriority w:val="99"/>
    <w:semiHidden/>
    <w:rsid w:val="00926B3A"/>
    <w:rPr>
      <w:b/>
      <w:bCs/>
      <w:sz w:val="20"/>
      <w:szCs w:val="20"/>
    </w:rPr>
  </w:style>
  <w:style w:type="paragraph" w:styleId="Poprawka">
    <w:name w:val="Revision"/>
    <w:hidden/>
    <w:uiPriority w:val="99"/>
    <w:semiHidden/>
    <w:rsid w:val="00B52368"/>
    <w:pPr>
      <w:spacing w:after="0" w:line="240" w:lineRule="auto"/>
    </w:pPr>
  </w:style>
  <w:style w:type="paragraph" w:styleId="Bezodstpw">
    <w:name w:val="No Spacing"/>
    <w:uiPriority w:val="1"/>
    <w:qFormat/>
    <w:rsid w:val="009C714D"/>
    <w:pPr>
      <w:spacing w:after="0" w:line="240" w:lineRule="auto"/>
    </w:pPr>
  </w:style>
  <w:style w:type="paragraph" w:styleId="Akapitzlist">
    <w:name w:val="List Paragraph"/>
    <w:basedOn w:val="Normalny"/>
    <w:uiPriority w:val="34"/>
    <w:qFormat/>
    <w:rsid w:val="00594AB4"/>
    <w:pPr>
      <w:ind w:left="720"/>
      <w:contextualSpacing/>
    </w:pPr>
  </w:style>
  <w:style w:type="paragraph" w:styleId="Nagwek">
    <w:name w:val="header"/>
    <w:basedOn w:val="Normalny"/>
    <w:link w:val="NagwekZnak"/>
    <w:uiPriority w:val="99"/>
    <w:unhideWhenUsed/>
    <w:rsid w:val="006B17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1718"/>
  </w:style>
  <w:style w:type="paragraph" w:styleId="Stopka">
    <w:name w:val="footer"/>
    <w:basedOn w:val="Normalny"/>
    <w:link w:val="StopkaZnak"/>
    <w:uiPriority w:val="99"/>
    <w:unhideWhenUsed/>
    <w:rsid w:val="006B17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1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17125-EAAF-468C-9001-D7E7719B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2840</Words>
  <Characters>17045</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Drabek Jonasz</dc:creator>
  <cp:lastModifiedBy>Rybkowska Bożena</cp:lastModifiedBy>
  <cp:revision>8</cp:revision>
  <cp:lastPrinted>2018-03-08T13:57:00Z</cp:lastPrinted>
  <dcterms:created xsi:type="dcterms:W3CDTF">2018-03-06T07:41:00Z</dcterms:created>
  <dcterms:modified xsi:type="dcterms:W3CDTF">2018-03-08T13:57:00Z</dcterms:modified>
</cp:coreProperties>
</file>