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DE50C4" w:rsidRDefault="00E17C57" w:rsidP="00E17C57">
      <w:pPr>
        <w:spacing w:after="120"/>
        <w:jc w:val="center"/>
        <w:rPr>
          <w:rFonts w:ascii="Courier New" w:hAnsi="Courier New"/>
        </w:rPr>
      </w:pPr>
      <w:r w:rsidRPr="00DE50C4">
        <w:rPr>
          <w:rFonts w:ascii="Courier New" w:hAnsi="Courier New"/>
        </w:rPr>
        <w:t>1. ------IND- 2019 0331 NL- LT- ------ 20190722 --- --- PROJET</w:t>
      </w:r>
    </w:p>
    <w:p w:rsidR="00E27C82" w:rsidRPr="00DE50C4" w:rsidRDefault="00E27C82" w:rsidP="00E17C57"/>
    <w:p w:rsidR="00E27C82" w:rsidRPr="00DE50C4"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RPr="00DE50C4" w:rsidTr="00E17C57">
        <w:trPr>
          <w:cantSplit/>
        </w:trPr>
        <w:tc>
          <w:tcPr>
            <w:tcW w:w="3189" w:type="dxa"/>
            <w:tcBorders>
              <w:top w:val="nil"/>
              <w:left w:val="nil"/>
              <w:bottom w:val="nil"/>
              <w:right w:val="nil"/>
            </w:tcBorders>
          </w:tcPr>
          <w:p w:rsidR="007E7D62" w:rsidRPr="00DE50C4" w:rsidRDefault="007E7D62" w:rsidP="003D0C77">
            <w:pPr>
              <w:ind w:left="567"/>
            </w:pPr>
            <w:r w:rsidRPr="00DE50C4">
              <w:br w:type="page"/>
            </w:r>
            <w:r w:rsidRPr="00DE50C4">
              <w:rPr>
                <w:rFonts w:ascii="Verdana" w:hAnsi="Verdana"/>
                <w:sz w:val="18"/>
              </w:rPr>
              <w:t>Dekretas,</w:t>
            </w:r>
            <w:r w:rsidRPr="00DE50C4">
              <w:rPr>
                <w:rFonts w:ascii="Verdana" w:hAnsi="Verdana"/>
                <w:sz w:val="18"/>
                <w:szCs w:val="18"/>
              </w:rPr>
              <w:br/>
            </w:r>
            <w:r w:rsidRPr="00DE50C4">
              <w:rPr>
                <w:rFonts w:ascii="Verdana" w:hAnsi="Verdana"/>
                <w:sz w:val="18"/>
                <w:szCs w:val="18"/>
              </w:rPr>
              <w:br/>
            </w:r>
            <w:r w:rsidRPr="00DE50C4">
              <w:rPr>
                <w:rFonts w:ascii="Verdana" w:hAnsi="Verdana"/>
                <w:sz w:val="18"/>
                <w:szCs w:val="18"/>
              </w:rPr>
              <w:br/>
            </w:r>
            <w:r w:rsidRPr="00DE50C4">
              <w:rPr>
                <w:rFonts w:ascii="Verdana" w:hAnsi="Verdana"/>
                <w:sz w:val="18"/>
                <w:szCs w:val="18"/>
              </w:rPr>
              <w:br/>
            </w:r>
            <w:r w:rsidRPr="00DE50C4">
              <w:rPr>
                <w:rFonts w:ascii="Verdana" w:hAnsi="Verdana"/>
                <w:sz w:val="18"/>
              </w:rPr>
              <w:t>kuriuo iš dalies keičiamas Augalinių preparatų (Prekių įstatymas) dekretas ir Administracinių nuobaudų (Prekių įstatymas) dekretas, susijęs su augalinių preparatų papildymu tam tikromis kenksmingosiomis medžiagomis, ir taikomi tam tikri techniniai pakeitimai</w:t>
            </w:r>
          </w:p>
        </w:tc>
      </w:tr>
      <w:tr w:rsidR="00732703" w:rsidRPr="00DE50C4" w:rsidTr="00E17C57">
        <w:trPr>
          <w:cantSplit/>
        </w:trPr>
        <w:tc>
          <w:tcPr>
            <w:tcW w:w="3189" w:type="dxa"/>
            <w:tcBorders>
              <w:top w:val="nil"/>
              <w:left w:val="nil"/>
              <w:bottom w:val="nil"/>
              <w:right w:val="nil"/>
            </w:tcBorders>
          </w:tcPr>
          <w:p w:rsidR="00732703" w:rsidRPr="00DE50C4" w:rsidRDefault="00732703" w:rsidP="00E17C57"/>
        </w:tc>
      </w:tr>
    </w:tbl>
    <w:p w:rsidR="007E7D62" w:rsidRPr="00DE50C4" w:rsidRDefault="007E7D62" w:rsidP="00E17C57">
      <w:pPr>
        <w:ind w:left="567"/>
      </w:pPr>
    </w:p>
    <w:p w:rsidR="007E7D62" w:rsidRPr="00DE50C4" w:rsidRDefault="007E7D62" w:rsidP="00E17C57">
      <w:pPr>
        <w:ind w:left="567"/>
      </w:pPr>
    </w:p>
    <w:p w:rsidR="007E7D62" w:rsidRPr="00DE50C4" w:rsidRDefault="007E7D62" w:rsidP="00E17C57">
      <w:pPr>
        <w:ind w:left="567"/>
      </w:pPr>
    </w:p>
    <w:p w:rsidR="007E7D62" w:rsidRPr="00DE50C4" w:rsidRDefault="007E7D62" w:rsidP="00E17C57">
      <w:pPr>
        <w:ind w:left="567"/>
      </w:pPr>
    </w:p>
    <w:p w:rsidR="007E7D62" w:rsidRPr="00DE50C4" w:rsidRDefault="007E7D62" w:rsidP="00E17C57">
      <w:pPr>
        <w:ind w:left="567"/>
      </w:pPr>
    </w:p>
    <w:p w:rsidR="007E7D62" w:rsidRPr="00DE50C4" w:rsidRDefault="007E7D62" w:rsidP="00E17C57">
      <w:pPr>
        <w:pStyle w:val="Ondertekening"/>
        <w:spacing w:before="0"/>
        <w:ind w:left="567"/>
      </w:pPr>
    </w:p>
    <w:p w:rsidR="007E7D62" w:rsidRPr="00DE50C4" w:rsidRDefault="007E7D62" w:rsidP="00E17C57">
      <w:pPr>
        <w:ind w:left="2268"/>
        <w:rPr>
          <w:rFonts w:ascii="Verdana" w:hAnsi="Verdana"/>
          <w:sz w:val="18"/>
          <w:szCs w:val="18"/>
        </w:rPr>
      </w:pPr>
      <w:r w:rsidRPr="00DE50C4">
        <w:rPr>
          <w:rFonts w:ascii="Verdana" w:hAnsi="Verdana"/>
          <w:sz w:val="18"/>
        </w:rPr>
        <w:t>2019 m. medicininės priežiūros ministro siūlymu -VGP;</w:t>
      </w:r>
    </w:p>
    <w:p w:rsidR="007E7D62" w:rsidRPr="00DE50C4" w:rsidRDefault="007E7D62" w:rsidP="00E17C57">
      <w:pPr>
        <w:ind w:left="2268"/>
        <w:rPr>
          <w:rFonts w:ascii="Verdana" w:hAnsi="Verdana"/>
          <w:sz w:val="18"/>
          <w:szCs w:val="18"/>
        </w:rPr>
      </w:pPr>
    </w:p>
    <w:p w:rsidR="007E7D62" w:rsidRPr="00DE50C4" w:rsidRDefault="007E7D62" w:rsidP="00E17C57">
      <w:pPr>
        <w:ind w:left="2268"/>
        <w:rPr>
          <w:rFonts w:ascii="Verdana" w:hAnsi="Verdana"/>
          <w:sz w:val="18"/>
          <w:szCs w:val="18"/>
        </w:rPr>
      </w:pPr>
      <w:r w:rsidRPr="00DE50C4">
        <w:rPr>
          <w:rFonts w:ascii="Verdana" w:hAnsi="Verdana"/>
          <w:sz w:val="18"/>
        </w:rPr>
        <w:t>atsižvelgiant į Prekių įstatymo 4 straipsnio 1 dalį, 8 straipsnio 1 dalies c</w:t>
      </w:r>
      <w:r w:rsidR="00DE50C4" w:rsidRPr="00DE50C4">
        <w:rPr>
          <w:rFonts w:ascii="Verdana" w:hAnsi="Verdana"/>
          <w:sz w:val="18"/>
        </w:rPr>
        <w:t> </w:t>
      </w:r>
      <w:r w:rsidRPr="00DE50C4">
        <w:rPr>
          <w:rFonts w:ascii="Verdana" w:hAnsi="Verdana"/>
          <w:sz w:val="18"/>
        </w:rPr>
        <w:t>punktą ir 14 straipsnį;</w:t>
      </w:r>
    </w:p>
    <w:p w:rsidR="007E7D62" w:rsidRPr="00DE50C4" w:rsidRDefault="007E7D62" w:rsidP="00E17C57">
      <w:pPr>
        <w:ind w:left="2268"/>
        <w:rPr>
          <w:rFonts w:ascii="Verdana" w:hAnsi="Verdana"/>
          <w:sz w:val="18"/>
          <w:szCs w:val="18"/>
        </w:rPr>
      </w:pPr>
    </w:p>
    <w:p w:rsidR="007E7D62" w:rsidRPr="00DE50C4" w:rsidRDefault="007E7D62" w:rsidP="00E17C57">
      <w:pPr>
        <w:ind w:left="2268"/>
        <w:rPr>
          <w:rFonts w:ascii="Verdana" w:hAnsi="Verdana"/>
          <w:sz w:val="18"/>
          <w:szCs w:val="18"/>
        </w:rPr>
      </w:pPr>
      <w:r w:rsidRPr="00DE50C4">
        <w:rPr>
          <w:rFonts w:ascii="Verdana" w:hAnsi="Verdana"/>
          <w:sz w:val="18"/>
        </w:rPr>
        <w:t>atsižvelgiant į Valstybės Tarybos Patariamojo skyriaus nuomonę (nuomonė Nr.);</w:t>
      </w:r>
    </w:p>
    <w:p w:rsidR="007E7D62" w:rsidRPr="00DE50C4" w:rsidRDefault="007E7D62" w:rsidP="00E17C57">
      <w:pPr>
        <w:ind w:left="2268"/>
        <w:rPr>
          <w:rFonts w:ascii="Verdana" w:hAnsi="Verdana"/>
          <w:sz w:val="18"/>
          <w:szCs w:val="18"/>
        </w:rPr>
      </w:pPr>
    </w:p>
    <w:p w:rsidR="007E7D62" w:rsidRPr="00DE50C4" w:rsidRDefault="007E7D62" w:rsidP="00E17C57">
      <w:pPr>
        <w:ind w:left="2268"/>
        <w:rPr>
          <w:rFonts w:ascii="Verdana" w:hAnsi="Verdana"/>
          <w:sz w:val="18"/>
          <w:szCs w:val="18"/>
        </w:rPr>
      </w:pPr>
      <w:r w:rsidRPr="00DE50C4">
        <w:rPr>
          <w:rFonts w:ascii="Verdana" w:hAnsi="Verdana"/>
          <w:sz w:val="18"/>
        </w:rPr>
        <w:t>atsižvelgiant į tolesnę 2019 m. medicininės priežiūros ministro ataskaitą -VGP;</w:t>
      </w:r>
    </w:p>
    <w:p w:rsidR="007E7D62" w:rsidRPr="00DE50C4" w:rsidRDefault="007E7D62" w:rsidP="00E17C57">
      <w:pPr>
        <w:ind w:left="2268"/>
        <w:rPr>
          <w:rFonts w:ascii="Verdana" w:hAnsi="Verdana"/>
          <w:sz w:val="18"/>
          <w:szCs w:val="18"/>
        </w:rPr>
      </w:pPr>
    </w:p>
    <w:p w:rsidR="007E7D62" w:rsidRPr="00DE50C4" w:rsidRDefault="007E7D62" w:rsidP="00E17C57">
      <w:pPr>
        <w:ind w:left="2268"/>
        <w:rPr>
          <w:rFonts w:ascii="Verdana" w:hAnsi="Verdana"/>
          <w:sz w:val="18"/>
          <w:szCs w:val="18"/>
        </w:rPr>
      </w:pPr>
      <w:r w:rsidRPr="00DE50C4">
        <w:rPr>
          <w:rFonts w:ascii="Verdana" w:hAnsi="Verdana"/>
          <w:sz w:val="18"/>
        </w:rPr>
        <w:t>tvirtinama ir skelbiama:</w:t>
      </w:r>
    </w:p>
    <w:p w:rsidR="007E7D62" w:rsidRPr="00DE50C4" w:rsidRDefault="007E7D62" w:rsidP="00E17C57">
      <w:pPr>
        <w:ind w:left="2268"/>
        <w:rPr>
          <w:rFonts w:ascii="Verdana" w:hAnsi="Verdana"/>
          <w:sz w:val="18"/>
          <w:szCs w:val="18"/>
        </w:rPr>
      </w:pPr>
    </w:p>
    <w:p w:rsidR="007E7D62" w:rsidRPr="00DE50C4" w:rsidRDefault="007E7D62" w:rsidP="00E17C57">
      <w:pPr>
        <w:ind w:left="2268"/>
        <w:rPr>
          <w:rFonts w:ascii="Verdana" w:hAnsi="Verdana"/>
          <w:sz w:val="18"/>
          <w:szCs w:val="18"/>
        </w:rPr>
      </w:pPr>
    </w:p>
    <w:p w:rsidR="007E7D62" w:rsidRPr="00DE50C4" w:rsidRDefault="007E7D62" w:rsidP="00E17C57">
      <w:pPr>
        <w:keepNext/>
        <w:keepLines/>
        <w:ind w:left="2268"/>
        <w:rPr>
          <w:rFonts w:ascii="Verdana" w:hAnsi="Verdana"/>
          <w:b/>
          <w:sz w:val="18"/>
          <w:szCs w:val="18"/>
        </w:rPr>
      </w:pPr>
      <w:r w:rsidRPr="00DE50C4">
        <w:rPr>
          <w:rFonts w:ascii="Verdana" w:hAnsi="Verdana"/>
          <w:b/>
          <w:sz w:val="18"/>
        </w:rPr>
        <w:t>I straipsnis</w:t>
      </w:r>
    </w:p>
    <w:p w:rsidR="007E7D62" w:rsidRPr="00DE50C4" w:rsidRDefault="007E7D62" w:rsidP="00E17C57">
      <w:pPr>
        <w:keepNext/>
        <w:keepLines/>
        <w:ind w:left="2268"/>
        <w:rPr>
          <w:rFonts w:ascii="Verdana" w:hAnsi="Verdana"/>
          <w:sz w:val="18"/>
          <w:szCs w:val="18"/>
        </w:rPr>
      </w:pPr>
    </w:p>
    <w:p w:rsidR="007E7D62" w:rsidRPr="00DE50C4" w:rsidRDefault="007E7D62" w:rsidP="00E17C57">
      <w:pPr>
        <w:ind w:left="2268"/>
        <w:rPr>
          <w:rFonts w:ascii="Verdana" w:hAnsi="Verdana"/>
          <w:sz w:val="18"/>
          <w:szCs w:val="18"/>
        </w:rPr>
      </w:pPr>
      <w:r w:rsidRPr="00DE50C4">
        <w:rPr>
          <w:rFonts w:ascii="Verdana" w:hAnsi="Verdana"/>
          <w:sz w:val="18"/>
        </w:rPr>
        <w:t>Augalinių preparatų (Prekių įstatymas) dekretas iš dalies keičiamas taip, kaip nurodyta toliau.</w:t>
      </w:r>
    </w:p>
    <w:p w:rsidR="00060A6E" w:rsidRPr="00DE50C4" w:rsidRDefault="00060A6E" w:rsidP="00E17C57">
      <w:pPr>
        <w:ind w:left="2268"/>
        <w:rPr>
          <w:rFonts w:ascii="Verdana" w:hAnsi="Verdana"/>
          <w:sz w:val="18"/>
          <w:szCs w:val="18"/>
        </w:rPr>
      </w:pPr>
    </w:p>
    <w:p w:rsidR="00060A6E" w:rsidRPr="00DE50C4" w:rsidRDefault="00060A6E" w:rsidP="00E17C57">
      <w:pPr>
        <w:keepNext/>
        <w:keepLines/>
        <w:ind w:left="2268"/>
        <w:rPr>
          <w:rFonts w:ascii="Verdana" w:hAnsi="Verdana"/>
          <w:sz w:val="18"/>
          <w:szCs w:val="18"/>
        </w:rPr>
      </w:pPr>
      <w:r w:rsidRPr="00DE50C4">
        <w:rPr>
          <w:rFonts w:ascii="Verdana" w:hAnsi="Verdana"/>
          <w:sz w:val="18"/>
        </w:rPr>
        <w:t>A</w:t>
      </w:r>
    </w:p>
    <w:p w:rsidR="00093369" w:rsidRPr="00DE50C4" w:rsidRDefault="00093369" w:rsidP="00E17C57">
      <w:pPr>
        <w:keepNext/>
        <w:keepLines/>
        <w:ind w:left="2268"/>
        <w:rPr>
          <w:rFonts w:ascii="Verdana" w:hAnsi="Verdana"/>
          <w:sz w:val="18"/>
          <w:szCs w:val="18"/>
        </w:rPr>
      </w:pPr>
    </w:p>
    <w:p w:rsidR="000C18E4" w:rsidRPr="00DE50C4" w:rsidRDefault="00732703" w:rsidP="00E17C57">
      <w:pPr>
        <w:keepNext/>
        <w:keepLines/>
        <w:ind w:left="2268"/>
        <w:rPr>
          <w:rFonts w:ascii="Verdana" w:hAnsi="Verdana"/>
          <w:sz w:val="18"/>
          <w:szCs w:val="18"/>
        </w:rPr>
      </w:pPr>
      <w:r w:rsidRPr="00DE50C4">
        <w:rPr>
          <w:rFonts w:ascii="Verdana" w:hAnsi="Verdana"/>
          <w:sz w:val="18"/>
        </w:rPr>
        <w:t>4 straipsnis iš dalies keičiamas taip, kaip nurodyta toliau.</w:t>
      </w:r>
    </w:p>
    <w:p w:rsidR="00443563" w:rsidRPr="00DE50C4" w:rsidRDefault="00443563" w:rsidP="00E17C57">
      <w:pPr>
        <w:pStyle w:val="ListParagraph"/>
        <w:keepNext/>
        <w:keepLines/>
        <w:numPr>
          <w:ilvl w:val="0"/>
          <w:numId w:val="29"/>
        </w:numPr>
        <w:rPr>
          <w:rFonts w:ascii="Verdana" w:hAnsi="Verdana"/>
          <w:sz w:val="18"/>
          <w:szCs w:val="18"/>
        </w:rPr>
      </w:pPr>
      <w:r w:rsidRPr="00DE50C4">
        <w:rPr>
          <w:rFonts w:ascii="Verdana" w:hAnsi="Verdana"/>
          <w:sz w:val="18"/>
        </w:rPr>
        <w:t>1 dalis išdėstoma taip:</w:t>
      </w:r>
    </w:p>
    <w:p w:rsidR="000C18E4" w:rsidRPr="00DE50C4" w:rsidRDefault="0043098B" w:rsidP="00E17C57">
      <w:pPr>
        <w:pStyle w:val="ListParagraph"/>
        <w:numPr>
          <w:ilvl w:val="0"/>
          <w:numId w:val="30"/>
        </w:numPr>
        <w:rPr>
          <w:rFonts w:ascii="Verdana" w:hAnsi="Verdana"/>
          <w:sz w:val="18"/>
          <w:szCs w:val="18"/>
        </w:rPr>
      </w:pPr>
      <w:r w:rsidRPr="00DE50C4">
        <w:rPr>
          <w:rFonts w:ascii="Verdana" w:hAnsi="Verdana"/>
          <w:sz w:val="18"/>
        </w:rPr>
        <w:t>Toksiškų pirolizidino alkaloidų kiekis augaliniuose preparatuose atitinkamai neturi viršyti 1 µg viename kilograme ar litre.</w:t>
      </w:r>
    </w:p>
    <w:p w:rsidR="000C18E4" w:rsidRPr="00DE50C4" w:rsidRDefault="0043098B" w:rsidP="00E17C57">
      <w:pPr>
        <w:keepNext/>
        <w:keepLines/>
        <w:tabs>
          <w:tab w:val="left" w:pos="2835"/>
        </w:tabs>
        <w:ind w:left="2268"/>
        <w:rPr>
          <w:rFonts w:ascii="Verdana" w:hAnsi="Verdana"/>
          <w:sz w:val="18"/>
          <w:szCs w:val="18"/>
        </w:rPr>
      </w:pPr>
      <w:r w:rsidRPr="00DE50C4">
        <w:rPr>
          <w:rFonts w:ascii="Verdana" w:hAnsi="Verdana"/>
          <w:sz w:val="18"/>
        </w:rPr>
        <w:lastRenderedPageBreak/>
        <w:t>2.</w:t>
      </w:r>
      <w:r w:rsidRPr="00DE50C4">
        <w:tab/>
      </w:r>
      <w:r w:rsidRPr="00DE50C4">
        <w:rPr>
          <w:rFonts w:ascii="Verdana" w:hAnsi="Verdana"/>
          <w:sz w:val="18"/>
        </w:rPr>
        <w:t>2 dalis išdėstoma taip:</w:t>
      </w:r>
    </w:p>
    <w:p w:rsidR="00732703" w:rsidRPr="00DE50C4" w:rsidRDefault="000C18E4" w:rsidP="00E17C57">
      <w:pPr>
        <w:keepNext/>
        <w:keepLines/>
        <w:ind w:left="2780" w:firstLine="56"/>
        <w:rPr>
          <w:rFonts w:ascii="Verdana" w:hAnsi="Verdana"/>
          <w:sz w:val="18"/>
          <w:szCs w:val="18"/>
        </w:rPr>
      </w:pPr>
      <w:r w:rsidRPr="00DE50C4">
        <w:rPr>
          <w:rFonts w:ascii="Verdana" w:hAnsi="Verdana"/>
          <w:sz w:val="18"/>
        </w:rPr>
        <w:t>2.</w:t>
      </w:r>
      <w:r w:rsidRPr="00DE50C4">
        <w:tab/>
      </w:r>
      <w:r w:rsidRPr="00DE50C4">
        <w:rPr>
          <w:rFonts w:ascii="Verdana" w:hAnsi="Verdana"/>
          <w:sz w:val="18"/>
        </w:rPr>
        <w:t>Augaliniuose preparatuose negali būti:</w:t>
      </w:r>
    </w:p>
    <w:p w:rsidR="00060A6E" w:rsidRPr="00DE50C4" w:rsidRDefault="00BF3143" w:rsidP="00E17C57">
      <w:pPr>
        <w:pStyle w:val="ListParagraph"/>
        <w:numPr>
          <w:ilvl w:val="1"/>
          <w:numId w:val="22"/>
        </w:numPr>
        <w:rPr>
          <w:rFonts w:ascii="Verdana" w:hAnsi="Verdana"/>
          <w:sz w:val="18"/>
          <w:szCs w:val="18"/>
        </w:rPr>
      </w:pPr>
      <w:r w:rsidRPr="00DE50C4">
        <w:rPr>
          <w:rFonts w:ascii="Verdana" w:hAnsi="Verdana"/>
          <w:sz w:val="18"/>
        </w:rPr>
        <w:t>akonitino ar bet kokių jo darinių;</w:t>
      </w:r>
    </w:p>
    <w:p w:rsidR="005016F0" w:rsidRPr="00DE50C4" w:rsidRDefault="00BF3143" w:rsidP="00E17C57">
      <w:pPr>
        <w:pStyle w:val="ListParagraph"/>
        <w:numPr>
          <w:ilvl w:val="1"/>
          <w:numId w:val="22"/>
        </w:numPr>
        <w:rPr>
          <w:rFonts w:ascii="Verdana" w:hAnsi="Verdana"/>
          <w:sz w:val="18"/>
          <w:szCs w:val="18"/>
        </w:rPr>
      </w:pPr>
      <w:r w:rsidRPr="00DE50C4">
        <w:rPr>
          <w:rFonts w:ascii="Verdana" w:hAnsi="Verdana"/>
          <w:sz w:val="18"/>
        </w:rPr>
        <w:t>aristolocho rūgščių ar bet kokių jų darinių;</w:t>
      </w:r>
    </w:p>
    <w:p w:rsidR="005016F0" w:rsidRPr="00DE50C4" w:rsidRDefault="00BF3143" w:rsidP="00E17C57">
      <w:pPr>
        <w:pStyle w:val="ListParagraph"/>
        <w:numPr>
          <w:ilvl w:val="1"/>
          <w:numId w:val="22"/>
        </w:numPr>
        <w:rPr>
          <w:rFonts w:ascii="Verdana" w:hAnsi="Verdana"/>
          <w:sz w:val="18"/>
          <w:szCs w:val="18"/>
        </w:rPr>
      </w:pPr>
      <w:r w:rsidRPr="00DE50C4">
        <w:rPr>
          <w:rFonts w:ascii="Verdana" w:hAnsi="Verdana"/>
          <w:sz w:val="18"/>
        </w:rPr>
        <w:t>atropino ar bet kokių jo darinių;</w:t>
      </w:r>
    </w:p>
    <w:p w:rsidR="005016F0" w:rsidRPr="00DE50C4" w:rsidRDefault="005016F0" w:rsidP="00E17C57">
      <w:pPr>
        <w:pStyle w:val="ListParagraph"/>
        <w:numPr>
          <w:ilvl w:val="1"/>
          <w:numId w:val="22"/>
        </w:numPr>
        <w:rPr>
          <w:rFonts w:ascii="Verdana" w:hAnsi="Verdana"/>
          <w:sz w:val="18"/>
          <w:szCs w:val="18"/>
        </w:rPr>
      </w:pPr>
      <w:r w:rsidRPr="00DE50C4">
        <w:rPr>
          <w:rFonts w:ascii="Verdana" w:hAnsi="Verdana"/>
          <w:sz w:val="18"/>
        </w:rPr>
        <w:t>kolchicino ar bet kokių jo darinių;</w:t>
      </w:r>
    </w:p>
    <w:p w:rsidR="005016F0" w:rsidRPr="00DE50C4" w:rsidRDefault="005016F0" w:rsidP="00E17C57">
      <w:pPr>
        <w:pStyle w:val="ListParagraph"/>
        <w:numPr>
          <w:ilvl w:val="1"/>
          <w:numId w:val="22"/>
        </w:numPr>
        <w:rPr>
          <w:rFonts w:ascii="Verdana" w:hAnsi="Verdana"/>
          <w:sz w:val="18"/>
          <w:szCs w:val="18"/>
        </w:rPr>
      </w:pPr>
      <w:r w:rsidRPr="00DE50C4">
        <w:rPr>
          <w:rFonts w:ascii="Verdana" w:hAnsi="Verdana"/>
          <w:sz w:val="18"/>
        </w:rPr>
        <w:t>hiosciamino ar bet kokių jo darinių;</w:t>
      </w:r>
    </w:p>
    <w:p w:rsidR="005016F0" w:rsidRPr="00DE50C4" w:rsidRDefault="00BF3143" w:rsidP="00E17C57">
      <w:pPr>
        <w:pStyle w:val="ListParagraph"/>
        <w:numPr>
          <w:ilvl w:val="1"/>
          <w:numId w:val="22"/>
        </w:numPr>
        <w:rPr>
          <w:rFonts w:ascii="Verdana" w:hAnsi="Verdana"/>
          <w:sz w:val="18"/>
          <w:szCs w:val="18"/>
        </w:rPr>
      </w:pPr>
      <w:r w:rsidRPr="00DE50C4">
        <w:rPr>
          <w:rFonts w:ascii="Verdana" w:hAnsi="Verdana"/>
          <w:sz w:val="18"/>
        </w:rPr>
        <w:t>m ir o-sinefrino ir bet kokių jų dariniai;</w:t>
      </w:r>
    </w:p>
    <w:p w:rsidR="00BF3143" w:rsidRPr="00DE50C4" w:rsidRDefault="00BF3143" w:rsidP="00E17C57">
      <w:pPr>
        <w:pStyle w:val="ListParagraph"/>
        <w:numPr>
          <w:ilvl w:val="1"/>
          <w:numId w:val="22"/>
        </w:numPr>
        <w:rPr>
          <w:rFonts w:ascii="Verdana" w:hAnsi="Verdana"/>
          <w:sz w:val="18"/>
          <w:szCs w:val="18"/>
        </w:rPr>
      </w:pPr>
      <w:r w:rsidRPr="00DE50C4">
        <w:rPr>
          <w:rFonts w:ascii="Verdana" w:hAnsi="Verdana"/>
          <w:sz w:val="18"/>
        </w:rPr>
        <w:t>karčiojo kiečio (</w:t>
      </w:r>
      <w:r w:rsidRPr="00DE50C4">
        <w:rPr>
          <w:rFonts w:ascii="Verdana" w:hAnsi="Verdana"/>
          <w:i/>
          <w:sz w:val="18"/>
        </w:rPr>
        <w:t>Artemisia absinthium</w:t>
      </w:r>
      <w:r w:rsidRPr="00DE50C4">
        <w:rPr>
          <w:rFonts w:ascii="Verdana" w:hAnsi="Verdana"/>
          <w:sz w:val="18"/>
        </w:rPr>
        <w:t>) aliejaus, nedarant poveikio Reglamento (EB) Nr. 1334/2008 6 straipsnio 2 daliai ir III priedo B daliai, kai suteikiamas leidimas, kad tam tikruose sudėtiniuose maisto produktuose būtų tujono;</w:t>
      </w:r>
    </w:p>
    <w:p w:rsidR="005016F0" w:rsidRPr="00DE50C4" w:rsidRDefault="005016F0" w:rsidP="00E17C57">
      <w:pPr>
        <w:pStyle w:val="ListParagraph"/>
        <w:numPr>
          <w:ilvl w:val="1"/>
          <w:numId w:val="22"/>
        </w:numPr>
        <w:rPr>
          <w:rFonts w:ascii="Verdana" w:hAnsi="Verdana"/>
          <w:sz w:val="18"/>
          <w:szCs w:val="18"/>
        </w:rPr>
      </w:pPr>
      <w:r w:rsidRPr="00DE50C4">
        <w:rPr>
          <w:rFonts w:ascii="Verdana" w:hAnsi="Verdana"/>
          <w:sz w:val="18"/>
        </w:rPr>
        <w:t>pilokarpino ar bet kokių jo darinių;</w:t>
      </w:r>
    </w:p>
    <w:p w:rsidR="005016F0" w:rsidRPr="00DE50C4" w:rsidRDefault="005016F0" w:rsidP="00E17C57">
      <w:pPr>
        <w:pStyle w:val="ListParagraph"/>
        <w:numPr>
          <w:ilvl w:val="1"/>
          <w:numId w:val="22"/>
        </w:numPr>
        <w:rPr>
          <w:rFonts w:ascii="Verdana" w:hAnsi="Verdana"/>
          <w:sz w:val="18"/>
          <w:szCs w:val="18"/>
        </w:rPr>
      </w:pPr>
      <w:r w:rsidRPr="00DE50C4">
        <w:rPr>
          <w:rFonts w:ascii="Verdana" w:hAnsi="Verdana"/>
          <w:sz w:val="18"/>
        </w:rPr>
        <w:t>skopolamino ar bet kokių jo darinių;</w:t>
      </w:r>
    </w:p>
    <w:p w:rsidR="005016F0" w:rsidRPr="00DE50C4" w:rsidRDefault="005016F0" w:rsidP="00E17C57">
      <w:pPr>
        <w:pStyle w:val="ListParagraph"/>
        <w:numPr>
          <w:ilvl w:val="1"/>
          <w:numId w:val="22"/>
        </w:numPr>
        <w:rPr>
          <w:rFonts w:ascii="Verdana" w:hAnsi="Verdana"/>
          <w:sz w:val="18"/>
          <w:szCs w:val="18"/>
        </w:rPr>
      </w:pPr>
      <w:r w:rsidRPr="00DE50C4">
        <w:rPr>
          <w:rFonts w:ascii="Verdana" w:hAnsi="Verdana"/>
          <w:sz w:val="18"/>
        </w:rPr>
        <w:t>strichnino ar bet kokių jo darinių;</w:t>
      </w:r>
    </w:p>
    <w:p w:rsidR="00BF3143" w:rsidRPr="00DE50C4" w:rsidRDefault="00BF3143" w:rsidP="00E17C57">
      <w:pPr>
        <w:pStyle w:val="ListParagraph"/>
        <w:numPr>
          <w:ilvl w:val="1"/>
          <w:numId w:val="22"/>
        </w:numPr>
        <w:rPr>
          <w:rFonts w:ascii="Verdana" w:hAnsi="Verdana"/>
          <w:sz w:val="18"/>
          <w:szCs w:val="18"/>
        </w:rPr>
      </w:pPr>
      <w:r w:rsidRPr="00DE50C4">
        <w:rPr>
          <w:rFonts w:ascii="Verdana" w:hAnsi="Verdana"/>
          <w:sz w:val="18"/>
        </w:rPr>
        <w:t>johimbino alkaloidų ar bet kokių jų darinių.</w:t>
      </w:r>
    </w:p>
    <w:p w:rsidR="000E0515" w:rsidRPr="00DE50C4" w:rsidRDefault="0043098B" w:rsidP="00E17C57">
      <w:pPr>
        <w:ind w:left="2835" w:hanging="567"/>
        <w:rPr>
          <w:rFonts w:ascii="Verdana" w:hAnsi="Verdana"/>
          <w:sz w:val="18"/>
          <w:szCs w:val="18"/>
        </w:rPr>
      </w:pPr>
      <w:r w:rsidRPr="00DE50C4">
        <w:rPr>
          <w:rFonts w:ascii="Verdana" w:hAnsi="Verdana"/>
          <w:sz w:val="18"/>
        </w:rPr>
        <w:t>3.</w:t>
      </w:r>
      <w:r w:rsidRPr="00DE50C4">
        <w:tab/>
      </w:r>
      <w:r w:rsidRPr="00DE50C4">
        <w:rPr>
          <w:rFonts w:ascii="Verdana" w:hAnsi="Verdana"/>
          <w:sz w:val="18"/>
        </w:rPr>
        <w:t>3 dalyje žodžiai „priedo II dalyje minimi augalai“ pakeičiami žodžiais „priede minimi augalai ir grybai“.</w:t>
      </w:r>
    </w:p>
    <w:p w:rsidR="0043098B" w:rsidRPr="00DE50C4" w:rsidRDefault="00E17C57" w:rsidP="00E17C57">
      <w:pPr>
        <w:keepNext/>
        <w:keepLines/>
        <w:ind w:left="2836" w:hanging="568"/>
        <w:rPr>
          <w:rFonts w:ascii="Verdana" w:hAnsi="Verdana"/>
          <w:sz w:val="18"/>
          <w:szCs w:val="18"/>
        </w:rPr>
      </w:pPr>
      <w:r w:rsidRPr="00DE50C4">
        <w:rPr>
          <w:rFonts w:ascii="Verdana" w:hAnsi="Verdana"/>
          <w:sz w:val="18"/>
        </w:rPr>
        <w:t>4.</w:t>
      </w:r>
      <w:r w:rsidRPr="00DE50C4">
        <w:tab/>
      </w:r>
      <w:r w:rsidRPr="00DE50C4">
        <w:rPr>
          <w:rFonts w:ascii="Verdana" w:hAnsi="Verdana"/>
          <w:sz w:val="18"/>
        </w:rPr>
        <w:t>Įterpiamos trys naujos dalys, kurios išdėstomos taip:</w:t>
      </w:r>
    </w:p>
    <w:p w:rsidR="0043098B" w:rsidRPr="00DE50C4" w:rsidRDefault="0043098B" w:rsidP="00E17C57">
      <w:pPr>
        <w:ind w:left="3544" w:hanging="708"/>
        <w:rPr>
          <w:rFonts w:ascii="Verdana" w:hAnsi="Verdana"/>
          <w:sz w:val="18"/>
          <w:szCs w:val="18"/>
        </w:rPr>
      </w:pPr>
      <w:r w:rsidRPr="00DE50C4">
        <w:rPr>
          <w:rFonts w:ascii="Verdana" w:hAnsi="Verdana"/>
          <w:sz w:val="18"/>
        </w:rPr>
        <w:t>4.</w:t>
      </w:r>
      <w:r w:rsidRPr="00DE50C4">
        <w:tab/>
      </w:r>
      <w:r w:rsidRPr="00DE50C4">
        <w:rPr>
          <w:rFonts w:ascii="Verdana" w:hAnsi="Verdana"/>
          <w:sz w:val="18"/>
        </w:rPr>
        <w:t>Augaliniuose preparatuose didžiausia p-sinefrino paros dozė turi būti 27 mg, kaip nurodyta vartojimo instrukcijoje.</w:t>
      </w:r>
    </w:p>
    <w:p w:rsidR="0095665C" w:rsidRPr="00DE50C4" w:rsidRDefault="0043098B" w:rsidP="00E17C57">
      <w:pPr>
        <w:ind w:left="3544" w:hanging="708"/>
        <w:rPr>
          <w:rFonts w:ascii="Verdana" w:hAnsi="Verdana"/>
          <w:sz w:val="18"/>
          <w:szCs w:val="18"/>
        </w:rPr>
      </w:pPr>
      <w:r w:rsidRPr="00DE50C4">
        <w:rPr>
          <w:rFonts w:ascii="Verdana" w:hAnsi="Verdana"/>
          <w:sz w:val="18"/>
        </w:rPr>
        <w:t>5.</w:t>
      </w:r>
      <w:r w:rsidRPr="00DE50C4">
        <w:tab/>
      </w:r>
      <w:r w:rsidRPr="00DE50C4">
        <w:rPr>
          <w:rFonts w:ascii="Verdana" w:hAnsi="Verdana"/>
          <w:sz w:val="18"/>
        </w:rPr>
        <w:t xml:space="preserve">Priešingai, nei nurodyta 3 dalyje, augaliniuose preparatuose gali būti iš </w:t>
      </w:r>
      <w:r w:rsidRPr="00DE50C4">
        <w:rPr>
          <w:rFonts w:ascii="Verdana" w:hAnsi="Verdana"/>
          <w:i/>
          <w:sz w:val="18"/>
        </w:rPr>
        <w:t>Ricinus communis</w:t>
      </w:r>
      <w:r w:rsidRPr="00DE50C4">
        <w:rPr>
          <w:rFonts w:ascii="Verdana" w:hAnsi="Verdana"/>
          <w:sz w:val="18"/>
        </w:rPr>
        <w:t xml:space="preserve"> sėklų išspausto aliejaus su sąlyga, kad paskyrus vartojimo ir dozavimo rekomendacijas, kaip nurodyta 6 straipsnio 1 dalyje, per dieną suvartojamas aliejaus kiekis neviršija 0,4 g.</w:t>
      </w:r>
    </w:p>
    <w:p w:rsidR="00AB3B66" w:rsidRPr="00DE50C4" w:rsidRDefault="00AB3B66" w:rsidP="00E17C57">
      <w:pPr>
        <w:ind w:left="3544" w:hanging="708"/>
        <w:rPr>
          <w:rFonts w:ascii="Verdana" w:hAnsi="Verdana"/>
          <w:sz w:val="18"/>
          <w:szCs w:val="18"/>
        </w:rPr>
      </w:pPr>
      <w:r w:rsidRPr="00DE50C4">
        <w:rPr>
          <w:rFonts w:ascii="Verdana" w:hAnsi="Verdana"/>
          <w:sz w:val="18"/>
        </w:rPr>
        <w:t>6.</w:t>
      </w:r>
      <w:r w:rsidRPr="00DE50C4">
        <w:tab/>
      </w:r>
      <w:r w:rsidRPr="00DE50C4">
        <w:rPr>
          <w:rFonts w:ascii="Verdana" w:hAnsi="Verdana"/>
          <w:sz w:val="18"/>
        </w:rPr>
        <w:t>1 dalis netaikoma klausimams, aptartiems Reglamento (EB) 1881/2006 nuostatose.</w:t>
      </w:r>
    </w:p>
    <w:p w:rsidR="00D9610F" w:rsidRPr="00DE50C4" w:rsidRDefault="00D9610F" w:rsidP="00E17C57">
      <w:pPr>
        <w:ind w:left="2268"/>
        <w:rPr>
          <w:rFonts w:ascii="Verdana" w:hAnsi="Verdana"/>
          <w:sz w:val="18"/>
          <w:szCs w:val="18"/>
        </w:rPr>
      </w:pPr>
    </w:p>
    <w:p w:rsidR="00AB4972" w:rsidRPr="00DE50C4" w:rsidRDefault="00AB4972" w:rsidP="00E17C57">
      <w:pPr>
        <w:keepNext/>
        <w:keepLines/>
        <w:ind w:left="2268"/>
        <w:rPr>
          <w:rFonts w:ascii="Verdana" w:hAnsi="Verdana"/>
          <w:sz w:val="18"/>
          <w:szCs w:val="18"/>
        </w:rPr>
      </w:pPr>
      <w:r w:rsidRPr="00DE50C4">
        <w:rPr>
          <w:rFonts w:ascii="Verdana" w:hAnsi="Verdana"/>
          <w:sz w:val="18"/>
        </w:rPr>
        <w:t>B</w:t>
      </w:r>
    </w:p>
    <w:p w:rsidR="00AB4972" w:rsidRPr="00DE50C4" w:rsidRDefault="00AB4972" w:rsidP="00E17C57">
      <w:pPr>
        <w:keepNext/>
        <w:keepLines/>
        <w:ind w:left="2268"/>
        <w:rPr>
          <w:rFonts w:ascii="Verdana" w:hAnsi="Verdana"/>
          <w:sz w:val="18"/>
          <w:szCs w:val="18"/>
        </w:rPr>
      </w:pPr>
    </w:p>
    <w:p w:rsidR="003825F1" w:rsidRPr="00DE50C4" w:rsidRDefault="003825F1" w:rsidP="00E17C57">
      <w:pPr>
        <w:keepNext/>
        <w:keepLines/>
        <w:ind w:left="2268"/>
        <w:rPr>
          <w:rFonts w:ascii="Verdana" w:hAnsi="Verdana"/>
          <w:sz w:val="18"/>
          <w:szCs w:val="18"/>
        </w:rPr>
      </w:pPr>
      <w:r w:rsidRPr="00DE50C4">
        <w:rPr>
          <w:rFonts w:ascii="Verdana" w:hAnsi="Verdana"/>
          <w:sz w:val="18"/>
        </w:rPr>
        <w:t>6 straipsnyje įterpiama A dalis, kuri išdėstoma taip:</w:t>
      </w:r>
    </w:p>
    <w:p w:rsidR="003825F1" w:rsidRPr="00DE50C4" w:rsidRDefault="003825F1" w:rsidP="00E17C57">
      <w:pPr>
        <w:ind w:left="2836" w:hanging="568"/>
        <w:rPr>
          <w:rFonts w:ascii="Verdana" w:hAnsi="Verdana"/>
          <w:sz w:val="18"/>
          <w:szCs w:val="18"/>
        </w:rPr>
      </w:pPr>
      <w:r w:rsidRPr="00DE50C4">
        <w:rPr>
          <w:rFonts w:ascii="Verdana" w:hAnsi="Verdana"/>
          <w:sz w:val="18"/>
        </w:rPr>
        <w:t xml:space="preserve">3. </w:t>
      </w:r>
      <w:r w:rsidRPr="00DE50C4">
        <w:tab/>
      </w:r>
      <w:r w:rsidRPr="00DE50C4">
        <w:rPr>
          <w:rFonts w:ascii="Verdana" w:hAnsi="Verdana"/>
          <w:sz w:val="18"/>
        </w:rPr>
        <w:t>Ministras gali paskelbti įsakymą, kuriuo nustatomos papildomos vartojimo ir dozavimo rekomendacijų, aptariamų 1 ir 2 dalyse, taisyklės.</w:t>
      </w:r>
    </w:p>
    <w:p w:rsidR="003825F1" w:rsidRPr="00DE50C4" w:rsidRDefault="003825F1" w:rsidP="00E17C57">
      <w:pPr>
        <w:ind w:left="2268"/>
        <w:rPr>
          <w:rFonts w:ascii="Verdana" w:hAnsi="Verdana"/>
          <w:sz w:val="18"/>
          <w:szCs w:val="18"/>
        </w:rPr>
      </w:pPr>
    </w:p>
    <w:p w:rsidR="003825F1" w:rsidRPr="00DE50C4" w:rsidRDefault="003825F1" w:rsidP="00E17C57">
      <w:pPr>
        <w:keepNext/>
        <w:keepLines/>
        <w:ind w:left="2268"/>
        <w:rPr>
          <w:rFonts w:ascii="Verdana" w:hAnsi="Verdana"/>
          <w:sz w:val="18"/>
          <w:szCs w:val="18"/>
        </w:rPr>
      </w:pPr>
      <w:r w:rsidRPr="00DE50C4">
        <w:rPr>
          <w:rFonts w:ascii="Verdana" w:hAnsi="Verdana"/>
          <w:sz w:val="18"/>
        </w:rPr>
        <w:t>C</w:t>
      </w:r>
    </w:p>
    <w:p w:rsidR="003825F1" w:rsidRPr="00DE50C4" w:rsidRDefault="003825F1" w:rsidP="00E17C57">
      <w:pPr>
        <w:keepNext/>
        <w:keepLines/>
        <w:ind w:left="2268"/>
        <w:rPr>
          <w:rFonts w:ascii="Verdana" w:hAnsi="Verdana"/>
          <w:sz w:val="18"/>
          <w:szCs w:val="18"/>
        </w:rPr>
      </w:pPr>
    </w:p>
    <w:p w:rsidR="00BB07D4" w:rsidRPr="00DE50C4" w:rsidRDefault="00BB07D4" w:rsidP="00E17C57">
      <w:pPr>
        <w:ind w:left="2268"/>
        <w:rPr>
          <w:rFonts w:ascii="Verdana" w:hAnsi="Verdana"/>
          <w:sz w:val="18"/>
          <w:szCs w:val="18"/>
        </w:rPr>
      </w:pPr>
      <w:r w:rsidRPr="00DE50C4">
        <w:rPr>
          <w:rFonts w:ascii="Verdana" w:hAnsi="Verdana"/>
          <w:sz w:val="18"/>
        </w:rPr>
        <w:t>7 straipsnio 1 dalyje išbraukiami šie žodžiai: „laikant, kad 2001 m. rugpjūčio 1 d. įsigalioja 4 straipsnio 1 ir 3 dalys dėl augalinių preparatų, kurie nėra maisto produktai ar gėrimai ir kurie išskirtinai skirti sąlyčiui su skirtingomis žmogaus kūno paviršiaus dalimis bei kurių sudėtyje nėra kitų, nei priedo paskutiniame stulpelyje „1“ pažymėtų, augalų“.</w:t>
      </w:r>
    </w:p>
    <w:p w:rsidR="00BB07D4" w:rsidRPr="00DE50C4" w:rsidRDefault="00BB07D4" w:rsidP="00E17C57">
      <w:pPr>
        <w:ind w:left="2268"/>
        <w:rPr>
          <w:rFonts w:ascii="Verdana" w:hAnsi="Verdana"/>
          <w:sz w:val="18"/>
          <w:szCs w:val="18"/>
        </w:rPr>
      </w:pPr>
    </w:p>
    <w:p w:rsidR="00BB07D4" w:rsidRPr="00DE50C4" w:rsidRDefault="00BB07D4" w:rsidP="00E17C57">
      <w:pPr>
        <w:keepNext/>
        <w:keepLines/>
        <w:ind w:left="2268"/>
        <w:rPr>
          <w:rFonts w:ascii="Verdana" w:hAnsi="Verdana"/>
          <w:sz w:val="18"/>
          <w:szCs w:val="18"/>
        </w:rPr>
      </w:pPr>
      <w:r w:rsidRPr="00DE50C4">
        <w:rPr>
          <w:rFonts w:ascii="Verdana" w:hAnsi="Verdana"/>
          <w:sz w:val="18"/>
        </w:rPr>
        <w:t>D</w:t>
      </w:r>
    </w:p>
    <w:p w:rsidR="00BB07D4" w:rsidRPr="00DE50C4" w:rsidRDefault="00BB07D4" w:rsidP="00E17C57">
      <w:pPr>
        <w:keepNext/>
        <w:keepLines/>
        <w:ind w:left="2268"/>
        <w:rPr>
          <w:rFonts w:ascii="Verdana" w:hAnsi="Verdana"/>
          <w:sz w:val="18"/>
          <w:szCs w:val="18"/>
        </w:rPr>
      </w:pPr>
    </w:p>
    <w:p w:rsidR="00BB11AA" w:rsidRPr="00DE50C4" w:rsidRDefault="00F6533C" w:rsidP="00E17C57">
      <w:pPr>
        <w:keepNext/>
        <w:keepLines/>
        <w:ind w:left="2268"/>
        <w:rPr>
          <w:rFonts w:ascii="Verdana" w:hAnsi="Verdana"/>
          <w:sz w:val="18"/>
          <w:szCs w:val="18"/>
        </w:rPr>
      </w:pPr>
      <w:r w:rsidRPr="00DE50C4">
        <w:rPr>
          <w:rFonts w:ascii="Verdana" w:hAnsi="Verdana"/>
          <w:sz w:val="18"/>
        </w:rPr>
        <w:t>Priedas iš dalies keičiamas taip, kaip nurodyta toliau.</w:t>
      </w:r>
    </w:p>
    <w:p w:rsidR="00F6533C" w:rsidRPr="00DE50C4" w:rsidRDefault="00F6533C" w:rsidP="00E17C57">
      <w:pPr>
        <w:pStyle w:val="ListParagraph"/>
        <w:numPr>
          <w:ilvl w:val="0"/>
          <w:numId w:val="23"/>
        </w:numPr>
        <w:rPr>
          <w:rFonts w:ascii="Verdana" w:hAnsi="Verdana"/>
          <w:sz w:val="18"/>
          <w:szCs w:val="18"/>
        </w:rPr>
      </w:pPr>
      <w:r w:rsidRPr="00DE50C4">
        <w:rPr>
          <w:rFonts w:ascii="Verdana" w:hAnsi="Verdana"/>
          <w:sz w:val="18"/>
        </w:rPr>
        <w:t>Sakinys „Šis priedas atitinka 4 straipsnį.“ pakeičiamas sakiniu „Šis priedas atitinka 4 straipsnio 3 dalį“.</w:t>
      </w:r>
    </w:p>
    <w:p w:rsidR="00F6533C" w:rsidRPr="00DE50C4" w:rsidRDefault="00BB02A9" w:rsidP="00E17C57">
      <w:pPr>
        <w:pStyle w:val="ListParagraph"/>
        <w:numPr>
          <w:ilvl w:val="0"/>
          <w:numId w:val="23"/>
        </w:numPr>
        <w:rPr>
          <w:rFonts w:ascii="Verdana" w:hAnsi="Verdana"/>
          <w:sz w:val="18"/>
          <w:szCs w:val="18"/>
        </w:rPr>
      </w:pPr>
      <w:r w:rsidRPr="00DE50C4">
        <w:rPr>
          <w:rFonts w:ascii="Verdana" w:hAnsi="Verdana"/>
          <w:sz w:val="18"/>
        </w:rPr>
        <w:t>I dalis išbraukiama.</w:t>
      </w:r>
    </w:p>
    <w:p w:rsidR="00F6533C" w:rsidRPr="00DE50C4" w:rsidRDefault="00BB07D4" w:rsidP="00E17C57">
      <w:pPr>
        <w:pStyle w:val="ListParagraph"/>
        <w:numPr>
          <w:ilvl w:val="0"/>
          <w:numId w:val="23"/>
        </w:numPr>
        <w:rPr>
          <w:rFonts w:ascii="Verdana" w:hAnsi="Verdana"/>
          <w:sz w:val="18"/>
          <w:szCs w:val="18"/>
        </w:rPr>
      </w:pPr>
      <w:r w:rsidRPr="00DE50C4">
        <w:rPr>
          <w:rFonts w:ascii="Verdana" w:hAnsi="Verdana"/>
          <w:sz w:val="18"/>
        </w:rPr>
        <w:t>Žodžiai „II. Toliau nurodyti augalai ir grybai:“ pakeičiami žodžiais „4 straipsnio 3 dalyje nurodyti augalai ir grybai:“.</w:t>
      </w:r>
    </w:p>
    <w:p w:rsidR="00740EC3" w:rsidRPr="00DE50C4" w:rsidRDefault="00740EC3" w:rsidP="00E17C57">
      <w:pPr>
        <w:pStyle w:val="ListParagraph"/>
        <w:keepNext/>
        <w:keepLines/>
        <w:numPr>
          <w:ilvl w:val="0"/>
          <w:numId w:val="23"/>
        </w:numPr>
        <w:rPr>
          <w:rFonts w:ascii="Verdana" w:hAnsi="Verdana"/>
          <w:sz w:val="18"/>
          <w:szCs w:val="18"/>
        </w:rPr>
      </w:pPr>
      <w:r w:rsidRPr="00DE50C4">
        <w:rPr>
          <w:rFonts w:ascii="Verdana" w:hAnsi="Verdana"/>
          <w:sz w:val="18"/>
        </w:rPr>
        <w:lastRenderedPageBreak/>
        <w:t>Abėcėline tvarka įterpiama:</w:t>
      </w:r>
    </w:p>
    <w:p w:rsidR="00183469" w:rsidRPr="00DE50C4" w:rsidRDefault="00740EC3" w:rsidP="00E17C57">
      <w:pPr>
        <w:ind w:left="1919" w:firstLine="709"/>
        <w:rPr>
          <w:rFonts w:ascii="Verdana" w:hAnsi="Verdana"/>
          <w:sz w:val="18"/>
          <w:szCs w:val="18"/>
        </w:rPr>
      </w:pPr>
      <w:r w:rsidRPr="00DE50C4">
        <w:rPr>
          <w:rFonts w:ascii="Verdana" w:hAnsi="Verdana"/>
          <w:i/>
          <w:sz w:val="18"/>
        </w:rPr>
        <w:t>Aconitum carmichaelii</w:t>
      </w:r>
      <w:r w:rsidRPr="00DE50C4">
        <w:rPr>
          <w:rFonts w:ascii="Verdana" w:hAnsi="Verdana"/>
          <w:sz w:val="18"/>
        </w:rPr>
        <w:t>;</w:t>
      </w:r>
    </w:p>
    <w:p w:rsidR="00740EC3" w:rsidRPr="00DE50C4" w:rsidRDefault="00740EC3" w:rsidP="00E17C57">
      <w:pPr>
        <w:ind w:left="1919" w:firstLine="709"/>
        <w:rPr>
          <w:rFonts w:ascii="Verdana" w:hAnsi="Verdana"/>
          <w:sz w:val="18"/>
          <w:szCs w:val="18"/>
        </w:rPr>
      </w:pPr>
      <w:r w:rsidRPr="00DE50C4">
        <w:rPr>
          <w:rFonts w:ascii="Verdana" w:hAnsi="Verdana"/>
          <w:i/>
          <w:sz w:val="18"/>
        </w:rPr>
        <w:t>Aconitum kusnezoffii</w:t>
      </w:r>
      <w:r w:rsidRPr="00DE50C4">
        <w:rPr>
          <w:rFonts w:ascii="Verdana" w:hAnsi="Verdana"/>
          <w:sz w:val="18"/>
        </w:rPr>
        <w:t>;</w:t>
      </w:r>
    </w:p>
    <w:p w:rsidR="00740EC3" w:rsidRPr="00DE50C4" w:rsidRDefault="00740EC3" w:rsidP="00E17C57">
      <w:pPr>
        <w:ind w:left="1919" w:firstLine="709"/>
        <w:rPr>
          <w:rFonts w:ascii="Verdana" w:hAnsi="Verdana"/>
          <w:sz w:val="18"/>
          <w:szCs w:val="18"/>
        </w:rPr>
      </w:pPr>
      <w:r w:rsidRPr="00DE50C4">
        <w:rPr>
          <w:rFonts w:ascii="Verdana" w:hAnsi="Verdana"/>
          <w:i/>
          <w:sz w:val="18"/>
        </w:rPr>
        <w:t>Pilocarpus jaborandi</w:t>
      </w:r>
      <w:r w:rsidRPr="00DE50C4">
        <w:rPr>
          <w:rFonts w:ascii="Verdana" w:hAnsi="Verdana"/>
          <w:sz w:val="18"/>
        </w:rPr>
        <w:t>.</w:t>
      </w:r>
    </w:p>
    <w:p w:rsidR="00183469" w:rsidRPr="00DE50C4" w:rsidRDefault="00BB551C" w:rsidP="00147025">
      <w:pPr>
        <w:pStyle w:val="ListParagraph"/>
        <w:numPr>
          <w:ilvl w:val="0"/>
          <w:numId w:val="23"/>
        </w:numPr>
        <w:rPr>
          <w:rFonts w:ascii="Verdana" w:hAnsi="Verdana"/>
          <w:sz w:val="18"/>
          <w:szCs w:val="18"/>
        </w:rPr>
      </w:pPr>
      <w:r w:rsidRPr="00DE50C4">
        <w:rPr>
          <w:rFonts w:ascii="Verdana" w:hAnsi="Verdana"/>
          <w:sz w:val="18"/>
        </w:rPr>
        <w:t>Žodžiai „juodasis bastutis (</w:t>
      </w:r>
      <w:r w:rsidRPr="00DE50C4">
        <w:rPr>
          <w:rFonts w:ascii="Verdana" w:hAnsi="Verdana"/>
          <w:i/>
          <w:sz w:val="18"/>
        </w:rPr>
        <w:t>Brassica nigra</w:t>
      </w:r>
      <w:r w:rsidRPr="00DE50C4">
        <w:rPr>
          <w:rFonts w:ascii="Verdana" w:hAnsi="Verdana"/>
          <w:sz w:val="18"/>
        </w:rPr>
        <w:t>), be naudojimo maisto produktuose iš baltosios brienės (</w:t>
      </w:r>
      <w:r w:rsidRPr="00DE50C4">
        <w:rPr>
          <w:rFonts w:ascii="Verdana" w:hAnsi="Verdana"/>
          <w:i/>
          <w:sz w:val="18"/>
        </w:rPr>
        <w:t>Bryonia alba</w:t>
      </w:r>
      <w:r w:rsidRPr="00DE50C4">
        <w:rPr>
          <w:rFonts w:ascii="Verdana" w:hAnsi="Verdana"/>
          <w:sz w:val="18"/>
        </w:rPr>
        <w:t>) sėklų“ pakeičiami žodžiais „juodasis bastutis (</w:t>
      </w:r>
      <w:r w:rsidRPr="00DE50C4">
        <w:rPr>
          <w:rFonts w:ascii="Verdana" w:hAnsi="Verdana"/>
          <w:i/>
          <w:sz w:val="18"/>
        </w:rPr>
        <w:t>Brassica nigra</w:t>
      </w:r>
      <w:r w:rsidRPr="00DE50C4">
        <w:rPr>
          <w:rFonts w:ascii="Verdana" w:hAnsi="Verdana"/>
          <w:sz w:val="18"/>
        </w:rPr>
        <w:t>), be naudojimo maisto produktuose iš baltosios brienės (</w:t>
      </w:r>
      <w:r w:rsidRPr="00DE50C4">
        <w:rPr>
          <w:rFonts w:ascii="Verdana" w:hAnsi="Verdana"/>
          <w:i/>
          <w:sz w:val="18"/>
        </w:rPr>
        <w:t>Bryonia alba</w:t>
      </w:r>
      <w:r w:rsidRPr="00DE50C4">
        <w:rPr>
          <w:rFonts w:ascii="Verdana" w:hAnsi="Verdana"/>
          <w:sz w:val="18"/>
        </w:rPr>
        <w:t>) sėklų“.</w:t>
      </w:r>
    </w:p>
    <w:p w:rsidR="00740EC3" w:rsidRPr="00DE50C4" w:rsidRDefault="00740EC3" w:rsidP="00E17C57">
      <w:pPr>
        <w:pStyle w:val="ListParagraph"/>
        <w:numPr>
          <w:ilvl w:val="0"/>
          <w:numId w:val="23"/>
        </w:numPr>
        <w:rPr>
          <w:rFonts w:ascii="Verdana" w:hAnsi="Verdana"/>
          <w:sz w:val="18"/>
          <w:szCs w:val="18"/>
        </w:rPr>
      </w:pPr>
      <w:r w:rsidRPr="00DE50C4">
        <w:rPr>
          <w:rFonts w:ascii="Verdana" w:hAnsi="Verdana"/>
          <w:sz w:val="18"/>
        </w:rPr>
        <w:t>Žodžiai „</w:t>
      </w:r>
      <w:r w:rsidRPr="00DE50C4">
        <w:rPr>
          <w:rFonts w:ascii="Verdana" w:hAnsi="Verdana"/>
          <w:i/>
          <w:sz w:val="18"/>
        </w:rPr>
        <w:t>Citrullus colocynthidis</w:t>
      </w:r>
      <w:r w:rsidRPr="00DE50C4">
        <w:rPr>
          <w:rFonts w:ascii="Verdana" w:hAnsi="Verdana"/>
          <w:sz w:val="18"/>
        </w:rPr>
        <w:t>“ pakeičiami žodžiais „</w:t>
      </w:r>
      <w:r w:rsidRPr="00DE50C4">
        <w:rPr>
          <w:rFonts w:ascii="Verdana" w:hAnsi="Verdana"/>
          <w:i/>
          <w:sz w:val="18"/>
        </w:rPr>
        <w:t>Citrullus colocynthis</w:t>
      </w:r>
      <w:r w:rsidRPr="00DE50C4">
        <w:rPr>
          <w:rFonts w:ascii="Verdana" w:hAnsi="Verdana"/>
          <w:sz w:val="18"/>
        </w:rPr>
        <w:t>“.</w:t>
      </w:r>
    </w:p>
    <w:p w:rsidR="00740EC3" w:rsidRPr="00DE50C4" w:rsidRDefault="00740EC3" w:rsidP="00E17C57">
      <w:pPr>
        <w:pStyle w:val="ListParagraph"/>
        <w:numPr>
          <w:ilvl w:val="0"/>
          <w:numId w:val="23"/>
        </w:numPr>
        <w:rPr>
          <w:rFonts w:ascii="Verdana" w:hAnsi="Verdana"/>
          <w:sz w:val="18"/>
          <w:szCs w:val="18"/>
        </w:rPr>
      </w:pPr>
      <w:r w:rsidRPr="00DE50C4">
        <w:rPr>
          <w:rFonts w:ascii="Verdana" w:hAnsi="Verdana"/>
          <w:sz w:val="18"/>
        </w:rPr>
        <w:t>Žodžiai „</w:t>
      </w:r>
      <w:r w:rsidRPr="00DE50C4">
        <w:rPr>
          <w:rFonts w:ascii="Verdana" w:hAnsi="Verdana"/>
          <w:i/>
          <w:sz w:val="18"/>
        </w:rPr>
        <w:t>Mallotus philipinensis</w:t>
      </w:r>
      <w:r w:rsidRPr="00DE50C4">
        <w:rPr>
          <w:rFonts w:ascii="Verdana" w:hAnsi="Verdana"/>
          <w:sz w:val="18"/>
        </w:rPr>
        <w:t>“ pakeičiami žodžiais „</w:t>
      </w:r>
      <w:r w:rsidRPr="00DE50C4">
        <w:rPr>
          <w:rFonts w:ascii="Verdana" w:hAnsi="Verdana"/>
          <w:i/>
          <w:sz w:val="18"/>
        </w:rPr>
        <w:t>Mallotus philippensis</w:t>
      </w:r>
      <w:r w:rsidRPr="00DE50C4">
        <w:rPr>
          <w:rFonts w:ascii="Verdana" w:hAnsi="Verdana"/>
          <w:sz w:val="18"/>
        </w:rPr>
        <w:t>“.</w:t>
      </w:r>
    </w:p>
    <w:p w:rsidR="00740EC3" w:rsidRPr="00DE50C4" w:rsidRDefault="00740EC3" w:rsidP="00E17C57">
      <w:pPr>
        <w:pStyle w:val="ListParagraph"/>
        <w:numPr>
          <w:ilvl w:val="0"/>
          <w:numId w:val="23"/>
        </w:numPr>
        <w:rPr>
          <w:rFonts w:ascii="Verdana" w:hAnsi="Verdana"/>
          <w:sz w:val="18"/>
          <w:szCs w:val="18"/>
        </w:rPr>
      </w:pPr>
      <w:r w:rsidRPr="00DE50C4">
        <w:rPr>
          <w:rFonts w:ascii="Verdana" w:hAnsi="Verdana"/>
          <w:sz w:val="18"/>
        </w:rPr>
        <w:t>Žodžiai „</w:t>
      </w:r>
      <w:r w:rsidRPr="00DE50C4">
        <w:rPr>
          <w:rFonts w:ascii="Verdana" w:hAnsi="Verdana"/>
          <w:i/>
          <w:sz w:val="18"/>
        </w:rPr>
        <w:t>Mandragora officinalis</w:t>
      </w:r>
      <w:r w:rsidRPr="00DE50C4">
        <w:rPr>
          <w:rFonts w:ascii="Verdana" w:hAnsi="Verdana"/>
          <w:sz w:val="18"/>
        </w:rPr>
        <w:t>“ pakeičiami žodžiais „</w:t>
      </w:r>
      <w:r w:rsidRPr="00DE50C4">
        <w:rPr>
          <w:rFonts w:ascii="Verdana" w:hAnsi="Verdana"/>
          <w:i/>
          <w:sz w:val="18"/>
        </w:rPr>
        <w:t>Mandragora officinarum</w:t>
      </w:r>
      <w:r w:rsidRPr="00DE50C4">
        <w:rPr>
          <w:rFonts w:ascii="Verdana" w:hAnsi="Verdana"/>
          <w:sz w:val="18"/>
        </w:rPr>
        <w:t>“.</w:t>
      </w:r>
    </w:p>
    <w:p w:rsidR="00BB551C" w:rsidRPr="00DE50C4" w:rsidRDefault="00740EC3" w:rsidP="00E17C57">
      <w:pPr>
        <w:pStyle w:val="ListParagraph"/>
        <w:numPr>
          <w:ilvl w:val="0"/>
          <w:numId w:val="23"/>
        </w:numPr>
        <w:rPr>
          <w:rFonts w:ascii="Verdana" w:hAnsi="Verdana"/>
          <w:sz w:val="18"/>
          <w:szCs w:val="18"/>
        </w:rPr>
      </w:pPr>
      <w:r w:rsidRPr="00DE50C4">
        <w:rPr>
          <w:rFonts w:ascii="Verdana" w:hAnsi="Verdana"/>
          <w:sz w:val="18"/>
        </w:rPr>
        <w:t>Žodžiai „</w:t>
      </w:r>
      <w:r w:rsidRPr="00DE50C4">
        <w:rPr>
          <w:rFonts w:ascii="Verdana" w:hAnsi="Verdana"/>
          <w:i/>
          <w:sz w:val="18"/>
        </w:rPr>
        <w:t>Pausinystalia yohimbe</w:t>
      </w:r>
      <w:r w:rsidRPr="00DE50C4">
        <w:rPr>
          <w:rFonts w:ascii="Verdana" w:hAnsi="Verdana"/>
          <w:sz w:val="18"/>
        </w:rPr>
        <w:t xml:space="preserve"> arba </w:t>
      </w:r>
      <w:r w:rsidRPr="00DE50C4">
        <w:rPr>
          <w:rFonts w:ascii="Verdana" w:hAnsi="Verdana"/>
          <w:i/>
          <w:sz w:val="18"/>
        </w:rPr>
        <w:t>Coynanthe yohimbe</w:t>
      </w:r>
      <w:r w:rsidRPr="00DE50C4">
        <w:rPr>
          <w:rFonts w:ascii="Verdana" w:hAnsi="Verdana"/>
          <w:sz w:val="18"/>
        </w:rPr>
        <w:t>“ pakeičiami žodžiais „</w:t>
      </w:r>
      <w:r w:rsidRPr="00DE50C4">
        <w:rPr>
          <w:rFonts w:ascii="Verdana" w:hAnsi="Verdana"/>
          <w:i/>
          <w:sz w:val="18"/>
        </w:rPr>
        <w:t>Pausinystalia johimbe</w:t>
      </w:r>
      <w:r w:rsidRPr="00DE50C4">
        <w:rPr>
          <w:rFonts w:ascii="Verdana" w:hAnsi="Verdana"/>
          <w:sz w:val="18"/>
        </w:rPr>
        <w:t xml:space="preserve"> arba </w:t>
      </w:r>
      <w:r w:rsidRPr="00DE50C4">
        <w:rPr>
          <w:rFonts w:ascii="Verdana" w:hAnsi="Verdana"/>
          <w:i/>
          <w:sz w:val="18"/>
        </w:rPr>
        <w:t>Corynanthe johimbe</w:t>
      </w:r>
      <w:r w:rsidRPr="00DE50C4">
        <w:rPr>
          <w:rFonts w:ascii="Verdana" w:hAnsi="Verdana"/>
          <w:sz w:val="18"/>
        </w:rPr>
        <w:t>“.</w:t>
      </w:r>
    </w:p>
    <w:p w:rsidR="00740EC3" w:rsidRPr="00DE50C4" w:rsidRDefault="00BB551C" w:rsidP="00E17C57">
      <w:pPr>
        <w:pStyle w:val="ListParagraph"/>
        <w:numPr>
          <w:ilvl w:val="0"/>
          <w:numId w:val="23"/>
        </w:numPr>
        <w:rPr>
          <w:rFonts w:ascii="Verdana" w:hAnsi="Verdana"/>
          <w:sz w:val="18"/>
          <w:szCs w:val="18"/>
        </w:rPr>
      </w:pPr>
      <w:r w:rsidRPr="00DE50C4">
        <w:rPr>
          <w:rFonts w:ascii="Verdana" w:hAnsi="Verdana"/>
          <w:sz w:val="18"/>
        </w:rPr>
        <w:t>Antras stulpelis, kuriame yra skaičiai „1“, išbraukiamas.</w:t>
      </w:r>
    </w:p>
    <w:p w:rsidR="007E7D62" w:rsidRPr="00DE50C4" w:rsidRDefault="007E7D62" w:rsidP="00E17C57">
      <w:pPr>
        <w:ind w:left="2268"/>
        <w:rPr>
          <w:rFonts w:ascii="Verdana" w:hAnsi="Verdana"/>
          <w:sz w:val="18"/>
          <w:szCs w:val="18"/>
        </w:rPr>
      </w:pPr>
    </w:p>
    <w:p w:rsidR="00E17C57" w:rsidRPr="00DE50C4" w:rsidRDefault="00E17C57" w:rsidP="00E17C57">
      <w:pPr>
        <w:ind w:left="2268"/>
        <w:rPr>
          <w:rFonts w:ascii="Verdana" w:hAnsi="Verdana"/>
          <w:sz w:val="18"/>
          <w:szCs w:val="18"/>
        </w:rPr>
      </w:pPr>
    </w:p>
    <w:p w:rsidR="00F517C1" w:rsidRPr="00DE50C4" w:rsidRDefault="00F517C1" w:rsidP="00E17C57">
      <w:pPr>
        <w:keepNext/>
        <w:keepLines/>
        <w:ind w:left="2268"/>
        <w:rPr>
          <w:rFonts w:ascii="Verdana" w:hAnsi="Verdana"/>
          <w:b/>
          <w:sz w:val="18"/>
          <w:szCs w:val="18"/>
        </w:rPr>
      </w:pPr>
      <w:r w:rsidRPr="00DE50C4">
        <w:rPr>
          <w:rFonts w:ascii="Verdana" w:hAnsi="Verdana"/>
          <w:b/>
          <w:sz w:val="18"/>
        </w:rPr>
        <w:t>II straipsnis</w:t>
      </w:r>
    </w:p>
    <w:p w:rsidR="00F517C1" w:rsidRPr="00DE50C4" w:rsidRDefault="00F517C1" w:rsidP="00E17C57">
      <w:pPr>
        <w:keepNext/>
        <w:keepLines/>
        <w:ind w:left="2268"/>
        <w:rPr>
          <w:rFonts w:ascii="Verdana" w:hAnsi="Verdana"/>
          <w:sz w:val="18"/>
          <w:szCs w:val="18"/>
        </w:rPr>
      </w:pPr>
    </w:p>
    <w:p w:rsidR="00F517C1" w:rsidRPr="00DE50C4" w:rsidRDefault="008E734A" w:rsidP="00E17C57">
      <w:pPr>
        <w:keepNext/>
        <w:keepLines/>
        <w:ind w:left="2268"/>
        <w:rPr>
          <w:rFonts w:ascii="Verdana" w:hAnsi="Verdana"/>
          <w:sz w:val="18"/>
          <w:szCs w:val="18"/>
        </w:rPr>
      </w:pPr>
      <w:r w:rsidRPr="00DE50C4">
        <w:rPr>
          <w:rFonts w:ascii="Verdana" w:hAnsi="Verdana"/>
          <w:sz w:val="18"/>
        </w:rPr>
        <w:t>Administracinių nuobaudų (Prekių įstatymas) dekreto priedo C-22 antraštinėje dalyje po C-22.4 skirsnio įterpiamas šis skirsnis:</w:t>
      </w:r>
    </w:p>
    <w:tbl>
      <w:tblPr>
        <w:tblStyle w:val="TableGrid"/>
        <w:tblW w:w="0" w:type="auto"/>
        <w:tblInd w:w="2268" w:type="dxa"/>
        <w:tblLook w:val="04A0" w:firstRow="1" w:lastRow="0" w:firstColumn="1" w:lastColumn="0" w:noHBand="0" w:noVBand="1"/>
      </w:tblPr>
      <w:tblGrid>
        <w:gridCol w:w="1068"/>
        <w:gridCol w:w="3544"/>
        <w:gridCol w:w="994"/>
        <w:gridCol w:w="1172"/>
        <w:gridCol w:w="399"/>
      </w:tblGrid>
      <w:tr w:rsidR="001960C4" w:rsidRPr="00DE50C4" w:rsidTr="00E17C57">
        <w:trPr>
          <w:cantSplit/>
        </w:trPr>
        <w:tc>
          <w:tcPr>
            <w:tcW w:w="1101" w:type="dxa"/>
          </w:tcPr>
          <w:p w:rsidR="001960C4" w:rsidRPr="00DE50C4" w:rsidRDefault="001960C4" w:rsidP="00E17C57">
            <w:pPr>
              <w:rPr>
                <w:rFonts w:ascii="Verdana" w:hAnsi="Verdana"/>
                <w:sz w:val="18"/>
                <w:szCs w:val="18"/>
              </w:rPr>
            </w:pPr>
            <w:r w:rsidRPr="00DE50C4">
              <w:rPr>
                <w:rFonts w:ascii="Verdana" w:hAnsi="Verdana"/>
                <w:sz w:val="18"/>
              </w:rPr>
              <w:t>C-22.4.1</w:t>
            </w:r>
          </w:p>
        </w:tc>
        <w:tc>
          <w:tcPr>
            <w:tcW w:w="3827" w:type="dxa"/>
          </w:tcPr>
          <w:p w:rsidR="001960C4" w:rsidRPr="00DE50C4" w:rsidRDefault="001960C4" w:rsidP="00E17C57">
            <w:pPr>
              <w:rPr>
                <w:rFonts w:ascii="Verdana" w:hAnsi="Verdana"/>
                <w:sz w:val="18"/>
                <w:szCs w:val="18"/>
              </w:rPr>
            </w:pPr>
            <w:r w:rsidRPr="00DE50C4">
              <w:rPr>
                <w:rFonts w:ascii="Verdana" w:hAnsi="Verdana"/>
                <w:sz w:val="18"/>
              </w:rPr>
              <w:t>2 straipsnis kartu su 4 straipsnio 4 dalimi</w:t>
            </w:r>
          </w:p>
        </w:tc>
        <w:tc>
          <w:tcPr>
            <w:tcW w:w="842" w:type="dxa"/>
          </w:tcPr>
          <w:p w:rsidR="001960C4" w:rsidRPr="00DE50C4" w:rsidRDefault="001960C4" w:rsidP="00DE50C4">
            <w:pPr>
              <w:rPr>
                <w:rFonts w:ascii="Verdana" w:hAnsi="Verdana"/>
                <w:sz w:val="18"/>
                <w:szCs w:val="18"/>
              </w:rPr>
            </w:pPr>
            <w:r w:rsidRPr="00DE50C4">
              <w:rPr>
                <w:rFonts w:ascii="Verdana" w:hAnsi="Verdana"/>
                <w:sz w:val="18"/>
              </w:rPr>
              <w:t>525 EUR</w:t>
            </w:r>
          </w:p>
        </w:tc>
        <w:tc>
          <w:tcPr>
            <w:tcW w:w="1001" w:type="dxa"/>
          </w:tcPr>
          <w:p w:rsidR="001960C4" w:rsidRPr="00DE50C4" w:rsidRDefault="001960C4" w:rsidP="00DE50C4">
            <w:pPr>
              <w:rPr>
                <w:rFonts w:ascii="Verdana" w:hAnsi="Verdana"/>
                <w:sz w:val="18"/>
                <w:szCs w:val="18"/>
              </w:rPr>
            </w:pPr>
            <w:r w:rsidRPr="00DE50C4">
              <w:rPr>
                <w:rFonts w:ascii="Verdana" w:hAnsi="Verdana"/>
                <w:sz w:val="18"/>
              </w:rPr>
              <w:t>1 050 EUR</w:t>
            </w:r>
          </w:p>
        </w:tc>
        <w:tc>
          <w:tcPr>
            <w:tcW w:w="406" w:type="dxa"/>
          </w:tcPr>
          <w:p w:rsidR="001960C4" w:rsidRPr="00DE50C4" w:rsidRDefault="001960C4" w:rsidP="00E17C57">
            <w:pPr>
              <w:rPr>
                <w:rFonts w:ascii="Verdana" w:hAnsi="Verdana"/>
                <w:sz w:val="18"/>
                <w:szCs w:val="18"/>
              </w:rPr>
            </w:pPr>
            <w:r w:rsidRPr="00DE50C4">
              <w:rPr>
                <w:rFonts w:ascii="Verdana" w:hAnsi="Verdana"/>
                <w:sz w:val="18"/>
              </w:rPr>
              <w:t>X</w:t>
            </w:r>
          </w:p>
        </w:tc>
      </w:tr>
    </w:tbl>
    <w:p w:rsidR="00B67E83" w:rsidRPr="00DE50C4" w:rsidRDefault="00B67E83" w:rsidP="00E17C57">
      <w:pPr>
        <w:ind w:left="2268"/>
        <w:rPr>
          <w:rFonts w:ascii="Verdana" w:hAnsi="Verdana"/>
          <w:sz w:val="18"/>
          <w:szCs w:val="18"/>
        </w:rPr>
      </w:pPr>
    </w:p>
    <w:p w:rsidR="001960C4" w:rsidRPr="00DE50C4" w:rsidRDefault="001960C4" w:rsidP="00E17C57">
      <w:pPr>
        <w:ind w:left="2268"/>
        <w:rPr>
          <w:rFonts w:ascii="Verdana" w:hAnsi="Verdana"/>
          <w:sz w:val="18"/>
          <w:szCs w:val="18"/>
        </w:rPr>
      </w:pPr>
    </w:p>
    <w:p w:rsidR="00B56093" w:rsidRPr="00DE50C4" w:rsidRDefault="00F517C1" w:rsidP="00E17C57">
      <w:pPr>
        <w:keepNext/>
        <w:keepLines/>
        <w:ind w:left="2268"/>
        <w:rPr>
          <w:rFonts w:ascii="Verdana" w:hAnsi="Verdana"/>
          <w:b/>
          <w:sz w:val="18"/>
          <w:szCs w:val="18"/>
        </w:rPr>
      </w:pPr>
      <w:r w:rsidRPr="00DE50C4">
        <w:rPr>
          <w:rFonts w:ascii="Verdana" w:hAnsi="Verdana"/>
          <w:b/>
          <w:sz w:val="18"/>
        </w:rPr>
        <w:t>III straipsnis</w:t>
      </w:r>
    </w:p>
    <w:p w:rsidR="00B56093" w:rsidRPr="00DE50C4" w:rsidRDefault="00B56093" w:rsidP="00E17C57">
      <w:pPr>
        <w:keepNext/>
        <w:keepLines/>
        <w:ind w:left="2268"/>
        <w:rPr>
          <w:rFonts w:ascii="Verdana" w:hAnsi="Verdana"/>
          <w:sz w:val="18"/>
          <w:szCs w:val="18"/>
        </w:rPr>
      </w:pPr>
    </w:p>
    <w:p w:rsidR="00D9610F" w:rsidRPr="00DE50C4" w:rsidRDefault="00D9610F" w:rsidP="00E17C57">
      <w:pPr>
        <w:ind w:left="2836" w:hanging="568"/>
        <w:rPr>
          <w:rFonts w:ascii="Verdana" w:hAnsi="Verdana"/>
          <w:sz w:val="18"/>
          <w:szCs w:val="18"/>
        </w:rPr>
      </w:pPr>
      <w:r w:rsidRPr="00DE50C4">
        <w:rPr>
          <w:rFonts w:ascii="Verdana" w:hAnsi="Verdana"/>
          <w:sz w:val="18"/>
        </w:rPr>
        <w:t>Šis dekretas įsigalioja 2020 m. sausio 1 d.</w:t>
      </w:r>
    </w:p>
    <w:p w:rsidR="003143CD" w:rsidRPr="00DE50C4" w:rsidRDefault="003143CD" w:rsidP="00E17C57">
      <w:pPr>
        <w:ind w:left="2268"/>
        <w:rPr>
          <w:rFonts w:ascii="Verdana" w:hAnsi="Verdana"/>
          <w:sz w:val="18"/>
          <w:szCs w:val="18"/>
        </w:rPr>
      </w:pPr>
    </w:p>
    <w:p w:rsidR="003143CD" w:rsidRPr="00DE50C4" w:rsidRDefault="007E7D62" w:rsidP="00E17C57">
      <w:pPr>
        <w:ind w:left="2268"/>
        <w:rPr>
          <w:rFonts w:ascii="Verdana" w:hAnsi="Verdana"/>
          <w:snapToGrid w:val="0"/>
          <w:sz w:val="18"/>
          <w:szCs w:val="18"/>
        </w:rPr>
      </w:pPr>
      <w:r w:rsidRPr="00DE50C4">
        <w:rPr>
          <w:rFonts w:ascii="Verdana" w:hAnsi="Verdana"/>
          <w:snapToGrid w:val="0"/>
          <w:sz w:val="18"/>
        </w:rPr>
        <w:t>Įsakau šį dekretą ir susijusį aiškinamąjį memorandumą paskelbti Įstatymų ir dekretų biuletenyje.</w:t>
      </w:r>
    </w:p>
    <w:p w:rsidR="003143CD" w:rsidRPr="00DE50C4" w:rsidRDefault="003143CD" w:rsidP="00E17C57">
      <w:pPr>
        <w:ind w:left="2268"/>
        <w:rPr>
          <w:rFonts w:ascii="Verdana" w:hAnsi="Verdana"/>
          <w:snapToGrid w:val="0"/>
          <w:sz w:val="18"/>
          <w:szCs w:val="18"/>
        </w:rPr>
      </w:pPr>
    </w:p>
    <w:p w:rsidR="003143CD" w:rsidRPr="00DE50C4" w:rsidRDefault="003143CD" w:rsidP="00E17C57">
      <w:pPr>
        <w:tabs>
          <w:tab w:val="left" w:pos="2268"/>
        </w:tabs>
        <w:ind w:left="2268"/>
        <w:rPr>
          <w:rFonts w:ascii="Verdana" w:hAnsi="Verdana"/>
          <w:kern w:val="2"/>
          <w:sz w:val="18"/>
          <w:szCs w:val="18"/>
        </w:rPr>
      </w:pPr>
      <w:r w:rsidRPr="00DE50C4">
        <w:rPr>
          <w:rFonts w:ascii="Verdana" w:hAnsi="Verdana"/>
          <w:sz w:val="18"/>
        </w:rPr>
        <w:t>Medicininės priežiūros ministras</w:t>
      </w: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r w:rsidRPr="00DE50C4">
        <w:rPr>
          <w:rFonts w:ascii="Verdana" w:hAnsi="Verdana"/>
          <w:sz w:val="18"/>
        </w:rPr>
        <w:t>B. J. Bruins</w:t>
      </w:r>
    </w:p>
    <w:p w:rsidR="005B43ED" w:rsidRPr="00DE50C4" w:rsidRDefault="007E7D62" w:rsidP="00E17C57">
      <w:pPr>
        <w:keepNext/>
        <w:keepLines/>
        <w:pageBreakBefore/>
        <w:tabs>
          <w:tab w:val="left" w:pos="2268"/>
        </w:tabs>
        <w:ind w:left="2268"/>
        <w:rPr>
          <w:rFonts w:ascii="Verdana" w:hAnsi="Verdana"/>
          <w:sz w:val="18"/>
          <w:szCs w:val="18"/>
        </w:rPr>
      </w:pPr>
      <w:r w:rsidRPr="00DE50C4">
        <w:rPr>
          <w:rFonts w:ascii="Verdana" w:hAnsi="Verdana"/>
          <w:b/>
          <w:sz w:val="18"/>
        </w:rPr>
        <w:lastRenderedPageBreak/>
        <w:t>Aiškinamasis memorandumas</w:t>
      </w:r>
    </w:p>
    <w:p w:rsidR="00B24606" w:rsidRPr="00DE50C4" w:rsidRDefault="00B24606" w:rsidP="00E17C57">
      <w:pPr>
        <w:keepNext/>
        <w:keepLines/>
        <w:tabs>
          <w:tab w:val="left" w:pos="2268"/>
        </w:tabs>
        <w:ind w:left="2268"/>
        <w:rPr>
          <w:rFonts w:ascii="Verdana" w:hAnsi="Verdana"/>
          <w:kern w:val="2"/>
          <w:sz w:val="18"/>
          <w:szCs w:val="18"/>
        </w:rPr>
      </w:pPr>
    </w:p>
    <w:p w:rsidR="0064439B" w:rsidRPr="00DE50C4" w:rsidRDefault="00F07731" w:rsidP="00E17C57">
      <w:pPr>
        <w:keepNext/>
        <w:keepLines/>
        <w:tabs>
          <w:tab w:val="left" w:pos="2268"/>
        </w:tabs>
        <w:ind w:left="2268"/>
        <w:rPr>
          <w:rFonts w:ascii="Verdana" w:hAnsi="Verdana"/>
          <w:b/>
          <w:kern w:val="2"/>
          <w:sz w:val="18"/>
          <w:szCs w:val="18"/>
        </w:rPr>
      </w:pPr>
      <w:r w:rsidRPr="00DE50C4">
        <w:rPr>
          <w:rFonts w:ascii="Verdana" w:hAnsi="Verdana"/>
          <w:b/>
          <w:sz w:val="18"/>
        </w:rPr>
        <w:t>1. Bendroji dalis</w:t>
      </w:r>
    </w:p>
    <w:p w:rsidR="00B24606" w:rsidRPr="00DE50C4" w:rsidRDefault="00B24606" w:rsidP="00E17C57">
      <w:pPr>
        <w:keepNext/>
        <w:keepLines/>
        <w:tabs>
          <w:tab w:val="left" w:pos="2268"/>
        </w:tabs>
        <w:ind w:left="2268"/>
        <w:rPr>
          <w:rFonts w:ascii="Verdana" w:hAnsi="Verdana"/>
          <w:kern w:val="2"/>
          <w:sz w:val="18"/>
          <w:szCs w:val="18"/>
        </w:rPr>
      </w:pPr>
    </w:p>
    <w:p w:rsidR="00B428D8" w:rsidRPr="00DE50C4" w:rsidRDefault="00B24606" w:rsidP="00E17C57">
      <w:pPr>
        <w:tabs>
          <w:tab w:val="left" w:pos="2268"/>
        </w:tabs>
        <w:ind w:left="2268"/>
        <w:rPr>
          <w:rFonts w:ascii="Verdana" w:hAnsi="Verdana"/>
          <w:kern w:val="2"/>
          <w:sz w:val="18"/>
          <w:szCs w:val="18"/>
        </w:rPr>
      </w:pPr>
      <w:r w:rsidRPr="00DE50C4">
        <w:rPr>
          <w:rFonts w:ascii="Verdana" w:hAnsi="Verdana"/>
          <w:sz w:val="18"/>
        </w:rPr>
        <w:t>Augalinių preparatų (Prekių įstatymas) dekrete išdėstyti augaliniams preparatams keliami reikalavimai siekiant apsaugoti visuomenės sveikatą. Remiantis augalų rizikos vertinimu, į dekretą įtraukiamas kai kurių augalų draudimas. Be to, į dekretą nuspręsta įtraukti kai kurių kenksmingųjų medžiagų iš augalų ir grybų draudimą augaliniuose preparatuose (I straipsnio A dalies 2 punktas). Taip pagerinamas Augalinių preparatų (Prekių įstatymas) dekreto įgyvendinamumas. Dėl to vartotojai bus geriau apsaugoti nuo produktų, kurie galėtų būti kenksmingi jų sveikatai.</w:t>
      </w:r>
    </w:p>
    <w:p w:rsidR="003B5162" w:rsidRPr="00DE50C4" w:rsidRDefault="003B5162" w:rsidP="00E17C57">
      <w:pPr>
        <w:tabs>
          <w:tab w:val="left" w:pos="2268"/>
        </w:tabs>
        <w:ind w:left="2268"/>
        <w:rPr>
          <w:rFonts w:ascii="Verdana" w:hAnsi="Verdana"/>
          <w:kern w:val="2"/>
          <w:sz w:val="18"/>
          <w:szCs w:val="18"/>
        </w:rPr>
      </w:pPr>
    </w:p>
    <w:p w:rsidR="003B5162" w:rsidRPr="00DE50C4" w:rsidRDefault="003B5162" w:rsidP="00E17C57">
      <w:pPr>
        <w:tabs>
          <w:tab w:val="left" w:pos="2268"/>
        </w:tabs>
        <w:ind w:left="2268"/>
        <w:rPr>
          <w:rFonts w:ascii="Verdana" w:hAnsi="Verdana"/>
          <w:kern w:val="2"/>
          <w:sz w:val="18"/>
          <w:szCs w:val="18"/>
        </w:rPr>
      </w:pPr>
      <w:r w:rsidRPr="00DE50C4">
        <w:rPr>
          <w:rFonts w:ascii="Verdana" w:hAnsi="Verdana"/>
          <w:sz w:val="18"/>
        </w:rPr>
        <w:t>Prekių įstatymo 13d straipsnyje pateikiama tarpusavio pripažinimo sąlyga. Taikant tarpusavio pripažinimo principą, ES valstybė narė neturi uždrausti prekiauti prekėmis, kurios buvo teisėtai įvežtos į rinką kitoje ES valstybėje narėje jos pačios teritorijoje dėl to, kad prekės neatitinka jos nacionalinių taisyklių. Ypač svarbu, kad prekėmis iš kitos ES valstybės narės būtų užtikrinamas bent toks pat apsaugos lygis. Taigi prekyba prekėmis iš kitų ES valstybių narių, kurioms taikomas šis dekretas, nebus draudžiama dėl šiame dekrete nustatytų reikalavimų.</w:t>
      </w:r>
    </w:p>
    <w:p w:rsidR="003B5162" w:rsidRPr="00DE50C4" w:rsidRDefault="003B5162" w:rsidP="00E17C57">
      <w:pPr>
        <w:tabs>
          <w:tab w:val="left" w:pos="2268"/>
        </w:tabs>
        <w:ind w:left="2268"/>
        <w:rPr>
          <w:rFonts w:ascii="Verdana" w:hAnsi="Verdana"/>
          <w:kern w:val="2"/>
          <w:sz w:val="18"/>
          <w:szCs w:val="18"/>
        </w:rPr>
      </w:pPr>
    </w:p>
    <w:p w:rsidR="003B5162" w:rsidRPr="00DE50C4" w:rsidRDefault="003B5162" w:rsidP="00E17C57">
      <w:pPr>
        <w:tabs>
          <w:tab w:val="left" w:pos="2268"/>
        </w:tabs>
        <w:ind w:left="2268"/>
        <w:rPr>
          <w:rFonts w:ascii="Verdana" w:hAnsi="Verdana"/>
          <w:kern w:val="2"/>
          <w:sz w:val="18"/>
          <w:szCs w:val="18"/>
        </w:rPr>
      </w:pPr>
      <w:r w:rsidRPr="00DE50C4">
        <w:rPr>
          <w:rFonts w:ascii="Verdana" w:hAnsi="Verdana"/>
          <w:sz w:val="18"/>
        </w:rPr>
        <w:t>Šiame dekrete prekėms keliami reikalavimai yra pateisinami siekiant apsaugoti vartotojus nuo nesaugių produktų.</w:t>
      </w:r>
    </w:p>
    <w:p w:rsidR="00E17C57" w:rsidRPr="00DE50C4" w:rsidRDefault="00E17C57" w:rsidP="00E17C57">
      <w:pPr>
        <w:tabs>
          <w:tab w:val="left" w:pos="2268"/>
        </w:tabs>
        <w:ind w:left="2268"/>
        <w:rPr>
          <w:rFonts w:ascii="Verdana" w:hAnsi="Verdana"/>
          <w:kern w:val="2"/>
          <w:sz w:val="18"/>
          <w:szCs w:val="18"/>
        </w:rPr>
      </w:pPr>
    </w:p>
    <w:p w:rsidR="00B428D8" w:rsidRPr="00DE50C4" w:rsidRDefault="00F07731" w:rsidP="00E17C57">
      <w:pPr>
        <w:keepNext/>
        <w:keepLines/>
        <w:tabs>
          <w:tab w:val="left" w:pos="2268"/>
        </w:tabs>
        <w:ind w:left="2268"/>
        <w:rPr>
          <w:rFonts w:ascii="Verdana" w:hAnsi="Verdana"/>
          <w:b/>
          <w:kern w:val="2"/>
          <w:sz w:val="18"/>
          <w:szCs w:val="18"/>
        </w:rPr>
      </w:pPr>
      <w:r w:rsidRPr="00DE50C4">
        <w:rPr>
          <w:rFonts w:ascii="Verdana" w:hAnsi="Verdana"/>
          <w:b/>
          <w:sz w:val="18"/>
        </w:rPr>
        <w:t>2. Poveikis reguliavimo naštai</w:t>
      </w:r>
    </w:p>
    <w:p w:rsidR="00B428D8" w:rsidRPr="00DE50C4" w:rsidRDefault="00B428D8" w:rsidP="00E17C57">
      <w:pPr>
        <w:keepNext/>
        <w:keepLines/>
        <w:tabs>
          <w:tab w:val="left" w:pos="2268"/>
        </w:tabs>
        <w:ind w:left="2268"/>
        <w:rPr>
          <w:rFonts w:ascii="Verdana" w:hAnsi="Verdana"/>
          <w:kern w:val="2"/>
          <w:sz w:val="18"/>
          <w:szCs w:val="18"/>
        </w:rPr>
      </w:pPr>
    </w:p>
    <w:p w:rsidR="00B428D8" w:rsidRPr="00DE50C4" w:rsidRDefault="00B428D8" w:rsidP="00E17C57">
      <w:pPr>
        <w:tabs>
          <w:tab w:val="left" w:pos="2268"/>
        </w:tabs>
        <w:ind w:left="2268"/>
        <w:rPr>
          <w:rFonts w:ascii="Verdana" w:hAnsi="Verdana"/>
          <w:kern w:val="2"/>
          <w:sz w:val="18"/>
          <w:szCs w:val="18"/>
        </w:rPr>
      </w:pPr>
      <w:r w:rsidRPr="00DE50C4">
        <w:rPr>
          <w:rFonts w:ascii="Verdana" w:hAnsi="Verdana"/>
          <w:sz w:val="18"/>
        </w:rPr>
        <w:t>Tikimasi, kad šis dekretas turės ribotą poveikį verslo bendruomenės reguliavimo naštai. Iš sektoriaus gauta informacija rodo, kad produktų, kuriuos reikia pakeisti, kiekis yra ribotas. Turint omenyje ilgą laikotarpį ruošiantis šiam pokyčiui, įskaitant pakartotines konsultacijas su visomis šalimis, gamintojai turėjo pakankamai laiko pasirūpinti, kad jų produktai atitiktų naujus reikalavimus. Informacijos sąnaudos yra lygios nuliui. Nyderlandų reguliavimo naštos patariamoji taryba pritaria analizei ir išvadoms dėl poveikio reguliavimo naštai.</w:t>
      </w:r>
    </w:p>
    <w:p w:rsidR="00B428D8" w:rsidRPr="00DE50C4" w:rsidRDefault="00B428D8" w:rsidP="00E17C57">
      <w:pPr>
        <w:tabs>
          <w:tab w:val="left" w:pos="2268"/>
        </w:tabs>
        <w:ind w:left="2268"/>
        <w:rPr>
          <w:rFonts w:ascii="Verdana" w:hAnsi="Verdana"/>
          <w:kern w:val="2"/>
          <w:sz w:val="18"/>
          <w:szCs w:val="18"/>
        </w:rPr>
      </w:pPr>
    </w:p>
    <w:p w:rsidR="00B428D8" w:rsidRPr="00DE50C4" w:rsidRDefault="00F07731" w:rsidP="00E17C57">
      <w:pPr>
        <w:keepNext/>
        <w:keepLines/>
        <w:tabs>
          <w:tab w:val="left" w:pos="2268"/>
        </w:tabs>
        <w:ind w:left="2268"/>
        <w:rPr>
          <w:rFonts w:ascii="Verdana" w:hAnsi="Verdana"/>
          <w:b/>
          <w:kern w:val="2"/>
          <w:sz w:val="18"/>
          <w:szCs w:val="18"/>
        </w:rPr>
      </w:pPr>
      <w:r w:rsidRPr="00DE50C4">
        <w:rPr>
          <w:rFonts w:ascii="Verdana" w:hAnsi="Verdana"/>
          <w:b/>
          <w:sz w:val="18"/>
        </w:rPr>
        <w:t>3. Nuolatinė Prekių įstatymo konsultacijų grupė</w:t>
      </w:r>
    </w:p>
    <w:p w:rsidR="00B428D8" w:rsidRPr="00DE50C4" w:rsidRDefault="00B428D8" w:rsidP="00E17C57">
      <w:pPr>
        <w:keepNext/>
        <w:keepLines/>
        <w:tabs>
          <w:tab w:val="left" w:pos="2268"/>
        </w:tabs>
        <w:ind w:left="2268"/>
        <w:rPr>
          <w:rFonts w:ascii="Verdana" w:hAnsi="Verdana"/>
          <w:kern w:val="2"/>
          <w:sz w:val="18"/>
          <w:szCs w:val="18"/>
        </w:rPr>
      </w:pPr>
    </w:p>
    <w:p w:rsidR="00B428D8" w:rsidRPr="00DE50C4" w:rsidRDefault="00B428D8" w:rsidP="00E17C57">
      <w:pPr>
        <w:tabs>
          <w:tab w:val="left" w:pos="2268"/>
        </w:tabs>
        <w:ind w:left="2268"/>
        <w:rPr>
          <w:rFonts w:ascii="Verdana" w:hAnsi="Verdana"/>
          <w:kern w:val="2"/>
          <w:sz w:val="18"/>
          <w:szCs w:val="18"/>
        </w:rPr>
      </w:pPr>
      <w:r w:rsidRPr="00DE50C4">
        <w:rPr>
          <w:rFonts w:ascii="Verdana" w:hAnsi="Verdana"/>
          <w:sz w:val="18"/>
        </w:rPr>
        <w:t>Šio dekreto projektas buvo pateiktas Nuolatinės Prekių įstatymo konsultacijų grupės nariams</w:t>
      </w:r>
      <w:r w:rsidRPr="00DE50C4">
        <w:rPr>
          <w:rStyle w:val="FootnoteReference"/>
          <w:rFonts w:ascii="Verdana" w:hAnsi="Verdana"/>
          <w:kern w:val="2"/>
          <w:sz w:val="18"/>
        </w:rPr>
        <w:footnoteReference w:id="1"/>
      </w:r>
      <w:r w:rsidRPr="00DE50C4">
        <w:rPr>
          <w:rFonts w:ascii="Verdana" w:hAnsi="Verdana"/>
          <w:sz w:val="18"/>
        </w:rPr>
        <w:t xml:space="preserve">. Diskusijos metu paaiškėjo, kad nėra galimybės uždrausti sinefrino augaliniuose preparatuose, nes šios natūralios medžiagos taip pat yra maisto produktuose (pvz., apelsinų marmelade). Siekiant užtikrinti, kad vartotojai nebūtų veikiami tokio sinefrino kiekio, kuris būtų kenksmingas jų sveikatai, Nyderlandų nacionalinio visuomenės sveikatos ir aplinkos instituto bei Nyderlandų maisto ir vartotojų produktų saugos tarnybos Rizikų vertinimo ir tyrimo biuro buvo paprašyta pateikti rekomendaciją dėl didžiausio sinefrino kiekio augaliniuose preparatuose. Remdamasis Nyderlandų nacionalinio visuomenės sveikatos ir aplinkos </w:t>
      </w:r>
      <w:r w:rsidRPr="00DE50C4">
        <w:rPr>
          <w:rFonts w:ascii="Verdana" w:hAnsi="Verdana"/>
          <w:sz w:val="18"/>
        </w:rPr>
        <w:lastRenderedPageBreak/>
        <w:t>instituto</w:t>
      </w:r>
      <w:r w:rsidRPr="00DE50C4">
        <w:rPr>
          <w:rStyle w:val="FootnoteReference"/>
          <w:rFonts w:ascii="Verdana" w:hAnsi="Verdana"/>
          <w:kern w:val="2"/>
          <w:sz w:val="18"/>
        </w:rPr>
        <w:footnoteReference w:id="2"/>
      </w:r>
      <w:r w:rsidRPr="00DE50C4">
        <w:rPr>
          <w:rFonts w:ascii="Verdana" w:hAnsi="Verdana"/>
          <w:sz w:val="18"/>
        </w:rPr>
        <w:t xml:space="preserve"> pateikta ataskaita, Rizikų vertinimo ir tyrimo biuras</w:t>
      </w:r>
      <w:r w:rsidRPr="00DE50C4">
        <w:rPr>
          <w:rStyle w:val="FootnoteReference"/>
          <w:rFonts w:ascii="Verdana" w:hAnsi="Verdana"/>
          <w:kern w:val="2"/>
          <w:sz w:val="18"/>
        </w:rPr>
        <w:footnoteReference w:id="3"/>
      </w:r>
      <w:r w:rsidRPr="00DE50C4">
        <w:rPr>
          <w:rFonts w:ascii="Verdana" w:hAnsi="Verdana"/>
          <w:sz w:val="18"/>
        </w:rPr>
        <w:t xml:space="preserve"> didžiausią sinefrino kiekį augaliniuose preparatuose pataria riboti iki 27 mg sinefrino per dieną laikantis vartojimo instrukcijos nurodymų. Be to augaliniuose preparatuose neleidžiama naudoti m-sinefrino ir o-sinefrino.</w:t>
      </w:r>
    </w:p>
    <w:p w:rsidR="008E734A" w:rsidRPr="00DE50C4" w:rsidRDefault="00586978" w:rsidP="00E17C57">
      <w:pPr>
        <w:tabs>
          <w:tab w:val="left" w:pos="2268"/>
        </w:tabs>
        <w:ind w:left="2268"/>
        <w:rPr>
          <w:rFonts w:ascii="Verdana" w:hAnsi="Verdana"/>
          <w:kern w:val="2"/>
          <w:sz w:val="18"/>
          <w:szCs w:val="18"/>
        </w:rPr>
      </w:pPr>
      <w:r w:rsidRPr="00DE50C4">
        <w:rPr>
          <w:rFonts w:ascii="Verdana" w:hAnsi="Verdana"/>
          <w:sz w:val="18"/>
        </w:rPr>
        <w:t>Be to, Nuolatinė Prekių įstatymo konsultacijų grupė vis dar diskutuoja dėl to, kaip tinkamai aiškinti terminą „dariniai“. Keliamas klausimas, ar šis priedas iš tiesų būtinas. Jei taip, kaip šis terminas turėtų būti apibrėžtas. Šis klausimas buvo išnagrinėtas ir, atsižvelgus į tai, kad yra daug galimų kenksmingųjų medžiagų variantų, nuspręsta šį terminą vartoti ir toliau. Tai taikoma medžiagoms, gaunamoms iš kitų medžiagų.</w:t>
      </w:r>
    </w:p>
    <w:p w:rsidR="00A27E62" w:rsidRPr="00DE50C4" w:rsidRDefault="00A27E62" w:rsidP="00E17C57">
      <w:pPr>
        <w:tabs>
          <w:tab w:val="left" w:pos="2268"/>
        </w:tabs>
        <w:ind w:left="2268"/>
        <w:rPr>
          <w:rFonts w:ascii="Verdana" w:hAnsi="Verdana"/>
          <w:kern w:val="2"/>
          <w:sz w:val="18"/>
          <w:szCs w:val="18"/>
        </w:rPr>
      </w:pPr>
    </w:p>
    <w:p w:rsidR="00A27E62" w:rsidRPr="00DE50C4" w:rsidRDefault="00F07731" w:rsidP="00E17C57">
      <w:pPr>
        <w:keepNext/>
        <w:keepLines/>
        <w:tabs>
          <w:tab w:val="left" w:pos="2268"/>
        </w:tabs>
        <w:ind w:left="2268"/>
        <w:rPr>
          <w:rFonts w:ascii="Verdana" w:hAnsi="Verdana"/>
          <w:b/>
          <w:kern w:val="2"/>
          <w:sz w:val="18"/>
          <w:szCs w:val="18"/>
        </w:rPr>
      </w:pPr>
      <w:r w:rsidRPr="00DE50C4">
        <w:rPr>
          <w:rFonts w:ascii="Verdana" w:hAnsi="Verdana"/>
          <w:b/>
          <w:sz w:val="18"/>
        </w:rPr>
        <w:t>4. Vykdymo užtikrinimas ir įgyvendinamumas</w:t>
      </w:r>
    </w:p>
    <w:p w:rsidR="00E17C57" w:rsidRPr="00DE50C4" w:rsidRDefault="00E17C57" w:rsidP="00E17C57">
      <w:pPr>
        <w:keepNext/>
        <w:keepLines/>
        <w:tabs>
          <w:tab w:val="left" w:pos="2268"/>
        </w:tabs>
        <w:ind w:left="2268"/>
        <w:rPr>
          <w:rFonts w:ascii="Verdana" w:hAnsi="Verdana"/>
          <w:kern w:val="2"/>
          <w:sz w:val="18"/>
          <w:szCs w:val="18"/>
        </w:rPr>
      </w:pPr>
    </w:p>
    <w:p w:rsidR="00A27E62" w:rsidRPr="00DE50C4" w:rsidRDefault="00A27E62" w:rsidP="00E17C57">
      <w:pPr>
        <w:tabs>
          <w:tab w:val="left" w:pos="2268"/>
        </w:tabs>
        <w:ind w:left="2268"/>
        <w:rPr>
          <w:rFonts w:ascii="Verdana" w:hAnsi="Verdana"/>
          <w:kern w:val="2"/>
          <w:sz w:val="18"/>
          <w:szCs w:val="18"/>
        </w:rPr>
      </w:pPr>
      <w:r w:rsidRPr="00DE50C4">
        <w:rPr>
          <w:rFonts w:ascii="Verdana" w:hAnsi="Verdana"/>
          <w:sz w:val="18"/>
        </w:rPr>
        <w:t>Šio dekreto vykdymo užtikrinimą, įgyvendinamumą ir apsaugą nuo sukčiavimo įvertino Nyderlandų maisto ir vartotojų produktų saugos tarnyba. Jos manymu, dekreto projektas yra įvykdomas ir įgyvendinamas. Atsižvelgus į šį dekreto projektą, nėra jokio pagrindo pastaboms dėl apsaugos nuo sukčiavimo.</w:t>
      </w:r>
    </w:p>
    <w:p w:rsidR="00586978" w:rsidRPr="00DE50C4" w:rsidRDefault="00586978" w:rsidP="00E17C57">
      <w:pPr>
        <w:tabs>
          <w:tab w:val="left" w:pos="2268"/>
        </w:tabs>
        <w:ind w:left="2268"/>
        <w:rPr>
          <w:rFonts w:ascii="Verdana" w:hAnsi="Verdana"/>
          <w:kern w:val="2"/>
          <w:sz w:val="18"/>
          <w:szCs w:val="18"/>
        </w:rPr>
      </w:pPr>
    </w:p>
    <w:p w:rsidR="008E734A" w:rsidRPr="00DE50C4" w:rsidRDefault="00F07731" w:rsidP="00E17C57">
      <w:pPr>
        <w:keepNext/>
        <w:keepLines/>
        <w:tabs>
          <w:tab w:val="left" w:pos="2268"/>
        </w:tabs>
        <w:ind w:left="2268"/>
        <w:rPr>
          <w:rFonts w:ascii="Verdana" w:hAnsi="Verdana"/>
          <w:b/>
          <w:kern w:val="2"/>
          <w:sz w:val="18"/>
          <w:szCs w:val="18"/>
        </w:rPr>
      </w:pPr>
      <w:r w:rsidRPr="00DE50C4">
        <w:rPr>
          <w:rFonts w:ascii="Verdana" w:hAnsi="Verdana"/>
          <w:b/>
          <w:sz w:val="18"/>
        </w:rPr>
        <w:t>5. Preliminarus nagrinėjimas</w:t>
      </w:r>
    </w:p>
    <w:p w:rsidR="00E17C57" w:rsidRPr="00DE50C4" w:rsidRDefault="00E17C57" w:rsidP="00E17C57">
      <w:pPr>
        <w:keepNext/>
        <w:keepLines/>
        <w:tabs>
          <w:tab w:val="left" w:pos="2268"/>
        </w:tabs>
        <w:ind w:left="2268"/>
        <w:rPr>
          <w:rFonts w:ascii="Verdana" w:hAnsi="Verdana"/>
          <w:kern w:val="2"/>
          <w:sz w:val="18"/>
          <w:szCs w:val="18"/>
        </w:rPr>
      </w:pPr>
    </w:p>
    <w:p w:rsidR="008E734A" w:rsidRPr="00DE50C4" w:rsidRDefault="008E734A" w:rsidP="00E17C57">
      <w:pPr>
        <w:tabs>
          <w:tab w:val="left" w:pos="2268"/>
        </w:tabs>
        <w:ind w:left="2268"/>
        <w:rPr>
          <w:rFonts w:ascii="Verdana" w:hAnsi="Verdana"/>
          <w:kern w:val="2"/>
          <w:sz w:val="18"/>
          <w:szCs w:val="18"/>
        </w:rPr>
      </w:pPr>
      <w:r w:rsidRPr="00DE50C4">
        <w:rPr>
          <w:rFonts w:ascii="Verdana" w:hAnsi="Verdana"/>
          <w:sz w:val="18"/>
        </w:rPr>
        <w:t xml:space="preserve">Vadovaujantis Prekių įstatymo 32b straipsnio 2 dalimi, šios bendrosios administracinės taisyklės projektas buvo išsiųstas </w:t>
      </w:r>
      <w:r w:rsidR="00DE50C4" w:rsidRPr="00DE50C4">
        <w:rPr>
          <w:rFonts w:ascii="Verdana" w:hAnsi="Verdana"/>
          <w:b/>
          <w:sz w:val="18"/>
        </w:rPr>
        <w:t>[</w:t>
      </w:r>
      <w:r w:rsidRPr="00DE50C4">
        <w:rPr>
          <w:rFonts w:ascii="Verdana" w:hAnsi="Verdana"/>
          <w:b/>
          <w:sz w:val="18"/>
        </w:rPr>
        <w:t>data</w:t>
      </w:r>
      <w:r w:rsidR="00DE50C4" w:rsidRPr="00DE50C4">
        <w:rPr>
          <w:rFonts w:ascii="Verdana" w:hAnsi="Verdana"/>
          <w:b/>
          <w:sz w:val="18"/>
        </w:rPr>
        <w:t>]</w:t>
      </w:r>
      <w:r w:rsidRPr="00DE50C4">
        <w:rPr>
          <w:rFonts w:ascii="Verdana" w:hAnsi="Verdana"/>
          <w:sz w:val="18"/>
        </w:rPr>
        <w:t xml:space="preserve"> abejiem</w:t>
      </w:r>
      <w:r w:rsidR="00DE50C4" w:rsidRPr="00DE50C4">
        <w:rPr>
          <w:rFonts w:ascii="Verdana" w:hAnsi="Verdana"/>
          <w:sz w:val="18"/>
        </w:rPr>
        <w:t>s Nyderlandų Parlamento rūmams [</w:t>
      </w:r>
      <w:r w:rsidRPr="00DE50C4">
        <w:rPr>
          <w:rFonts w:ascii="Verdana" w:hAnsi="Verdana"/>
          <w:sz w:val="18"/>
        </w:rPr>
        <w:t xml:space="preserve">Parlamento dokumentai </w:t>
      </w:r>
      <w:r w:rsidRPr="00DE50C4">
        <w:rPr>
          <w:rFonts w:ascii="Verdana" w:hAnsi="Verdana"/>
          <w:b/>
          <w:sz w:val="18"/>
        </w:rPr>
        <w:t>PM</w:t>
      </w:r>
      <w:r w:rsidR="00DE50C4" w:rsidRPr="00DE50C4">
        <w:rPr>
          <w:rFonts w:ascii="Verdana" w:hAnsi="Verdana"/>
          <w:sz w:val="18"/>
        </w:rPr>
        <w:t>]</w:t>
      </w:r>
      <w:r w:rsidRPr="00DE50C4">
        <w:rPr>
          <w:rFonts w:ascii="Verdana" w:hAnsi="Verdana"/>
          <w:sz w:val="18"/>
        </w:rPr>
        <w:t>.</w:t>
      </w:r>
    </w:p>
    <w:p w:rsidR="00610A2C" w:rsidRPr="00DE50C4" w:rsidRDefault="00610A2C" w:rsidP="00E17C57">
      <w:pPr>
        <w:tabs>
          <w:tab w:val="left" w:pos="2268"/>
        </w:tabs>
        <w:ind w:left="2268"/>
        <w:rPr>
          <w:rFonts w:ascii="Verdana" w:hAnsi="Verdana"/>
          <w:kern w:val="2"/>
          <w:sz w:val="18"/>
          <w:szCs w:val="18"/>
        </w:rPr>
      </w:pPr>
    </w:p>
    <w:p w:rsidR="00B428D8" w:rsidRPr="00DE50C4" w:rsidRDefault="00F07731" w:rsidP="00E17C57">
      <w:pPr>
        <w:keepNext/>
        <w:keepLines/>
        <w:tabs>
          <w:tab w:val="left" w:pos="2268"/>
        </w:tabs>
        <w:ind w:left="2268"/>
        <w:rPr>
          <w:rFonts w:ascii="Verdana" w:hAnsi="Verdana"/>
          <w:kern w:val="2"/>
          <w:sz w:val="18"/>
          <w:szCs w:val="18"/>
        </w:rPr>
      </w:pPr>
      <w:r w:rsidRPr="00DE50C4">
        <w:rPr>
          <w:rFonts w:ascii="Verdana" w:hAnsi="Verdana"/>
          <w:b/>
          <w:sz w:val="18"/>
        </w:rPr>
        <w:t>6. Pranešimas</w:t>
      </w:r>
    </w:p>
    <w:p w:rsidR="00E17C57" w:rsidRPr="00DE50C4" w:rsidRDefault="00E17C57" w:rsidP="00E17C57">
      <w:pPr>
        <w:keepNext/>
        <w:keepLines/>
        <w:tabs>
          <w:tab w:val="left" w:pos="2268"/>
        </w:tabs>
        <w:ind w:left="2268"/>
        <w:rPr>
          <w:rFonts w:ascii="Verdana" w:hAnsi="Verdana"/>
          <w:sz w:val="18"/>
          <w:szCs w:val="18"/>
        </w:rPr>
      </w:pPr>
    </w:p>
    <w:p w:rsidR="00B428D8" w:rsidRPr="00DE50C4" w:rsidRDefault="009345F8" w:rsidP="00E17C57">
      <w:pPr>
        <w:tabs>
          <w:tab w:val="left" w:pos="2268"/>
        </w:tabs>
        <w:ind w:left="2268"/>
        <w:rPr>
          <w:rFonts w:ascii="Verdana" w:hAnsi="Verdana"/>
          <w:sz w:val="18"/>
          <w:szCs w:val="18"/>
        </w:rPr>
      </w:pPr>
      <w:r w:rsidRPr="00DE50C4">
        <w:rPr>
          <w:rFonts w:ascii="Verdana" w:hAnsi="Verdana"/>
          <w:sz w:val="18"/>
        </w:rPr>
        <w:t>Apie šio dekreto projektą Europos Komisijai buvo pranešta .... remiantis Direktyvos (ES) 2015/1535 5 straipsnio 1 dalimi</w:t>
      </w:r>
      <w:r w:rsidRPr="00DE50C4">
        <w:rPr>
          <w:rStyle w:val="FootnoteReference"/>
          <w:rFonts w:ascii="Verdana" w:hAnsi="Verdana"/>
          <w:sz w:val="18"/>
        </w:rPr>
        <w:footnoteReference w:id="4"/>
      </w:r>
      <w:r w:rsidRPr="00DE50C4">
        <w:rPr>
          <w:rFonts w:ascii="Verdana" w:hAnsi="Verdana"/>
          <w:sz w:val="18"/>
        </w:rPr>
        <w:t>. Pateikti pranešimą Europos Komisijai būtina, kadangi šio dekreto I straipsnyje pateikiamos techninės taisyklės, kaip apibrėžta Direktyvoje (ES) 2015/1535. Pridedama prie šio pranešimo.</w:t>
      </w:r>
    </w:p>
    <w:p w:rsidR="00E17C57" w:rsidRPr="00DE50C4" w:rsidRDefault="00E17C57" w:rsidP="00E17C57">
      <w:pPr>
        <w:tabs>
          <w:tab w:val="left" w:pos="2268"/>
        </w:tabs>
        <w:ind w:left="2268"/>
        <w:rPr>
          <w:rFonts w:ascii="Verdana" w:hAnsi="Verdana"/>
          <w:kern w:val="2"/>
          <w:sz w:val="18"/>
          <w:szCs w:val="18"/>
        </w:rPr>
      </w:pPr>
    </w:p>
    <w:p w:rsidR="00B428D8" w:rsidRPr="00DE50C4" w:rsidRDefault="00B428D8" w:rsidP="00E17C57">
      <w:pPr>
        <w:tabs>
          <w:tab w:val="left" w:pos="2268"/>
        </w:tabs>
        <w:ind w:left="2268"/>
        <w:rPr>
          <w:rFonts w:ascii="Verdana" w:hAnsi="Verdana"/>
          <w:kern w:val="2"/>
          <w:sz w:val="18"/>
          <w:szCs w:val="18"/>
        </w:rPr>
      </w:pPr>
      <w:r w:rsidRPr="00DE50C4">
        <w:rPr>
          <w:rFonts w:ascii="Verdana" w:hAnsi="Verdana"/>
          <w:sz w:val="18"/>
        </w:rPr>
        <w:t>Šiame dekreto projekte pateikti kiekybiniai importo apribojimai ar priemonės, kurių poveikis remiantis Sutarties dėl Europos Sąjungos veikimo 34 straipsniu yra lygiavertis ir kurie yra pagrįsti visuomenės sveikatos interesais pagal šios sutarties 36 straipsnį.</w:t>
      </w:r>
    </w:p>
    <w:p w:rsidR="005E47AF" w:rsidRPr="00DE50C4" w:rsidRDefault="005E47AF" w:rsidP="00E17C57">
      <w:pPr>
        <w:tabs>
          <w:tab w:val="left" w:pos="2268"/>
        </w:tabs>
        <w:ind w:left="2268"/>
        <w:rPr>
          <w:rFonts w:ascii="Verdana" w:hAnsi="Verdana"/>
          <w:kern w:val="2"/>
          <w:sz w:val="18"/>
          <w:szCs w:val="18"/>
        </w:rPr>
      </w:pPr>
    </w:p>
    <w:p w:rsidR="00A82D46" w:rsidRPr="00DE50C4" w:rsidRDefault="00F07731" w:rsidP="00E17C57">
      <w:pPr>
        <w:keepNext/>
        <w:keepLines/>
        <w:tabs>
          <w:tab w:val="left" w:pos="2268"/>
        </w:tabs>
        <w:ind w:left="2268"/>
        <w:rPr>
          <w:rFonts w:ascii="Verdana" w:hAnsi="Verdana"/>
          <w:b/>
          <w:kern w:val="2"/>
          <w:sz w:val="18"/>
          <w:szCs w:val="18"/>
        </w:rPr>
      </w:pPr>
      <w:r w:rsidRPr="00DE50C4">
        <w:rPr>
          <w:rFonts w:ascii="Verdana" w:hAnsi="Verdana"/>
          <w:b/>
          <w:sz w:val="18"/>
        </w:rPr>
        <w:t>7. Pagal straipsnius</w:t>
      </w:r>
    </w:p>
    <w:p w:rsidR="00F120A1" w:rsidRPr="00DE50C4" w:rsidRDefault="00F120A1" w:rsidP="00E17C57">
      <w:pPr>
        <w:keepNext/>
        <w:keepLines/>
        <w:tabs>
          <w:tab w:val="left" w:pos="2268"/>
        </w:tabs>
        <w:ind w:left="2268"/>
        <w:rPr>
          <w:rFonts w:ascii="Verdana" w:hAnsi="Verdana"/>
          <w:kern w:val="2"/>
          <w:sz w:val="18"/>
          <w:szCs w:val="18"/>
        </w:rPr>
      </w:pPr>
    </w:p>
    <w:p w:rsidR="0095665C" w:rsidRPr="00DE50C4" w:rsidRDefault="0095665C" w:rsidP="00E17C57">
      <w:pPr>
        <w:keepNext/>
        <w:keepLines/>
        <w:tabs>
          <w:tab w:val="left" w:pos="2268"/>
        </w:tabs>
        <w:ind w:left="2268"/>
        <w:rPr>
          <w:rFonts w:ascii="Verdana" w:hAnsi="Verdana"/>
          <w:i/>
          <w:kern w:val="2"/>
          <w:sz w:val="18"/>
          <w:szCs w:val="18"/>
        </w:rPr>
      </w:pPr>
      <w:r w:rsidRPr="00DE50C4">
        <w:rPr>
          <w:rFonts w:ascii="Verdana" w:hAnsi="Verdana"/>
          <w:i/>
          <w:sz w:val="18"/>
        </w:rPr>
        <w:t>I straipsnio A dalies 1 ir 4 punktai ir I straipsnio D dalies 2 punktas</w:t>
      </w:r>
    </w:p>
    <w:p w:rsidR="00670294" w:rsidRPr="00DE50C4" w:rsidRDefault="00FC0162" w:rsidP="00E17C57">
      <w:pPr>
        <w:tabs>
          <w:tab w:val="left" w:pos="2268"/>
        </w:tabs>
        <w:ind w:left="2268"/>
        <w:rPr>
          <w:rFonts w:ascii="Verdana" w:hAnsi="Verdana"/>
          <w:kern w:val="2"/>
          <w:sz w:val="18"/>
          <w:szCs w:val="18"/>
        </w:rPr>
      </w:pPr>
      <w:r w:rsidRPr="00DE50C4">
        <w:rPr>
          <w:rFonts w:ascii="Verdana" w:hAnsi="Verdana"/>
          <w:sz w:val="18"/>
        </w:rPr>
        <w:t>Šiuo pakeitimu pagerinamas įgyvendinamumas. Prieš įsigaliojant šiam dekretui, Augalinių preparatų (Prekių įstatymas) dekreto 4 straipsnio 1 dalis išdėstoma taip:</w:t>
      </w:r>
    </w:p>
    <w:p w:rsidR="00670294" w:rsidRPr="00DE50C4" w:rsidRDefault="00670294" w:rsidP="00E17C57">
      <w:pPr>
        <w:tabs>
          <w:tab w:val="left" w:pos="2268"/>
        </w:tabs>
        <w:ind w:left="2268"/>
        <w:rPr>
          <w:rFonts w:ascii="Verdana" w:hAnsi="Verdana"/>
          <w:i/>
          <w:kern w:val="2"/>
          <w:sz w:val="18"/>
          <w:szCs w:val="18"/>
        </w:rPr>
      </w:pPr>
      <w:r w:rsidRPr="00DE50C4">
        <w:rPr>
          <w:rFonts w:ascii="Verdana" w:hAnsi="Verdana"/>
          <w:i/>
          <w:sz w:val="18"/>
        </w:rPr>
        <w:lastRenderedPageBreak/>
        <w:t>Augaliniuose preparatuose, kuriuos sudaro vien tik arba dalis medžiagų iš augalų, kaip nurodyta priedo I dalyje, arba iš kitų augalų, kuriuose, manoma, yra toksiškų pirolizidino alkaloidų, toksiškų pirolizidino alkaloidų kiekis atitinkamai neturi viršyti 1 µg viename kilograme ar litre.</w:t>
      </w:r>
    </w:p>
    <w:p w:rsidR="00670294" w:rsidRPr="00DE50C4" w:rsidRDefault="00670294" w:rsidP="00E17C57">
      <w:pPr>
        <w:tabs>
          <w:tab w:val="left" w:pos="2268"/>
        </w:tabs>
        <w:ind w:left="2268"/>
        <w:rPr>
          <w:rFonts w:ascii="Verdana" w:hAnsi="Verdana"/>
          <w:kern w:val="2"/>
          <w:sz w:val="18"/>
          <w:szCs w:val="18"/>
        </w:rPr>
      </w:pPr>
    </w:p>
    <w:p w:rsidR="00670294" w:rsidRPr="00DE50C4" w:rsidRDefault="00670294" w:rsidP="00E17C57">
      <w:pPr>
        <w:tabs>
          <w:tab w:val="left" w:pos="2268"/>
        </w:tabs>
        <w:ind w:left="2268"/>
        <w:rPr>
          <w:rFonts w:ascii="Verdana" w:hAnsi="Verdana"/>
          <w:kern w:val="2"/>
          <w:sz w:val="18"/>
          <w:szCs w:val="18"/>
        </w:rPr>
      </w:pPr>
      <w:r w:rsidRPr="00DE50C4">
        <w:rPr>
          <w:rFonts w:ascii="Verdana" w:hAnsi="Verdana"/>
          <w:sz w:val="18"/>
        </w:rPr>
        <w:t>Atsižvelgus į šią formuluotę, pareigūnas, kuriam patikėta priežiūros užduotis, negali paprasčiausiai nustatyti pernelyg didelio toksiškų pirolizidino alkaloidų kiekio augaliniuose preparatuose. Pareigūnas taip pat privalo nurodyti jų kilmę. Todėl kilo klausimų dėl šios nuostatos laikymosi priežiūros.</w:t>
      </w:r>
    </w:p>
    <w:p w:rsidR="00670294" w:rsidRPr="00DE50C4" w:rsidRDefault="00670294" w:rsidP="00E17C57">
      <w:pPr>
        <w:tabs>
          <w:tab w:val="left" w:pos="2268"/>
        </w:tabs>
        <w:ind w:left="2268"/>
        <w:rPr>
          <w:rFonts w:ascii="Verdana" w:hAnsi="Verdana"/>
          <w:kern w:val="2"/>
          <w:sz w:val="18"/>
          <w:szCs w:val="18"/>
        </w:rPr>
      </w:pPr>
    </w:p>
    <w:p w:rsidR="00670294" w:rsidRPr="00DE50C4" w:rsidRDefault="00BB02A9" w:rsidP="00E17C57">
      <w:pPr>
        <w:tabs>
          <w:tab w:val="left" w:pos="2268"/>
        </w:tabs>
        <w:ind w:left="2268"/>
        <w:rPr>
          <w:rFonts w:ascii="Verdana" w:hAnsi="Verdana"/>
          <w:kern w:val="2"/>
          <w:sz w:val="18"/>
          <w:szCs w:val="18"/>
        </w:rPr>
      </w:pPr>
      <w:r w:rsidRPr="00DE50C4">
        <w:rPr>
          <w:rFonts w:ascii="Verdana" w:hAnsi="Verdana"/>
          <w:sz w:val="18"/>
        </w:rPr>
        <w:t>Šio dekreto 4 straipsnio 1 dalis iš dalies keičiama I straipsnio A dalies 1 punktu siekiant išspręsti pirmesnėje dalyje nurodytus klausimus. 1 dalyje nustatomas didžiausias toksiškų pirolizidino alkaloidų kiekis augaliniuose preparatuose, nepaisant jų kilmės. Todėl priedo I dalį galima išbraukti (I straipsnio D dalies 2 punktas).</w:t>
      </w:r>
    </w:p>
    <w:p w:rsidR="00AB3B66" w:rsidRPr="00DE50C4" w:rsidRDefault="00AB3B66" w:rsidP="00E17C57">
      <w:pPr>
        <w:tabs>
          <w:tab w:val="left" w:pos="2268"/>
        </w:tabs>
        <w:ind w:left="2268"/>
        <w:rPr>
          <w:rFonts w:ascii="Verdana" w:hAnsi="Verdana"/>
          <w:kern w:val="2"/>
          <w:sz w:val="18"/>
          <w:szCs w:val="18"/>
        </w:rPr>
      </w:pPr>
    </w:p>
    <w:p w:rsidR="00430B87" w:rsidRPr="00DE50C4" w:rsidRDefault="00430B87" w:rsidP="00E17C57">
      <w:pPr>
        <w:ind w:left="2268"/>
        <w:rPr>
          <w:rFonts w:ascii="Verdana" w:hAnsi="Verdana"/>
          <w:sz w:val="18"/>
          <w:szCs w:val="18"/>
        </w:rPr>
      </w:pPr>
      <w:r w:rsidRPr="00DE50C4">
        <w:rPr>
          <w:rFonts w:ascii="Verdana" w:hAnsi="Verdana"/>
          <w:sz w:val="18"/>
        </w:rPr>
        <w:t>Tikimasi, kad per trumpą laikotarpį didžiausias pirolizidino alkaloidų kiekis maisto papilduose ir augaliniuose preparatuose bus įtrauktas į Reglamentą (EB) Nr. 1881/2006</w:t>
      </w:r>
      <w:r w:rsidRPr="00DE50C4">
        <w:rPr>
          <w:rStyle w:val="FootnoteReference"/>
          <w:rFonts w:ascii="Verdana" w:hAnsi="Verdana"/>
          <w:sz w:val="18"/>
        </w:rPr>
        <w:footnoteReference w:id="5"/>
      </w:r>
      <w:r w:rsidRPr="00DE50C4">
        <w:rPr>
          <w:rFonts w:ascii="Verdana" w:hAnsi="Verdana"/>
          <w:sz w:val="18"/>
        </w:rPr>
        <w:t>. Tam ruošiantis, į Augalinių preparatų (Prekių įstatymas) dekretą įterpiama 4 straipsnio 6 dalis, tad 1 dalis nebetaikoma jokiems klausimams, aptartiems Reglamento (EB) Nr. 1881/2006 nuostatose. Šia nuostata ateityje numatoma išplėtoti Reglamento (EB) Nr. 1881/2006 nuostatas dėl pirolizidino alkaloidų.</w:t>
      </w:r>
    </w:p>
    <w:p w:rsidR="00430B87" w:rsidRPr="00DE50C4" w:rsidRDefault="00430B87" w:rsidP="00E17C57">
      <w:pPr>
        <w:ind w:left="2268"/>
        <w:rPr>
          <w:rFonts w:ascii="Verdana" w:hAnsi="Verdana"/>
          <w:sz w:val="18"/>
          <w:szCs w:val="18"/>
        </w:rPr>
      </w:pPr>
    </w:p>
    <w:p w:rsidR="00430B87" w:rsidRPr="00DE50C4" w:rsidRDefault="00430B87" w:rsidP="00E17C57">
      <w:pPr>
        <w:ind w:left="2268"/>
        <w:rPr>
          <w:rFonts w:ascii="Verdana" w:hAnsi="Verdana"/>
          <w:sz w:val="18"/>
          <w:szCs w:val="18"/>
        </w:rPr>
      </w:pPr>
      <w:r w:rsidRPr="00DE50C4">
        <w:rPr>
          <w:rFonts w:ascii="Verdana" w:hAnsi="Verdana"/>
          <w:sz w:val="18"/>
        </w:rPr>
        <w:t>Kitiems Reglamento (EB) Nr. 1881/2006 priede neaptartiems augaliniams preparatams toliau taikomas Augalinių preparatų (Prekių įstatymas) dekreto 4 straipsnio 1 dalyje nustatytas didžiausias leistinas kiekis, t. y. atitinkamai 1 µg viename kilograme arba litre.</w:t>
      </w:r>
    </w:p>
    <w:p w:rsidR="00E17C57" w:rsidRPr="00DE50C4" w:rsidRDefault="00E17C57" w:rsidP="00E17C57">
      <w:pPr>
        <w:ind w:left="2268"/>
        <w:rPr>
          <w:rFonts w:ascii="Verdana" w:hAnsi="Verdana"/>
          <w:sz w:val="18"/>
          <w:szCs w:val="18"/>
        </w:rPr>
      </w:pPr>
    </w:p>
    <w:p w:rsidR="00FC0162" w:rsidRPr="00DE50C4" w:rsidRDefault="00FC0162" w:rsidP="00E17C57">
      <w:pPr>
        <w:keepNext/>
        <w:keepLines/>
        <w:tabs>
          <w:tab w:val="left" w:pos="2268"/>
        </w:tabs>
        <w:ind w:left="2268"/>
        <w:rPr>
          <w:rFonts w:ascii="Verdana" w:hAnsi="Verdana"/>
          <w:i/>
          <w:kern w:val="2"/>
          <w:sz w:val="18"/>
          <w:szCs w:val="18"/>
        </w:rPr>
      </w:pPr>
      <w:r w:rsidRPr="00DE50C4">
        <w:rPr>
          <w:rFonts w:ascii="Verdana" w:hAnsi="Verdana"/>
          <w:i/>
          <w:sz w:val="18"/>
        </w:rPr>
        <w:t>I straipsnio A dalies 2 punktas</w:t>
      </w:r>
    </w:p>
    <w:p w:rsidR="00FC0162" w:rsidRPr="00DE50C4" w:rsidRDefault="00FC0162" w:rsidP="00E17C57">
      <w:pPr>
        <w:tabs>
          <w:tab w:val="left" w:pos="2268"/>
        </w:tabs>
        <w:ind w:left="2268"/>
        <w:rPr>
          <w:rFonts w:ascii="Verdana" w:hAnsi="Verdana"/>
          <w:kern w:val="2"/>
          <w:sz w:val="18"/>
          <w:szCs w:val="18"/>
        </w:rPr>
      </w:pPr>
      <w:r w:rsidRPr="00DE50C4">
        <w:rPr>
          <w:rFonts w:ascii="Verdana" w:hAnsi="Verdana"/>
          <w:sz w:val="18"/>
        </w:rPr>
        <w:t>Augalinių preparatų (Prekių įstatymas) dekreto 4 straipsnio 2 dalyje išvardytos kelios medžiagos, kurių visuomenės sveikatos tikslais augaliniuose preparatuose būti negali. Remdamasis tyrimais</w:t>
      </w:r>
      <w:r w:rsidRPr="00DE50C4">
        <w:rPr>
          <w:rStyle w:val="FootnoteReference"/>
          <w:rFonts w:ascii="Verdana" w:hAnsi="Verdana"/>
          <w:kern w:val="2"/>
          <w:sz w:val="18"/>
        </w:rPr>
        <w:footnoteReference w:id="6"/>
      </w:r>
      <w:r w:rsidRPr="00DE50C4">
        <w:rPr>
          <w:rFonts w:ascii="Verdana" w:hAnsi="Verdana"/>
          <w:sz w:val="18"/>
        </w:rPr>
        <w:t>, Nyderlandų nacionalinis visuomenės sveikatos ir aplinkos institutas rekomendavo papildyti sąrašą keliomis kitomis medžiagomis, kurios, kaip paaiškėjo, turi toksiškų arba net ūmiai toksiškų savybių. Šios rekomendacijos buvo pritaikytos. Todėl aptariamos medžiagos įtr</w:t>
      </w:r>
      <w:bookmarkStart w:id="0" w:name="_GoBack"/>
      <w:bookmarkEnd w:id="0"/>
      <w:r w:rsidRPr="00DE50C4">
        <w:rPr>
          <w:rFonts w:ascii="Verdana" w:hAnsi="Verdana"/>
          <w:sz w:val="18"/>
        </w:rPr>
        <w:t xml:space="preserve">auktos į Augalinių preparatų </w:t>
      </w:r>
      <w:r w:rsidRPr="00DE50C4">
        <w:rPr>
          <w:rFonts w:ascii="Verdana" w:hAnsi="Verdana"/>
          <w:sz w:val="18"/>
        </w:rPr>
        <w:lastRenderedPageBreak/>
        <w:t>(Prekių įstatymas) dekreto 4 straipsnio 2 dalį. Į naują sąrašą abėcėline tvarka įtraukti ankstesni a ir b papunkčiai (aristolocho rūgštys ir johimbino alkaloidai arba jų dariniai).</w:t>
      </w:r>
    </w:p>
    <w:p w:rsidR="00FC0162" w:rsidRPr="00DE50C4" w:rsidRDefault="00FC0162" w:rsidP="00E17C57">
      <w:pPr>
        <w:tabs>
          <w:tab w:val="left" w:pos="2268"/>
        </w:tabs>
        <w:ind w:left="2268"/>
        <w:rPr>
          <w:rFonts w:ascii="Verdana" w:hAnsi="Verdana"/>
          <w:kern w:val="2"/>
          <w:sz w:val="18"/>
          <w:szCs w:val="18"/>
        </w:rPr>
      </w:pPr>
    </w:p>
    <w:p w:rsidR="00FC0162" w:rsidRPr="00DE50C4" w:rsidRDefault="00FC0162" w:rsidP="00E17C57">
      <w:pPr>
        <w:tabs>
          <w:tab w:val="left" w:pos="2268"/>
        </w:tabs>
        <w:ind w:left="2268"/>
        <w:rPr>
          <w:rFonts w:ascii="Verdana" w:hAnsi="Verdana"/>
          <w:kern w:val="2"/>
          <w:sz w:val="18"/>
          <w:szCs w:val="18"/>
        </w:rPr>
      </w:pPr>
      <w:r w:rsidRPr="00DE50C4">
        <w:rPr>
          <w:rFonts w:ascii="Verdana" w:hAnsi="Verdana"/>
          <w:sz w:val="18"/>
        </w:rPr>
        <w:t xml:space="preserve">Naujas g papunktis susijęs su iš </w:t>
      </w:r>
      <w:r w:rsidRPr="00DE50C4">
        <w:rPr>
          <w:rFonts w:ascii="Verdana" w:hAnsi="Verdana"/>
          <w:i/>
          <w:sz w:val="18"/>
        </w:rPr>
        <w:t>Artemisia absinthium</w:t>
      </w:r>
      <w:r w:rsidRPr="00DE50C4">
        <w:rPr>
          <w:rFonts w:ascii="Verdana" w:hAnsi="Verdana"/>
          <w:sz w:val="18"/>
        </w:rPr>
        <w:t xml:space="preserve"> išspaustu aliejumi. Šiame papunktyje teigiama, kad šio aliejaus draudimas augaliniuose preparatuose netaikomas </w:t>
      </w:r>
      <w:r w:rsidRPr="00DE50C4">
        <w:rPr>
          <w:rFonts w:ascii="Verdana" w:hAnsi="Verdana"/>
          <w:i/>
          <w:sz w:val="18"/>
        </w:rPr>
        <w:t>Artemisia</w:t>
      </w:r>
      <w:r w:rsidRPr="00DE50C4">
        <w:rPr>
          <w:rFonts w:ascii="Verdana" w:hAnsi="Verdana"/>
          <w:sz w:val="18"/>
        </w:rPr>
        <w:t xml:space="preserve"> rūšies gėrimuose esančiam tujonui, jei jį naudoti leidžiama pagal Reglamento (EB) Nr. 1334/2008 6 straipsnio 2 dalį ir III priedo B dalį</w:t>
      </w:r>
      <w:r w:rsidRPr="00DE50C4">
        <w:rPr>
          <w:rStyle w:val="FootnoteReference"/>
          <w:rFonts w:ascii="Verdana" w:hAnsi="Verdana"/>
          <w:kern w:val="2"/>
          <w:sz w:val="18"/>
        </w:rPr>
        <w:footnoteReference w:id="7"/>
      </w:r>
      <w:r w:rsidRPr="00DE50C4">
        <w:rPr>
          <w:rFonts w:ascii="Verdana" w:hAnsi="Verdana"/>
          <w:sz w:val="18"/>
        </w:rPr>
        <w:t>.</w:t>
      </w:r>
    </w:p>
    <w:p w:rsidR="00670294" w:rsidRPr="00DE50C4" w:rsidRDefault="00670294" w:rsidP="00E17C57">
      <w:pPr>
        <w:tabs>
          <w:tab w:val="left" w:pos="2268"/>
        </w:tabs>
        <w:ind w:left="2268"/>
        <w:rPr>
          <w:rFonts w:ascii="Verdana" w:hAnsi="Verdana"/>
          <w:kern w:val="2"/>
          <w:sz w:val="18"/>
          <w:szCs w:val="18"/>
        </w:rPr>
      </w:pPr>
    </w:p>
    <w:p w:rsidR="00AD2E4A" w:rsidRPr="00DE50C4" w:rsidRDefault="00AD2E4A" w:rsidP="00E17C57">
      <w:pPr>
        <w:keepNext/>
        <w:keepLines/>
        <w:tabs>
          <w:tab w:val="left" w:pos="2268"/>
        </w:tabs>
        <w:ind w:left="2268"/>
        <w:rPr>
          <w:rFonts w:ascii="Verdana" w:hAnsi="Verdana"/>
          <w:i/>
          <w:kern w:val="2"/>
          <w:sz w:val="18"/>
          <w:szCs w:val="18"/>
        </w:rPr>
      </w:pPr>
      <w:r w:rsidRPr="00DE50C4">
        <w:rPr>
          <w:rFonts w:ascii="Verdana" w:hAnsi="Verdana"/>
          <w:i/>
          <w:sz w:val="18"/>
        </w:rPr>
        <w:t>I straipsnio A dalies 3 punktas ir I straipsnio D dalies 1 bei 3 punktai</w:t>
      </w:r>
    </w:p>
    <w:p w:rsidR="00670294" w:rsidRPr="00DE50C4" w:rsidRDefault="005D7072" w:rsidP="00E17C57">
      <w:pPr>
        <w:tabs>
          <w:tab w:val="left" w:pos="2268"/>
        </w:tabs>
        <w:ind w:left="2268"/>
        <w:rPr>
          <w:rFonts w:ascii="Verdana" w:hAnsi="Verdana"/>
          <w:kern w:val="2"/>
          <w:sz w:val="18"/>
          <w:szCs w:val="18"/>
        </w:rPr>
      </w:pPr>
      <w:r w:rsidRPr="00DE50C4">
        <w:rPr>
          <w:rFonts w:ascii="Verdana" w:hAnsi="Verdana"/>
          <w:sz w:val="18"/>
        </w:rPr>
        <w:t>Šio dekreto įsigaliojimo metu Augalinių preparatų (Prekių įstatymas) dekreto priedą sudaro tik ankstesnė II dalis, kuri dabar yra „priedas“. Nuoroda į Augalinių preparatų (Prekių įstatymas) dekreto 4 straipsnio 3 dalies priedo II dalies pakeičiama nuoroda į „priedą“.</w:t>
      </w:r>
    </w:p>
    <w:p w:rsidR="00B561EB" w:rsidRPr="00DE50C4" w:rsidRDefault="00B561EB" w:rsidP="00E17C57">
      <w:pPr>
        <w:tabs>
          <w:tab w:val="left" w:pos="2268"/>
        </w:tabs>
        <w:ind w:left="2268"/>
        <w:rPr>
          <w:rFonts w:ascii="Verdana" w:hAnsi="Verdana"/>
          <w:kern w:val="2"/>
          <w:sz w:val="18"/>
          <w:szCs w:val="18"/>
        </w:rPr>
      </w:pPr>
    </w:p>
    <w:p w:rsidR="005059AF" w:rsidRPr="00DE50C4" w:rsidRDefault="00485F0F" w:rsidP="00E17C57">
      <w:pPr>
        <w:keepNext/>
        <w:keepLines/>
        <w:tabs>
          <w:tab w:val="left" w:pos="2268"/>
        </w:tabs>
        <w:ind w:left="2268"/>
        <w:rPr>
          <w:rFonts w:ascii="Verdana" w:hAnsi="Verdana"/>
          <w:i/>
          <w:kern w:val="2"/>
          <w:sz w:val="18"/>
          <w:szCs w:val="18"/>
        </w:rPr>
      </w:pPr>
      <w:r w:rsidRPr="00DE50C4">
        <w:rPr>
          <w:rFonts w:ascii="Verdana" w:hAnsi="Verdana"/>
          <w:i/>
          <w:sz w:val="18"/>
        </w:rPr>
        <w:t>I straipsnio A dalies 4 punktas</w:t>
      </w:r>
    </w:p>
    <w:p w:rsidR="003C006F" w:rsidRPr="00DE50C4" w:rsidRDefault="003C006F" w:rsidP="00E17C57">
      <w:pPr>
        <w:tabs>
          <w:tab w:val="left" w:pos="2268"/>
        </w:tabs>
        <w:ind w:left="2268"/>
        <w:rPr>
          <w:rFonts w:ascii="Verdana" w:hAnsi="Verdana"/>
          <w:kern w:val="2"/>
          <w:sz w:val="18"/>
          <w:szCs w:val="18"/>
        </w:rPr>
      </w:pPr>
      <w:r w:rsidRPr="00DE50C4">
        <w:rPr>
          <w:rFonts w:ascii="Verdana" w:hAnsi="Verdana"/>
          <w:sz w:val="18"/>
        </w:rPr>
        <w:t>Remiantis pirmiau minėta Nyderlandų nacionalinio visuomenės sveikatos ir aplinkos instituto ataskaita ir Rizikų vertinimo ir tyrimo biuro rekomendacija dėl sinefrino, nuspręsta uždrausti naudoti m-sinefriną ir o-sinefriną kaip priedus augaliniuose preparatuose. Atsižvelgus į Rizikų vertinimo ir tyrimo biuro rekomendaciją, numatyta, kad didžiausia p-sinefrino dienos dozė iš maisto produktų turi būti 27 mg. Ši didžiausia dozė įtraukta į 4 straipsnio 4 dalį.</w:t>
      </w:r>
    </w:p>
    <w:p w:rsidR="008250DF" w:rsidRPr="00DE50C4" w:rsidRDefault="008250DF" w:rsidP="00E17C57">
      <w:pPr>
        <w:tabs>
          <w:tab w:val="left" w:pos="2268"/>
        </w:tabs>
        <w:ind w:left="2268"/>
        <w:rPr>
          <w:rFonts w:ascii="Verdana" w:hAnsi="Verdana"/>
          <w:kern w:val="2"/>
          <w:sz w:val="18"/>
          <w:szCs w:val="18"/>
        </w:rPr>
      </w:pPr>
      <w:r w:rsidRPr="00DE50C4">
        <w:rPr>
          <w:rFonts w:ascii="Verdana" w:hAnsi="Verdana"/>
          <w:sz w:val="18"/>
        </w:rPr>
        <w:t xml:space="preserve">Į Augalinių preparatų (Prekių įstatymas) dekreto II dalį įtrauktas </w:t>
      </w:r>
      <w:r w:rsidRPr="00DE50C4">
        <w:rPr>
          <w:rFonts w:ascii="Verdana" w:hAnsi="Verdana"/>
          <w:i/>
          <w:sz w:val="18"/>
        </w:rPr>
        <w:t>Ricinus communis</w:t>
      </w:r>
      <w:r w:rsidRPr="00DE50C4">
        <w:rPr>
          <w:rFonts w:ascii="Verdana" w:hAnsi="Verdana"/>
          <w:sz w:val="18"/>
        </w:rPr>
        <w:t xml:space="preserve">. Dabartinio 4 straipsnio 3 dalyje nurodyta, kad augaliniuose preparatuose neturi būti jokių medžiagų, visiškai arba iš dalies gautų iš </w:t>
      </w:r>
      <w:r w:rsidRPr="00DE50C4">
        <w:rPr>
          <w:rFonts w:ascii="Verdana" w:hAnsi="Verdana"/>
          <w:i/>
          <w:sz w:val="18"/>
        </w:rPr>
        <w:t>Ricinus communis</w:t>
      </w:r>
      <w:r w:rsidRPr="00DE50C4">
        <w:rPr>
          <w:rFonts w:ascii="Verdana" w:hAnsi="Verdana"/>
          <w:sz w:val="18"/>
        </w:rPr>
        <w:t>. Nyderlandų nacionalinio visuomenės sveikatos ir aplinkos instituto</w:t>
      </w:r>
      <w:r w:rsidRPr="00DE50C4">
        <w:rPr>
          <w:rStyle w:val="FootnoteReference"/>
          <w:rFonts w:ascii="Verdana" w:hAnsi="Verdana"/>
          <w:kern w:val="2"/>
          <w:sz w:val="18"/>
        </w:rPr>
        <w:footnoteReference w:id="8"/>
      </w:r>
      <w:r w:rsidRPr="00DE50C4">
        <w:rPr>
          <w:rFonts w:ascii="Verdana" w:hAnsi="Verdana"/>
          <w:sz w:val="18"/>
        </w:rPr>
        <w:t xml:space="preserve"> tyrimas taip pat rodo, kad 0,4 g iš </w:t>
      </w:r>
      <w:r w:rsidRPr="00DE50C4">
        <w:rPr>
          <w:rFonts w:ascii="Verdana" w:hAnsi="Verdana"/>
          <w:i/>
          <w:sz w:val="18"/>
        </w:rPr>
        <w:t>Ricinus communis</w:t>
      </w:r>
      <w:r w:rsidRPr="00DE50C4">
        <w:rPr>
          <w:rFonts w:ascii="Verdana" w:hAnsi="Verdana"/>
          <w:sz w:val="18"/>
        </w:rPr>
        <w:t xml:space="preserve"> sėklų išspausto aliejaus paros dozė nėra kenksminga visuomenės sveikatai. Dėl šios priežasties į Augalinių preparatų (Prekių įstatymas) dekretą įtraukta 4 straipsnio 5 dalis, kuria įtvirtinamas pirmiau minėtas faktas.</w:t>
      </w:r>
    </w:p>
    <w:p w:rsidR="00FC5154" w:rsidRPr="00DE50C4" w:rsidRDefault="00FC5154" w:rsidP="00E17C57">
      <w:pPr>
        <w:tabs>
          <w:tab w:val="left" w:pos="2268"/>
        </w:tabs>
        <w:ind w:left="2268"/>
        <w:rPr>
          <w:rFonts w:ascii="Verdana" w:hAnsi="Verdana"/>
          <w:kern w:val="2"/>
          <w:sz w:val="18"/>
          <w:szCs w:val="18"/>
        </w:rPr>
      </w:pPr>
    </w:p>
    <w:p w:rsidR="002714CE" w:rsidRPr="00DE50C4" w:rsidRDefault="002714CE" w:rsidP="00E17C57">
      <w:pPr>
        <w:keepNext/>
        <w:keepLines/>
        <w:tabs>
          <w:tab w:val="left" w:pos="2268"/>
        </w:tabs>
        <w:ind w:left="2268"/>
        <w:rPr>
          <w:rFonts w:ascii="Verdana" w:hAnsi="Verdana"/>
          <w:i/>
          <w:kern w:val="2"/>
          <w:sz w:val="18"/>
          <w:szCs w:val="18"/>
        </w:rPr>
      </w:pPr>
      <w:r w:rsidRPr="00DE50C4">
        <w:rPr>
          <w:rFonts w:ascii="Verdana" w:hAnsi="Verdana"/>
          <w:i/>
          <w:sz w:val="18"/>
        </w:rPr>
        <w:t>I straipsnio B dalis</w:t>
      </w:r>
    </w:p>
    <w:p w:rsidR="002714CE" w:rsidRPr="00DE50C4" w:rsidRDefault="002714CE" w:rsidP="00E17C57">
      <w:pPr>
        <w:tabs>
          <w:tab w:val="left" w:pos="2268"/>
        </w:tabs>
        <w:ind w:left="2268"/>
        <w:rPr>
          <w:rFonts w:ascii="Verdana" w:hAnsi="Verdana"/>
          <w:kern w:val="2"/>
          <w:sz w:val="18"/>
          <w:szCs w:val="18"/>
        </w:rPr>
      </w:pPr>
      <w:r w:rsidRPr="00DE50C4">
        <w:rPr>
          <w:rFonts w:ascii="Verdana" w:hAnsi="Verdana"/>
          <w:sz w:val="18"/>
        </w:rPr>
        <w:t>6 straipsnyje įterpiama 3 dalis. Taip sudaroma galimybė išleisti ministro įsakymą, kuriuo nustatomos papildomos vartojimo ir dozavimo rekomendacijos, kaip nurodyta 1 ir 2 dalyse. Tai bus taikoma medžiagoms, kurios tam tikromis vartojimo ir dozavimo sąlygomis gali turėti neigiamo poveikio sveikatai. Apie tai vartotojus galima įspėti vartojimo ir dozavimo rekomendacijose.</w:t>
      </w:r>
    </w:p>
    <w:p w:rsidR="00FC5154" w:rsidRPr="00DE50C4" w:rsidRDefault="00FC5154" w:rsidP="00E17C57">
      <w:pPr>
        <w:tabs>
          <w:tab w:val="left" w:pos="2268"/>
        </w:tabs>
        <w:ind w:left="2268"/>
        <w:rPr>
          <w:rFonts w:ascii="Verdana" w:hAnsi="Verdana"/>
          <w:kern w:val="2"/>
          <w:sz w:val="18"/>
          <w:szCs w:val="18"/>
        </w:rPr>
      </w:pPr>
    </w:p>
    <w:p w:rsidR="003143CD" w:rsidRPr="00DE50C4" w:rsidRDefault="003143CD" w:rsidP="00E17C57">
      <w:pPr>
        <w:keepNext/>
        <w:keepLines/>
        <w:tabs>
          <w:tab w:val="left" w:pos="2268"/>
        </w:tabs>
        <w:ind w:left="2268"/>
        <w:rPr>
          <w:rFonts w:ascii="Verdana" w:hAnsi="Verdana"/>
          <w:i/>
          <w:kern w:val="2"/>
          <w:sz w:val="18"/>
          <w:szCs w:val="18"/>
        </w:rPr>
      </w:pPr>
      <w:r w:rsidRPr="00DE50C4">
        <w:rPr>
          <w:rFonts w:ascii="Verdana" w:hAnsi="Verdana"/>
          <w:i/>
          <w:sz w:val="18"/>
        </w:rPr>
        <w:t>I straipsnio C dalis ir I straipsnio D dalies 10 punktas</w:t>
      </w:r>
    </w:p>
    <w:p w:rsidR="003143CD" w:rsidRPr="00DE50C4" w:rsidRDefault="003143CD" w:rsidP="00E17C57">
      <w:pPr>
        <w:tabs>
          <w:tab w:val="left" w:pos="2268"/>
        </w:tabs>
        <w:ind w:left="2268"/>
        <w:rPr>
          <w:rFonts w:ascii="Verdana" w:hAnsi="Verdana"/>
          <w:kern w:val="2"/>
          <w:sz w:val="18"/>
          <w:szCs w:val="18"/>
        </w:rPr>
      </w:pPr>
      <w:r w:rsidRPr="00DE50C4">
        <w:rPr>
          <w:rFonts w:ascii="Verdana" w:hAnsi="Verdana"/>
          <w:sz w:val="18"/>
        </w:rPr>
        <w:t>Į šį pakeitimą įtrauktos išsamios pereinamojo laikotarpio nuostatos.</w:t>
      </w:r>
    </w:p>
    <w:p w:rsidR="00E17C57" w:rsidRPr="00DE50C4" w:rsidRDefault="00E17C57" w:rsidP="00E17C57">
      <w:pPr>
        <w:tabs>
          <w:tab w:val="left" w:pos="2268"/>
        </w:tabs>
        <w:ind w:left="2268"/>
        <w:rPr>
          <w:rFonts w:ascii="Verdana" w:hAnsi="Verdana"/>
          <w:kern w:val="2"/>
          <w:sz w:val="18"/>
          <w:szCs w:val="18"/>
        </w:rPr>
      </w:pPr>
    </w:p>
    <w:p w:rsidR="00DE4D7B" w:rsidRPr="00DE50C4" w:rsidRDefault="00773541" w:rsidP="00E17C57">
      <w:pPr>
        <w:keepNext/>
        <w:keepLines/>
        <w:tabs>
          <w:tab w:val="left" w:pos="2268"/>
        </w:tabs>
        <w:ind w:left="2268"/>
        <w:rPr>
          <w:rFonts w:ascii="Verdana" w:hAnsi="Verdana"/>
          <w:i/>
          <w:kern w:val="2"/>
          <w:sz w:val="18"/>
          <w:szCs w:val="18"/>
        </w:rPr>
      </w:pPr>
      <w:r w:rsidRPr="00DE50C4">
        <w:rPr>
          <w:rFonts w:ascii="Verdana" w:hAnsi="Verdana"/>
          <w:i/>
          <w:sz w:val="18"/>
        </w:rPr>
        <w:lastRenderedPageBreak/>
        <w:t>I straipsnio D dalies 4–9 punktai</w:t>
      </w:r>
    </w:p>
    <w:p w:rsidR="007C6E9D" w:rsidRPr="00DE50C4" w:rsidRDefault="007C6E9D" w:rsidP="00E17C57">
      <w:pPr>
        <w:tabs>
          <w:tab w:val="left" w:pos="2268"/>
        </w:tabs>
        <w:ind w:left="2268"/>
        <w:rPr>
          <w:rFonts w:ascii="Verdana" w:hAnsi="Verdana"/>
          <w:kern w:val="2"/>
          <w:sz w:val="18"/>
          <w:szCs w:val="18"/>
        </w:rPr>
      </w:pPr>
      <w:r w:rsidRPr="00DE50C4">
        <w:rPr>
          <w:rFonts w:ascii="Verdana" w:hAnsi="Verdana"/>
          <w:sz w:val="18"/>
        </w:rPr>
        <w:t>Iš dalies pakeistoje Augalinių preparatų (Prekių įstatymas) dekreto 4 straipsnio 3 dalyje nustatyta, kad augaliniuose preparatuose neturi būti jokių medžiagų, visiškai arba iš dalies gautų iš augalų ir grybų, pateiktų priede. Į priedą (ankstesnę priedo II dalį) įtraukti keli augalai, turint omenyje galimą jų itin kenksmingą poveikį žmonių sveikatai (I straipsnio D dalies 4 punktas).</w:t>
      </w:r>
    </w:p>
    <w:p w:rsidR="00DD3086" w:rsidRPr="00DE50C4" w:rsidRDefault="00DD3086" w:rsidP="00E17C57">
      <w:pPr>
        <w:tabs>
          <w:tab w:val="left" w:pos="2268"/>
        </w:tabs>
        <w:ind w:left="2268"/>
        <w:rPr>
          <w:rFonts w:ascii="Verdana" w:hAnsi="Verdana"/>
          <w:kern w:val="2"/>
          <w:sz w:val="18"/>
          <w:szCs w:val="18"/>
        </w:rPr>
      </w:pPr>
    </w:p>
    <w:p w:rsidR="007F2C23" w:rsidRPr="00DE50C4" w:rsidRDefault="00DD3086" w:rsidP="00E17C57">
      <w:pPr>
        <w:tabs>
          <w:tab w:val="left" w:pos="2268"/>
        </w:tabs>
        <w:ind w:left="2268"/>
        <w:rPr>
          <w:rFonts w:ascii="Verdana" w:hAnsi="Verdana"/>
          <w:kern w:val="2"/>
          <w:sz w:val="18"/>
          <w:szCs w:val="18"/>
        </w:rPr>
      </w:pPr>
      <w:r w:rsidRPr="00DE50C4">
        <w:rPr>
          <w:rFonts w:ascii="Verdana" w:hAnsi="Verdana"/>
          <w:sz w:val="18"/>
        </w:rPr>
        <w:t>Šio dekreto I straipsnio D dalies 5–9 punktuose ištaisytos kelios ankstesnės priedo II dalies spragos. Pirmiausia, ištaisytos kelios rašybos klaidos. Antra, aiškiai nurodoma, kad nuodinga žolė baltoji brienė (</w:t>
      </w:r>
      <w:r w:rsidRPr="00DE50C4">
        <w:rPr>
          <w:rFonts w:ascii="Verdana" w:hAnsi="Verdana"/>
          <w:i/>
          <w:sz w:val="18"/>
        </w:rPr>
        <w:t>Bryonia alba</w:t>
      </w:r>
      <w:r w:rsidRPr="00DE50C4">
        <w:rPr>
          <w:rFonts w:ascii="Verdana" w:hAnsi="Verdana"/>
          <w:sz w:val="18"/>
        </w:rPr>
        <w:t>) nėra niekaip susijusi su juoduoju bastučiu (</w:t>
      </w:r>
      <w:r w:rsidRPr="00DE50C4">
        <w:rPr>
          <w:rFonts w:ascii="Verdana" w:hAnsi="Verdana"/>
          <w:i/>
          <w:sz w:val="18"/>
        </w:rPr>
        <w:t>Brassica nigra</w:t>
      </w:r>
      <w:r w:rsidRPr="00DE50C4">
        <w:rPr>
          <w:rFonts w:ascii="Verdana" w:hAnsi="Verdana"/>
          <w:sz w:val="18"/>
        </w:rPr>
        <w:t>). Prieš tai priede jie buvo atsitiktinai pateikti vienas šalia kito. Kad būtų aišku, jog tai du skirtingi augalai, jie pateikiami vienas po kito.</w:t>
      </w:r>
    </w:p>
    <w:p w:rsidR="00E17C57" w:rsidRPr="00DE50C4" w:rsidRDefault="00E17C57" w:rsidP="00E17C57">
      <w:pPr>
        <w:tabs>
          <w:tab w:val="left" w:pos="2268"/>
        </w:tabs>
        <w:ind w:left="2268"/>
        <w:rPr>
          <w:rFonts w:ascii="Verdana" w:hAnsi="Verdana"/>
          <w:kern w:val="2"/>
          <w:sz w:val="18"/>
          <w:szCs w:val="18"/>
        </w:rPr>
      </w:pPr>
    </w:p>
    <w:p w:rsidR="007F2C23" w:rsidRPr="00DE50C4" w:rsidRDefault="007F2C23" w:rsidP="00E17C57">
      <w:pPr>
        <w:keepNext/>
        <w:keepLines/>
        <w:tabs>
          <w:tab w:val="left" w:pos="2268"/>
        </w:tabs>
        <w:ind w:left="2268"/>
        <w:rPr>
          <w:rFonts w:ascii="Verdana" w:hAnsi="Verdana"/>
          <w:i/>
          <w:kern w:val="2"/>
          <w:sz w:val="18"/>
          <w:szCs w:val="18"/>
        </w:rPr>
      </w:pPr>
      <w:r w:rsidRPr="00DE50C4">
        <w:rPr>
          <w:rFonts w:ascii="Verdana" w:hAnsi="Verdana"/>
          <w:i/>
          <w:sz w:val="18"/>
        </w:rPr>
        <w:t>II straipsnis</w:t>
      </w:r>
    </w:p>
    <w:p w:rsidR="003143CD" w:rsidRPr="00DE50C4" w:rsidRDefault="00C93CDF" w:rsidP="00E17C57">
      <w:pPr>
        <w:ind w:left="2268"/>
        <w:rPr>
          <w:rFonts w:ascii="Verdana" w:hAnsi="Verdana"/>
          <w:sz w:val="18"/>
          <w:szCs w:val="18"/>
        </w:rPr>
      </w:pPr>
      <w:r w:rsidRPr="00DE50C4">
        <w:rPr>
          <w:rFonts w:ascii="Verdana" w:hAnsi="Verdana"/>
          <w:sz w:val="18"/>
        </w:rPr>
        <w:t>Į Administracinių nuobaudų (Prekių įstatymas) dekreto priedą įtraukta Augalinių preparatų (Prekių įstatymas) dekreto 4 straipsnio 5 dalis tam, kad jį pažeidus būtų galima taikyti administracines nuobaudas.</w:t>
      </w:r>
    </w:p>
    <w:p w:rsidR="007F2C23" w:rsidRPr="00DE50C4" w:rsidRDefault="007F2C23"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r w:rsidRPr="00DE50C4">
        <w:rPr>
          <w:rFonts w:ascii="Verdana" w:hAnsi="Verdana"/>
          <w:sz w:val="18"/>
        </w:rPr>
        <w:t>Medicininės priežiūros ministras</w:t>
      </w: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p>
    <w:p w:rsidR="003143CD" w:rsidRPr="00DE50C4" w:rsidRDefault="003143CD" w:rsidP="00E17C57">
      <w:pPr>
        <w:tabs>
          <w:tab w:val="left" w:pos="2268"/>
        </w:tabs>
        <w:ind w:left="2268"/>
        <w:rPr>
          <w:rFonts w:ascii="Verdana" w:hAnsi="Verdana"/>
          <w:kern w:val="2"/>
          <w:sz w:val="18"/>
          <w:szCs w:val="18"/>
        </w:rPr>
      </w:pPr>
      <w:r w:rsidRPr="00DE50C4">
        <w:rPr>
          <w:rFonts w:ascii="Verdana" w:hAnsi="Verdana"/>
          <w:sz w:val="18"/>
        </w:rPr>
        <w:t>B. J. Bruins</w:t>
      </w:r>
    </w:p>
    <w:sectPr w:rsidR="003143CD" w:rsidRPr="00DE50C4"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535" w:rsidRDefault="00DE0535">
      <w:r>
        <w:separator/>
      </w:r>
    </w:p>
  </w:endnote>
  <w:endnote w:type="continuationSeparator" w:id="0">
    <w:p w:rsidR="00DE0535" w:rsidRDefault="00DE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DE50C4">
          <w:rPr>
            <w:noProof/>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DE50C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535" w:rsidRDefault="00DE0535">
      <w:r>
        <w:separator/>
      </w:r>
    </w:p>
  </w:footnote>
  <w:footnote w:type="continuationSeparator" w:id="0">
    <w:p w:rsidR="00DE0535" w:rsidRDefault="00DE0535">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Nuolatinėje Prekių įstatymo konsultacijų grupėje dalyvauja įmonių (pramonės ir prekybos), vartotojų, ministerijų (konkrečiai – Visuomenės sveikatos, gerovės ir sporto ministerijos bei Žemės ūkio, gamtos ir maisto kokybės ministerijos) bei Nyderlandų maisto ir vartojimo prekių saugos tarnybos atstovai.</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Sinefrino rizikos vertinimas, Nyderlandų nacionalinis visuomenės sveikatos ir aplinkos institutas, 2018 m. kovo 14 d.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2018 m. kovo 26 d. Rizikų vertinimo ir tyrimo biuro rekomendacija dėl didžiausio sinefrino kiekio augaliniuose preparatuose.</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2015 m. rugsėjo 9 d. Europos Parlamento ir Tarybos direktyva (ES) 2015/1535, kuria nustatoma informacijos apie techninius reglamentus ir informacinės visuomenės paslaugų taisykles teikimo tvarka, (kodifikuota redakcija) (OL L 241, 2015).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2006 m. gruodžio 19 d. Komisijos reglamentas (EB) Nr. 1881/2006, nustatantis didžiausias leistinas tam tikrų teršalų maisto produktuose koncentracijas, (OL L 364, 2006 m.).</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Nyderlandų nacionalinis visuomenės sveikatos ir aplinkos institutas (2008 m.), kininių kurpelių rūšių vertinimas. Nyderlandų nacionalinis visuomenės sveikatos ir aplinkos institutas, Medžiagų ir suminės rizikos vertinimo centras, Bilthovenas, 2008 m. gruodžio 5 d.</w:t>
      </w:r>
    </w:p>
    <w:p w:rsidR="002E5EAB" w:rsidRPr="004B6695" w:rsidRDefault="002E5EAB" w:rsidP="00FC0162">
      <w:pPr>
        <w:pStyle w:val="FootnoteText"/>
        <w:rPr>
          <w:rFonts w:ascii="Verdana" w:hAnsi="Verdana"/>
          <w:sz w:val="16"/>
          <w:szCs w:val="16"/>
        </w:rPr>
      </w:pPr>
      <w:r>
        <w:rPr>
          <w:rFonts w:ascii="Verdana" w:hAnsi="Verdana"/>
          <w:sz w:val="16"/>
        </w:rPr>
        <w:t>Nyderlandų nacionalinis visuomenės sveikatos ir aplinkos institutas (2011 m.), kai kurių konkrečių augalinių preparatų medžiagų sveikatos sutrikimo rizikų vertinimas. Nyderlandų nacionalinis visuomenės sveikatos ir aplinkos institutas, Medžiagų ir suminės rizikos vertinimo centras, Bilthovenas, 2011 m. kovo 30 d.</w:t>
      </w:r>
    </w:p>
    <w:p w:rsidR="002E5EAB" w:rsidRPr="004B6695" w:rsidRDefault="002E5EAB" w:rsidP="00FC0162">
      <w:pPr>
        <w:pStyle w:val="FootnoteText"/>
        <w:rPr>
          <w:rFonts w:ascii="Verdana" w:hAnsi="Verdana"/>
          <w:sz w:val="16"/>
          <w:szCs w:val="16"/>
        </w:rPr>
      </w:pPr>
      <w:r>
        <w:rPr>
          <w:rFonts w:ascii="Verdana" w:hAnsi="Verdana"/>
          <w:sz w:val="16"/>
        </w:rPr>
        <w:t>Nyderlandų nacionalinis visuomenės sveikatos ir aplinkos institutas (2009 m.), „draudžiamų žolinių augalų“ sveikatos sutrikimo rizikų vertinimas, ataskaitos Nr. 320011002. Nyderlandų nacionalinis visuomenės sveikatos ir aplinkos institutas, Medžiagų ir suminės rizikos vertinimo centras, Bilthovenas, 2009 m. birželio 15 d.</w:t>
      </w:r>
    </w:p>
    <w:p w:rsidR="002E5EAB" w:rsidRPr="004B6695" w:rsidRDefault="002E5EAB" w:rsidP="00FC0162">
      <w:pPr>
        <w:pStyle w:val="FootnoteText"/>
        <w:rPr>
          <w:rFonts w:ascii="Verdana" w:hAnsi="Verdana"/>
          <w:sz w:val="16"/>
          <w:szCs w:val="16"/>
        </w:rPr>
      </w:pPr>
      <w:r>
        <w:rPr>
          <w:rFonts w:ascii="Verdana" w:hAnsi="Verdana"/>
          <w:sz w:val="16"/>
        </w:rPr>
        <w:t xml:space="preserve">Nyderlandų nacionalinis visuomenės sveikatos ir aplinkos institutas (2009 m.), </w:t>
      </w:r>
      <w:r>
        <w:rPr>
          <w:rFonts w:ascii="Verdana" w:hAnsi="Verdana"/>
          <w:i/>
          <w:sz w:val="16"/>
        </w:rPr>
        <w:t>Pilocarpus jaborandi</w:t>
      </w:r>
      <w:r>
        <w:rPr>
          <w:rFonts w:ascii="Verdana" w:hAnsi="Verdana"/>
          <w:sz w:val="16"/>
        </w:rPr>
        <w:t xml:space="preserve"> rizikos vertinimas. Nyderlandų nacionalinis visuomenės sveikatos ir aplinkos institutas, Medžiagų ir suminės rizikos vertinimo centras, Bilthovenas, 2009 m. gruodžio 14 d.</w:t>
      </w:r>
    </w:p>
    <w:p w:rsidR="002E5EAB" w:rsidRPr="004B6695" w:rsidRDefault="002E5EAB" w:rsidP="008E734A">
      <w:pPr>
        <w:pStyle w:val="FootnoteText"/>
        <w:rPr>
          <w:rFonts w:ascii="Verdana" w:hAnsi="Verdana"/>
          <w:sz w:val="16"/>
          <w:szCs w:val="16"/>
        </w:rPr>
      </w:pPr>
      <w:r>
        <w:rPr>
          <w:rFonts w:ascii="Verdana" w:hAnsi="Verdana"/>
          <w:sz w:val="16"/>
        </w:rPr>
        <w:t>Nyderlandų nacionalinis visuomenės sveikatos ir aplinkos institutas (2010 m.), prašymo taikyti išimtį ricinos aliejui, remiantis Augalinių preparatų (Prekių įstatymas) dekretu, vertinimas. Nyderlandų nacionalinis visuomenės sveikatos ir aplinkos institutas, Medžiagų ir suminės rizikos vertinimo centras, Bilthovenas, 2010 m. gruodžio 20 d.</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2008 m. gruodžio 16 d. Europos Parlamento ir Tarybos reglamentas (EB) Nr. 1334/2008 dėl kvapiųjų medžiagų ir aromatinių savybių turinčių tam tikrų maisto ingredientų naudojimo maisto produktuose ir ant jų ir iš dalies keičiantis Tarybos reglamentą (EEB) Nr. 1601/91, reglamentus (EB) Nr. 2232/96 ir (EB) Nr. 110/2008 bei Direktyvą 2000/13/EB (OL L 354, 2008 m.).</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Nyderlandų nacionalinis visuomenės sveikatos ir aplinkos institutas (2010 m.), prašymo taikyti išimtį ricinos aliejui, remiantis Augalinių preparatų (Prekių įstatymas) dekretu, vertinimas. Nyderlandų nacionalinis visuomenės sveikatos ir aplinkos institutas, Medžiagų ir suminės rizikos vertinimo centras, Bilthovenas, 2010 m. gruodžio 20 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64D6D1D8"/>
    <w:lvl w:ilvl="0" w:tplc="0413000F">
      <w:start w:val="1"/>
      <w:numFmt w:val="decimal"/>
      <w:lvlText w:val="%1."/>
      <w:lvlJc w:val="left"/>
      <w:pPr>
        <w:ind w:left="2988" w:hanging="360"/>
      </w:pPr>
      <w:rPr>
        <w:rFonts w:hint="default"/>
      </w:rPr>
    </w:lvl>
    <w:lvl w:ilvl="1" w:tplc="04090017">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DE50C4"/>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9308D"/>
    <w:rsid w:val="00F9721E"/>
    <w:rsid w:val="00FA1BC4"/>
    <w:rsid w:val="00FA61EF"/>
    <w:rsid w:val="00FC0162"/>
    <w:rsid w:val="00FC20CC"/>
    <w:rsid w:val="00FC5154"/>
    <w:rsid w:val="00FC6EAD"/>
    <w:rsid w:val="00FE3678"/>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B6E360-1D84-4931-92C9-8141FC60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F4460-B356-41B7-9F2F-62BBB7C8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22</TotalTime>
  <Pages>8</Pages>
  <Words>2222</Words>
  <Characters>12670</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GRYBAUSKAITE, Laura</cp:lastModifiedBy>
  <cp:revision>4</cp:revision>
  <cp:lastPrinted>2019-05-29T13:48:00Z</cp:lastPrinted>
  <dcterms:created xsi:type="dcterms:W3CDTF">2019-07-08T12:56:00Z</dcterms:created>
  <dcterms:modified xsi:type="dcterms:W3CDTF">2019-07-22T13:07:00Z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