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B92" w:rsidRPr="008F61B0" w:rsidRDefault="006B2B92" w:rsidP="006B2B92">
      <w:pPr>
        <w:pStyle w:val="PlainText"/>
        <w:rPr>
          <w:rFonts w:ascii="Courier New" w:hAnsi="Courier New" w:cs="Courier New"/>
          <w:sz w:val="20"/>
          <w:szCs w:val="20"/>
        </w:rPr>
      </w:pPr>
      <w:r>
        <w:rPr>
          <w:rFonts w:ascii="Courier New" w:hAnsi="Courier New"/>
          <w:sz w:val="20"/>
          <w:szCs w:val="20"/>
        </w:rPr>
        <w:t xml:space="preserve">1. ------IND- 2019 0518 F-- ES- ------ 20200930 --- --- FINAL </w:t>
      </w:r>
    </w:p>
    <w:p w:rsidR="00D8408E" w:rsidRPr="00621B9B" w:rsidRDefault="00DD2A33">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10 de abril de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Boletín Oficial de la República Francesa n.º 0085 de 7 de abril de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Texto n.º 11</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Orden de 1 de abril de 2020 por la que se fija la composición de los expedientes de las solicitudes relativas a las autorizaciones de comercialización y los permisos para los fertilizantes, los coadyuvantes para fertilizantes y los sustratos de cultivo, así como los criterios que deben tenerse en cuenta para la elaboración de los elementos necesarios para la evaluación</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A802EC" w:rsidRDefault="00DD2A33">
      <w:pPr>
        <w:widowControl w:val="0"/>
        <w:autoSpaceDE w:val="0"/>
        <w:autoSpaceDN w:val="0"/>
        <w:adjustRightInd w:val="0"/>
        <w:spacing w:after="0" w:line="240" w:lineRule="auto"/>
        <w:jc w:val="center"/>
        <w:rPr>
          <w:rFonts w:ascii="Arial" w:hAnsi="Arial" w:cs="Arial"/>
          <w:sz w:val="24"/>
          <w:szCs w:val="24"/>
          <w:lang w:val="en-US"/>
        </w:rPr>
      </w:pPr>
      <w:r w:rsidRPr="00A802EC">
        <w:rPr>
          <w:rFonts w:ascii="Arial" w:hAnsi="Arial"/>
          <w:sz w:val="24"/>
          <w:szCs w:val="24"/>
          <w:lang w:val="en-US"/>
        </w:rPr>
        <w:t>NOR: AGRG2008998A</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D8408E" w:rsidRPr="00A802EC" w:rsidRDefault="00DD2A33">
      <w:pPr>
        <w:widowControl w:val="0"/>
        <w:autoSpaceDE w:val="0"/>
        <w:autoSpaceDN w:val="0"/>
        <w:adjustRightInd w:val="0"/>
        <w:spacing w:after="0" w:line="240" w:lineRule="auto"/>
        <w:jc w:val="center"/>
        <w:rPr>
          <w:rFonts w:ascii="Arial" w:hAnsi="Arial" w:cs="Arial"/>
          <w:sz w:val="24"/>
          <w:szCs w:val="24"/>
          <w:lang w:val="en-US"/>
        </w:rPr>
      </w:pPr>
      <w:r w:rsidRPr="00A802EC">
        <w:rPr>
          <w:rFonts w:ascii="Arial" w:hAnsi="Arial"/>
          <w:sz w:val="20"/>
          <w:szCs w:val="20"/>
          <w:lang w:val="en-US"/>
        </w:rPr>
        <w:t>ELI:https://www.legifrance.gouv.fr/eli/arrete/2020/4/1/AGRG2008998A/jo/texte</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Personas a las que afecta: Titulares y solicitantes de autorizaciones de comercialización o de permisos para los fertilizantes, los coadyuvantes para fertilizantes y los sustratos de cultivo.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Objeto: Composición de los expedientes de las solicitudes de autorización de comercialización, de permisos de experimentación y de permisos de introducción para los fertilizantes, sus coadyuvantes y los sustratos de cultivo, así como contenido de las notificaciones y las declaraciones relativas a estos productos.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Entrada en vigor: El texto entrará en vigor el día siguiente al de su publicación.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Nota explicativa: La Orden fija, para cada tipo de solicitud, de notificación y de declaración relativa a una autorización o a un permiso para un fertilizante, un coadyuvante para fertilizantes o un sustrato de cultivo, la composición del expediente que debe presentarse a la Agencia nacional de seguridad sanitaria de alimentación, medioambiente y trabajo.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Referencias: La Orden se adopta en aplicación de los artículos R. 255-13 y R. 255-14 del Código rural y de la pesca marítima. Puede consultarse en el sitio web de Légifrance (https://www.legifrance.gouv.fr).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El Ministro de Agricultura y Alimentación,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Visto el Reglamento (CE) n.º 1907/2006 del Parlamento Europeo y del Consejo, de 18 de diciembre de 2006, relativo al registro, la evaluación, la autorización y la restricción de las sustancias y mezclas químicas (REACH), por el que se crea la Agencia Europea de Sustancias y Mezclas Químicas;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Visto el Código rural y de la pesca marítima, en particular los artículos R. 255-13 y R. 255-14;</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Visto el Decreto n.º 80-478, de 16 de junio de 1980, por el que se aplica el artículo L. 412-1 del Código de Consumo en lo referente a los fertilizantes y los sustratos de cultivo;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Vista la propuesta del director general de la Agencia nacional de seguridad sanitaria de alimentación, medioambiente y trabajo, de 2 de agosto de 2019,</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Dispone: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1</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Ámbito de aplicación.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Las disposiciones de la presente Orden se aplicarán a los fertilizantes, los coadyuvantes para fertilizantes y los sustratos de cultivo, designados en adelante con el término «producto», y entendidos como «producto o conjunto de productos» en el sentido del artículo R. 255-1 del Código rural y de la pesca marítima.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2</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Disposiciones comunes.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Cualquier solicitud de autorización de comercialización, de permiso de experimentación o de permiso de introducción de un producto, cualquier solicitud de modificación, renovación o retirada de tales autorizaciones o permisos, así como cualquier transmisión de información, notificación o declaración relativa a estos productos, se presentará a la Agencia nacional de seguridad sanitaria de alimentación, medioambiente y trabajo (Anses). Esta solicitud se presentará en forma de un expediente redactado en francés, a excepción de las disposiciones específicas previstas en el artículo 3.</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Este expediente contendrá:</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1) una carta relativa a la solicitud, transmisión de información, notificación o declaración;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2) un formulario debidamente cumplimentado conforme a las instrucciones correspondientes, fechado y firmado. El formulario y sus instrucciones están disponibles en el sitio web de la Anses;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3) cuando proceda, los elementos complementarios necesarios para el examen y la evaluación de la solicitud o el registro de la notificación o declaración que se prevén en los artículos 3 a 6 de la presente Orden.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Cada expediente se presentará en forma de una versión digital transmitida en un soporte de almacenamiento de datos. Asimismo, podrá incluir una versión en papel, presentada en dos ejemplares y acompañada por un certificado de identidad de los documentos en papel y los documentos en formato electrónico.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El expediente se presentará conforme a las instrucciones que acompañan al formulario de presentación.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Los productos para los que se presenta la solicitud se caracterizarán de conformidad con el anexo de la presente Orden y la guía relativa a la evaluación de los expedientes de solicitud de autorización de comercialización («AMM», por sus siglas en francés) o de permiso para fertilizantes, coadyuvantes para fertilizantes y sustratos de cultivo, disponible en el sitio web de la Anses.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3</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Autorización de comercialización.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7C4F10"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w:t>
      </w:r>
      <w:r w:rsidR="00DD2A33">
        <w:rPr>
          <w:rFonts w:ascii="Arial" w:hAnsi="Arial"/>
          <w:sz w:val="24"/>
          <w:szCs w:val="24"/>
        </w:rPr>
        <w:t xml:space="preserve"> En aras de la evaluación prevista en el artículo L. 255-7 del Código rural y de la pesca marítima, la solicitud de autorización de comercialización de un producto, de renovación o de modificación de una autorización de comercialización de un producto, a excepción de las solicitudes previstas en los apartados III y IV, incluirá los siguientes elementos complementarios: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los datos de trazabilidad del producto y de sus materias primeras, a nivel de los centros de producción y de fabricación, cuando sean diferentes,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composición integral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los informes de análisis de caracterización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información relacionada con la constancia de la composición del producto en relación con los parámetros y valores garantizados, como su homogeneidad, invariabilidad y estabilidad, así como los informes de análisis correspondientes,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información relacionada con la fabricación del producto, en particular la descripción de las materias primas y los auxiliares tecnológicos utilizados, los detalles del proceso de fabricación, los procedimientos de gestión de la calidad, de control y de autocontrol, la definición de los lotes y la gestión de las inconformidades,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informe de síntesis agronómico y los informes de los ensayos que establecen, en las condiciones de uso prescritas, la eficacia del producto en relación con los efectos específicamente reivindicados. En el caso de una solicitud de renovación de una autorización de comercialización, el solicitante justificará la posible ausencia de transmisión de estos informes de síntesis y de ensayos,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informe de síntesis y los informes de los estudios que establecen, en las condiciones de uso prescritas, la ausencia de efectos nocivos del producto en la salud humana, la salud animal y el medioambiente. En el caso de una solicitud de renovación de una autorización de comercialización, el solicitante justificará la posible ausencia de transmisión de estos informes,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en el caso de una solicitud de renovación de una autorización de comercialización, los resultados de los análisis de seguimiento de la producción, así como los datos adicionales posteriores a la autorización requeridos, cuando corresponda, en la decisión inicial,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proyecto de etiqueta o de ficha informativa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ficha de datos de seguridad del producto y del conjunto de materias primas, prevista en el artículo 31 del Reglamento (CE) n.º 1907/2006 antes mencionado.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Los informes de síntesis, de estudios y de ensayos podrán estar escritos en inglés.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 La solicitud de autorización de comercialización de un producto por reconocimiento mutuo a que se refiere el artículo R. 255-17 del Código rural y de la pesca marítima incluirá los siguientes elementos adicionales: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 certificado de identidad del producto objeto de la solicitud con el producto legalmente comercializado en el Estado miembro de referencia,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composición integral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copia de la decisión administrativa, de la norma o del texto reglamentario en virtud del cual se autoriza la comercialización en el Estado miembro de referencia, junto con su traducción al francés o al inglés,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modelo de la etiqueta del producto comercializado en el Estado miembro de referencia y su traducción al francés o al inglés,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lista de cultivos destinados a recibir el producto y las condiciones de uso. Para cada uno de los cultivos o cada tipo de suelo, el solicitante especificará en particular el método de aplicación del producto, las dosis de aporte mínimas y máximas por aplicación y por hectárea, el número anual de aplicaciones, el período o la fase cultural de aplicación. Podrán proponerse medidas de gestión de riesgos,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proyecto de etiqueta o de ficha informativa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ficha de datos de seguridad del producto y del conjunto de materias primas, prevista en el artículo 31 del Reglamento (CE) n.º 1907/2006 antes mencionado.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III. La solicitud de autorización de comercialización de un producto idéntico a un producto ya autorizado incluirá los siguientes elementos adicionales: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los datos de trazabilidad del producto a nivel de los centros de producción y de fabricación, cuando sean diferentes,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 certificado de identidad entre el producto de referencia y el producto para el que se realiza la solicitud,</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proyecto de etiqueta o de ficha informativa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IV. La solicitud de modificación de una autorización de comercialización de un producto con el fin de permitir uno o más usos o modalidades adicionales incluirá, para cada uno de ellos, los siguientes elementos adicionales: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informe de síntesis agronómico y los informes de los ensayos que establecen, en las condiciones de uso prescritas, la eficacia del producto en relación con los efectos específicamente reivindicados,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informe de síntesis y los informes de los estudios que establecen, en las condiciones de uso prescritas, la ausencia de efectos nocivos del producto en la salud humana, la salud animal y el medioambiente,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proyecto de etiqueta o de ficha informativa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Los informes de síntesis, de estudios y de ensayos podrán estar escritos en inglés.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4</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Permiso de experimentación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 La solicitud de permiso de experimentación de un producto o de renovación de este permiso incluirá los siguientes elementos complementarios en aras de la evaluación prevista en el artículo L. 255-8 del Código rural y de la pesca marítima:</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los datos de trazabilidad del producto y de sus materias primeras, a nivel de los centros de producción y de fabricación, cuando sean diferentes,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composición integral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los informes de análisis de caracterización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la ficha de datos de seguridad del producto y del conjunto de materias primas, prevista en el artículo 31 del Reglamento (CE) n.º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 La notificación de la modificación de las condiciones de experimentación incluirá los siguientes elementos complementarios: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una copia del permiso de experimentación,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los elementos justificativos correspondientes.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5</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Permiso de introducción</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La solicitud de permiso de introducción de un producto, de modificación o de renovación de este permiso incluirá los siguientes elementos complementarios en aras de la evaluación prevista en el artículo L. 255-7 del Código rural y de la pesca marítima:</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información que permita evaluar la identidad de los productos de conformidad con el artículo R. 255-20 del Código rural y de la pesca marítima,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la etiqueta original del producto que se está considerando introducir,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7C4F10"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xml:space="preserve">- </w:t>
      </w:r>
      <w:bookmarkStart w:id="0" w:name="_GoBack"/>
      <w:bookmarkEnd w:id="0"/>
      <w:r w:rsidR="00DD2A33">
        <w:rPr>
          <w:rFonts w:ascii="Arial" w:hAnsi="Arial"/>
          <w:sz w:val="24"/>
          <w:szCs w:val="24"/>
        </w:rPr>
        <w:t>el proyecto de etiqueta o de ficha informativa, en francés.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6</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Otras solicitudes o declaraciones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 La solicitud de transferencia de una autorización de comercialización o de un permiso que se prevé en el artículo R. 255-5 del Código rural y de la pesca marítima incluirá los siguientes elementos adicionales: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el ejemplar original de la decisión de autorización o permiso.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 certificado del titular inicial de su acuerdo con la transferencia de la autorización o del permiso.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 La solicitud de agregar una nueva denominación comercial a un producto ya autorizado mencionado en el artículo R. 255-5 del Código rural y de la pesca marítima o la declaración de cambio de denominación comercial de un producto mencionado en el artículo R. 255-9 del mismo Código incluirá los siguientes elementos adicionales: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una copia de la autorización de comercialización o del permiso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 certificado de identidad entre el producto de referencia y el producto para el que se realiza la solicitud.</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III. La declaración de cambio de domicilio del titular incluirá los siguientes elementos adicionales: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una copia de la autorización de comercialización o del permiso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 documento que pruebe el cambio de dirección del titular.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IV. La declaración de cambio de denominación social del titular de una autorización de comercialización de un producto o de un permiso a que se refiere el artículo R. 255-9 del Código rural y de la pesca marítima incluirá los siguientes elementos complementarios: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una copia de la autorización de comercialización o del permiso del producto,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un documento que demuestre el cambio de denominación social.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 La declaración de cambio o adición de un centro de fabricación o producción de un producto mencionado en el artículo R. 255-9 del Código rural y de la pesca marítima incluirá los siguientes elementos complementarios: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los datos de trazabilidad del producto y de sus materias primeras, a nivel de los centros de producción y de fabricación, cuando sean diferentes.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VI. La solicitud de modificación de la información declarada en un expediente en evaluación incluirá los siguientes elementos adicionales :</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para una solicitud de transferencia de un producto: un certificado del titular inicial de su acuerdo con la transferencia de la autorización o del permiso,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para un cambio de dirección del titular: un documento que pruebe el cambio de dirección del titular,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para el cambio de denominación social del titular: un documento que demuestre el cambio de denominación social,</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 para un cambio de nombre comercial del producto: un certificado de identidad entre el producto de referencia y el producto para el que se realiza la solicitud.</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7</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Queda derogada la Orden, de 21 de diciembre de 1998, relativa a la homologación de los fertilizantes y los sustratos de cultivo, en su versión modificada.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Artículo 8</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El Director General de Alimentación será responsable de la ejecución de la presente Orden, que se publicará en el Boletín Oficial de la República Francesa.</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b/>
          <w:bCs/>
          <w:sz w:val="24"/>
          <w:szCs w:val="24"/>
        </w:rPr>
        <w:t>Anexo</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ANEXO</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CONTENIDO DE ELEMENTOS TRAZA METÁLICOS Y COMPUESTOS TRAZA ORGÁNICOS: CRITERIOS MICROBIOLÓGICOS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Los criterios que se indican a continuación son referencias para la calidad de los productos. En caso de rebasamiento, el solicitante deberá presentar la justificación necesaria para los elementos en exceso.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Para verificar la ausencia de efectos nocivos para la salud humana y animal y para el medioambiente, se tendrá en cuenta el aspecto acumulativo de los aportes de elementos traza metálicos y compuestos traza orgánicos presentes en los fertilizantes, sus coadyuvantes o los sustratos de cultivo, teniendo en cuenta las dosis y frecuencias de aporte recomendadas en las condiciones de uso.</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La información se presentará de conformidad con la guía relativa a la evaluación de los expedientes de solicitud de autorización de comercialización (AMM) o de permiso para fertilizantes, coadyuvantes para fertilizantes y sustratos de cultivo, tal y como se menciona en el artículo 2.</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Elementos traza metálicos</w:t>
      </w:r>
    </w:p>
    <w:tbl>
      <w:tblPr>
        <w:tblW w:w="0" w:type="auto"/>
        <w:tblInd w:w="8" w:type="dxa"/>
        <w:tblLayout w:type="fixed"/>
        <w:tblCellMar>
          <w:left w:w="0" w:type="dxa"/>
          <w:right w:w="0" w:type="dxa"/>
        </w:tblCellMar>
        <w:tblLook w:val="0000" w:firstRow="0" w:lastRow="0" w:firstColumn="0" w:lastColumn="0" w:noHBand="0" w:noVBand="0"/>
      </w:tblPr>
      <w:tblGrid>
        <w:gridCol w:w="3200"/>
        <w:gridCol w:w="3200"/>
        <w:gridCol w:w="3200"/>
        <w:gridCol w:w="30"/>
      </w:tblGrid>
      <w:tr w:rsidR="00D8408E" w:rsidRPr="00621B9B" w:rsidTr="00B553AE">
        <w:trPr>
          <w:gridAfter w:val="1"/>
          <w:wAfter w:w="2" w:type="dxa"/>
          <w:trHeight w:val="276"/>
        </w:trPr>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D8408E" w:rsidRPr="00621B9B" w:rsidRDefault="00D8408E" w:rsidP="00990A0D">
            <w:pPr>
              <w:keepNext/>
              <w:widowControl w:val="0"/>
              <w:autoSpaceDE w:val="0"/>
              <w:autoSpaceDN w:val="0"/>
              <w:adjustRightInd w:val="0"/>
              <w:spacing w:after="0" w:line="240" w:lineRule="auto"/>
              <w:jc w:val="center"/>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Contenidos máximos para fertilizantes</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(en mg/kg de materia seca)</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Contenidos máximos para sustratos de cultivo</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(en mg/kg de materia seca)</w:t>
            </w: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As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40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40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Cd</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Cr VI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2</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2</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Cr total</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Cu</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300 (*)</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200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Hg</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Ni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50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Pb</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120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Zn</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800 (*)</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500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 Excepto en caso de necesidad reconocida de acuerdo con la normativa aplicable.</w:t>
      </w:r>
    </w:p>
    <w:p w:rsidR="00621B9B" w:rsidRDefault="00621B9B">
      <w:pPr>
        <w:widowControl w:val="0"/>
        <w:autoSpaceDE w:val="0"/>
        <w:autoSpaceDN w:val="0"/>
        <w:adjustRightInd w:val="0"/>
        <w:spacing w:after="0" w:line="240" w:lineRule="auto"/>
        <w:rPr>
          <w:rFonts w:ascii="Arial" w:hAnsi="Arial" w:cs="Arial"/>
          <w:sz w:val="24"/>
          <w:szCs w:val="24"/>
        </w:rPr>
      </w:pPr>
    </w:p>
    <w:p w:rsidR="00B553AE" w:rsidRPr="00621B9B" w:rsidRDefault="00B553AE">
      <w:pPr>
        <w:widowControl w:val="0"/>
        <w:autoSpaceDE w:val="0"/>
        <w:autoSpaceDN w:val="0"/>
        <w:adjustRightInd w:val="0"/>
        <w:spacing w:after="0" w:line="240" w:lineRule="auto"/>
        <w:rPr>
          <w:rFonts w:ascii="Arial" w:hAnsi="Arial" w:cs="Arial"/>
          <w:sz w:val="24"/>
          <w:szCs w:val="24"/>
        </w:rPr>
      </w:pPr>
    </w:p>
    <w:p w:rsidR="00D8408E" w:rsidRPr="00621B9B" w:rsidRDefault="00621B9B" w:rsidP="00990A0D">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Compuestos traza orgánicos</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D8408E" w:rsidRPr="00621B9B">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Suma de 16 hidrocarburos aromáticos policíclicos (HAP):</w:t>
            </w:r>
          </w:p>
          <w:p w:rsidR="00621B9B" w:rsidRPr="00621B9B" w:rsidRDefault="00621B9B">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Naftaleno, acenaftileno, acenafteno, fluoreno, fenantreno, antraceno, fluoranteno, pireno, benzo[a]antraceno, criseno, benzo[b]fluoranteno, benzo[k]fluoranteno, benzo[a]pireno, indeno[1,2,3-cd]pireno, dibenzo[a, h]antraceno y benzo[ghi]perileno.</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Contenido máximo:</w:t>
            </w:r>
          </w:p>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6 mg/kg materia seca</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C34831" w:rsidRDefault="00C34831" w:rsidP="00C34831">
      <w:pPr>
        <w:widowControl w:val="0"/>
        <w:autoSpaceDE w:val="0"/>
        <w:autoSpaceDN w:val="0"/>
        <w:adjustRightInd w:val="0"/>
        <w:spacing w:after="0" w:line="240" w:lineRule="auto"/>
        <w:rPr>
          <w:rFonts w:ascii="Arial" w:hAnsi="Arial" w:cs="Arial"/>
          <w:sz w:val="24"/>
          <w:szCs w:val="24"/>
        </w:rPr>
      </w:pPr>
      <w:r>
        <w:rPr>
          <w:rFonts w:ascii="Arial" w:hAnsi="Arial"/>
          <w:sz w:val="24"/>
          <w:szCs w:val="24"/>
        </w:rPr>
        <w:t>Criterios microbiológicos </w:t>
      </w:r>
    </w:p>
    <w:tbl>
      <w:tblPr>
        <w:tblW w:w="9640" w:type="dxa"/>
        <w:tblInd w:w="8" w:type="dxa"/>
        <w:tblLayout w:type="fixed"/>
        <w:tblCellMar>
          <w:left w:w="0" w:type="dxa"/>
          <w:right w:w="0" w:type="dxa"/>
        </w:tblCellMar>
        <w:tblLook w:val="0000" w:firstRow="0" w:lastRow="0" w:firstColumn="0" w:lastColumn="0" w:noHBand="0" w:noVBand="0"/>
      </w:tblPr>
      <w:tblGrid>
        <w:gridCol w:w="1600"/>
        <w:gridCol w:w="1264"/>
        <w:gridCol w:w="1440"/>
        <w:gridCol w:w="1350"/>
        <w:gridCol w:w="1440"/>
        <w:gridCol w:w="1260"/>
        <w:gridCol w:w="1286"/>
      </w:tblGrid>
      <w:tr w:rsidR="00C34831" w:rsidTr="00C34831">
        <w:tc>
          <w:tcPr>
            <w:tcW w:w="1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Cultivos</w:t>
            </w:r>
          </w:p>
        </w:tc>
      </w:tr>
      <w:tr w:rsidR="00C34831" w:rsidTr="00C5171F">
        <w:tc>
          <w:tcPr>
            <w:tcW w:w="16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26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Grandes cultivos</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Arboricultura, viticultura,</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frutos pequeños</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Pastizales,</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praderas</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Silvicultura, vivero ornamental</w:t>
            </w:r>
          </w:p>
        </w:tc>
        <w:tc>
          <w:tcPr>
            <w:tcW w:w="126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Cultivos florales</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Verduras, fresas</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Microorganismos patógenos para los seres humanos o los animales:</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Enterococos</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Escherichia coli</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Clostridium perfringens (esporas y formas vegetativas)</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&lt;100/g*</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&lt;10/g*</w:t>
            </w:r>
          </w:p>
        </w:tc>
        <w:tc>
          <w:tcPr>
            <w:tcW w:w="2700"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Salmonela</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Ausencia en 1 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Ausencia en 25 g</w:t>
            </w:r>
          </w:p>
        </w:tc>
      </w:tr>
      <w:tr w:rsidR="00C34831" w:rsidTr="00C34831">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Staphylococcus aureus o</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coagulasa +</w:t>
            </w: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&lt;10/g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Listeria monocytogenes</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Ausencia en 25 g (pradera)</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Ausencia en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Macroorganismos patógenos para los seres humanos o los animales:</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Nematodos (huevos y larvas)</w:t>
            </w:r>
          </w:p>
        </w:tc>
        <w:tc>
          <w:tcPr>
            <w:tcW w:w="5494" w:type="dxa"/>
            <w:gridSpan w:val="4"/>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Ausencia en 1 g**</w:t>
            </w: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Ausencia en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Los métodos de análisis recomendados se especifican en la guía publicada por la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 Los análisis adicionales recomendados según la naturaleza de los productos y cultivos reivindicados se especifican en la guía publicada por la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rFonts w:ascii="Arial" w:hAnsi="Arial" w:cs="Arial"/>
                <w:sz w:val="24"/>
                <w:szCs w:val="24"/>
              </w:rPr>
            </w:pPr>
            <w:r>
              <w:rPr>
                <w:rFonts w:ascii="Arial" w:hAnsi="Arial"/>
                <w:sz w:val="24"/>
                <w:szCs w:val="24"/>
              </w:rPr>
              <w:t>** Si hay presencia de larvas, los análisis adicionales recomendados según los cultivos reivindicados se especifican en la guía publicada por la Anses.</w:t>
            </w: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Resistencia a antibióticos</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En el caso de los productos compuestos por uno o más microorganismos (bacterias), o en los que se hayan incorporado uno o más microorganismos (bacterias), para los que se reclame un efecto fertilizante, deberá establecerse un antibiograma con referencia a la guía de la AESA (1)y a las clases de antibióticos definidas por la OMS (2).</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A802EC" w:rsidRDefault="00DD2A33" w:rsidP="00990A0D">
      <w:pPr>
        <w:widowControl w:val="0"/>
        <w:autoSpaceDE w:val="0"/>
        <w:autoSpaceDN w:val="0"/>
        <w:adjustRightInd w:val="0"/>
        <w:spacing w:after="0" w:line="240" w:lineRule="auto"/>
        <w:jc w:val="both"/>
        <w:rPr>
          <w:rFonts w:ascii="Arial" w:hAnsi="Arial" w:cs="Arial"/>
          <w:sz w:val="24"/>
          <w:szCs w:val="24"/>
          <w:lang w:val="en-US"/>
        </w:rPr>
      </w:pPr>
      <w:r w:rsidRPr="00A802EC">
        <w:rPr>
          <w:rFonts w:ascii="Arial" w:hAnsi="Arial"/>
          <w:sz w:val="24"/>
          <w:szCs w:val="24"/>
          <w:lang w:val="en-US"/>
        </w:rPr>
        <w:t>(1) Guidance on microorganisms used as feed additives or as production organisms, Table 2 (EFSA).</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A802EC" w:rsidRDefault="00DD2A33" w:rsidP="00990A0D">
      <w:pPr>
        <w:widowControl w:val="0"/>
        <w:autoSpaceDE w:val="0"/>
        <w:autoSpaceDN w:val="0"/>
        <w:adjustRightInd w:val="0"/>
        <w:spacing w:after="0" w:line="240" w:lineRule="auto"/>
        <w:jc w:val="both"/>
        <w:rPr>
          <w:rFonts w:ascii="Arial" w:hAnsi="Arial" w:cs="Arial"/>
          <w:sz w:val="24"/>
          <w:szCs w:val="24"/>
          <w:lang w:val="en-US"/>
        </w:rPr>
      </w:pPr>
      <w:r w:rsidRPr="00A802EC">
        <w:rPr>
          <w:rFonts w:ascii="Arial" w:hAnsi="Arial"/>
          <w:sz w:val="24"/>
          <w:szCs w:val="24"/>
          <w:lang w:val="en-US"/>
        </w:rPr>
        <w:t>(2) WHO List of Essential Medicines (OMS).</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rFonts w:ascii="Arial" w:hAnsi="Arial" w:cs="Arial"/>
          <w:sz w:val="24"/>
          <w:szCs w:val="24"/>
        </w:rPr>
      </w:pPr>
      <w:r>
        <w:rPr>
          <w:rFonts w:ascii="Arial" w:hAnsi="Arial"/>
          <w:sz w:val="24"/>
          <w:szCs w:val="24"/>
        </w:rPr>
        <w:t>A 1 de abril de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En nombre del Ministro y por delegación:</w:t>
      </w:r>
    </w:p>
    <w:p w:rsidR="00621B9B"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El Subdirector General de Alimentación,</w:t>
      </w:r>
    </w:p>
    <w:p w:rsidR="00621B9B" w:rsidRPr="00621B9B" w:rsidRDefault="00DD2A33">
      <w:pPr>
        <w:widowControl w:val="0"/>
        <w:autoSpaceDE w:val="0"/>
        <w:autoSpaceDN w:val="0"/>
        <w:adjustRightInd w:val="0"/>
        <w:spacing w:after="0" w:line="240" w:lineRule="auto"/>
        <w:rPr>
          <w:rFonts w:ascii="Arial" w:hAnsi="Arial" w:cs="Arial"/>
          <w:sz w:val="24"/>
          <w:szCs w:val="24"/>
        </w:rPr>
      </w:pPr>
      <w:r>
        <w:rPr>
          <w:rFonts w:ascii="Arial" w:hAnsi="Arial"/>
          <w:sz w:val="24"/>
          <w:szCs w:val="24"/>
        </w:rPr>
        <w:t>L. Evain</w:t>
      </w:r>
    </w:p>
    <w:sectPr w:rsidR="00621B9B" w:rsidRPr="00621B9B">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BB4" w:rsidRDefault="005D1BB4" w:rsidP="00716768">
      <w:pPr>
        <w:spacing w:after="0" w:line="240" w:lineRule="auto"/>
      </w:pPr>
      <w:r>
        <w:separator/>
      </w:r>
    </w:p>
  </w:endnote>
  <w:endnote w:type="continuationSeparator" w:id="0">
    <w:p w:rsidR="005D1BB4" w:rsidRDefault="005D1BB4" w:rsidP="0071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BB4" w:rsidRDefault="005D1BB4" w:rsidP="00716768">
      <w:pPr>
        <w:spacing w:after="0" w:line="240" w:lineRule="auto"/>
      </w:pPr>
      <w:r>
        <w:separator/>
      </w:r>
    </w:p>
  </w:footnote>
  <w:footnote w:type="continuationSeparator" w:id="0">
    <w:p w:rsidR="005D1BB4" w:rsidRDefault="005D1BB4" w:rsidP="007167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03F9B"/>
    <w:multiLevelType w:val="singleLevel"/>
    <w:tmpl w:val="53A5200D"/>
    <w:lvl w:ilvl="0">
      <w:start w:val="1"/>
      <w:numFmt w:val="bullet"/>
      <w:lvlText w:val="·"/>
      <w:lvlJc w:val="left"/>
      <w:rPr>
        <w:rFonts w:ascii="Times New Roman" w:hAnsi="Times New Roman" w:cs="Times New Roman"/>
      </w:rPr>
    </w:lvl>
  </w:abstractNum>
  <w:abstractNum w:abstractNumId="1" w15:restartNumberingAfterBreak="0">
    <w:nsid w:val="53C61E88"/>
    <w:multiLevelType w:val="singleLevel"/>
    <w:tmpl w:val="0EC5D46D"/>
    <w:lvl w:ilvl="0">
      <w:start w:val="1"/>
      <w:numFmt w:val="bullet"/>
      <w:lvlText w:val="·"/>
      <w:lvlJc w:val="left"/>
      <w:rPr>
        <w:rFonts w:ascii="Times New Roman" w:hAnsi="Times New Roman" w:cs="Times New Roman"/>
      </w:r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28"/>
    <w:rsid w:val="000C1AB6"/>
    <w:rsid w:val="00510235"/>
    <w:rsid w:val="005D1BB4"/>
    <w:rsid w:val="00621B9B"/>
    <w:rsid w:val="00633B32"/>
    <w:rsid w:val="006B2B92"/>
    <w:rsid w:val="00716768"/>
    <w:rsid w:val="00755C28"/>
    <w:rsid w:val="007C4F10"/>
    <w:rsid w:val="00915AB1"/>
    <w:rsid w:val="00990A0D"/>
    <w:rsid w:val="00A619BA"/>
    <w:rsid w:val="00A802EC"/>
    <w:rsid w:val="00B553AE"/>
    <w:rsid w:val="00C34831"/>
    <w:rsid w:val="00C5171F"/>
    <w:rsid w:val="00D8408E"/>
    <w:rsid w:val="00DD2A3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7528802-E004-4F22-8A01-B9E922B2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768"/>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6768"/>
  </w:style>
  <w:style w:type="paragraph" w:styleId="Footer">
    <w:name w:val="footer"/>
    <w:basedOn w:val="Normal"/>
    <w:link w:val="FooterChar"/>
    <w:uiPriority w:val="99"/>
    <w:unhideWhenUsed/>
    <w:rsid w:val="00716768"/>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6768"/>
  </w:style>
  <w:style w:type="paragraph" w:styleId="PlainText">
    <w:name w:val="Plain Text"/>
    <w:basedOn w:val="Normal"/>
    <w:link w:val="PlainTextChar"/>
    <w:uiPriority w:val="99"/>
    <w:unhideWhenUsed/>
    <w:rsid w:val="006B2B92"/>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6B2B92"/>
    <w:rPr>
      <w:rFonts w:ascii="Consolas" w:eastAsia="Times New Roman" w:hAnsi="Consolas" w:cs="Times New Roman"/>
      <w:sz w:val="21"/>
      <w:szCs w:val="21"/>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2704</Words>
  <Characters>15417</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Liu, Lei</cp:lastModifiedBy>
  <cp:revision>16</cp:revision>
  <dcterms:created xsi:type="dcterms:W3CDTF">2020-04-10T08:50:00Z</dcterms:created>
  <dcterms:modified xsi:type="dcterms:W3CDTF">2020-10-09T02:24:00Z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Apr 10 10:49:34 CEST 2020</vt:lpwstr>
  </property>
  <property fmtid="{D5CDD505-2E9C-101B-9397-08002B2CF9AE}" pid="3" name="jforVersion">
    <vt:lpwstr>jfor V0.7.2rc1 - see http://www.jfor.org</vt:lpwstr>
  </property>
</Properties>
</file>