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D0F" w:rsidRPr="00B00403" w:rsidRDefault="00943D0F" w:rsidP="00943D0F">
      <w:pPr>
        <w:pStyle w:val="PlainText"/>
        <w:rPr>
          <w:rFonts w:ascii="Courier New" w:hAnsi="Courier New" w:cs="Courier New"/>
          <w:sz w:val="20"/>
          <w:szCs w:val="20"/>
        </w:rPr>
      </w:pPr>
      <w:r>
        <w:rPr>
          <w:rFonts w:ascii="Courier New" w:hAnsi="Courier New"/>
          <w:sz w:val="20"/>
        </w:rPr>
        <w:t xml:space="preserve">1. ------IND- 2017 0284 S-- LT- ------ 20190508 --- --- FINAL </w:t>
      </w:r>
    </w:p>
    <w:p w:rsidR="00943D0F" w:rsidRDefault="00943D0F" w:rsidP="00015EA3">
      <w:pPr>
        <w:spacing w:after="120" w:line="259" w:lineRule="auto"/>
        <w:ind w:left="0" w:firstLine="0"/>
        <w:jc w:val="left"/>
        <w:rPr>
          <w:b/>
          <w:sz w:val="36"/>
        </w:rPr>
      </w:pPr>
    </w:p>
    <w:p w:rsidR="00DB4B0C" w:rsidRDefault="00643102" w:rsidP="00015EA3">
      <w:pPr>
        <w:spacing w:after="120" w:line="259" w:lineRule="auto"/>
        <w:ind w:left="0" w:firstLine="0"/>
        <w:jc w:val="left"/>
        <w:rPr>
          <w:b/>
          <w:sz w:val="36"/>
        </w:rPr>
      </w:pPr>
      <w:r>
        <w:rPr>
          <w:noProof/>
          <w:lang w:val="en-US" w:eastAsia="en-US" w:bidi="ar-SA"/>
        </w:rPr>
        <w:drawing>
          <wp:anchor distT="0" distB="0" distL="114300" distR="114300" simplePos="0" relativeHeight="251658240" behindDoc="0" locked="0" layoutInCell="1" allowOverlap="1">
            <wp:simplePos x="0" y="0"/>
            <wp:positionH relativeFrom="column">
              <wp:posOffset>3790950</wp:posOffset>
            </wp:positionH>
            <wp:positionV relativeFrom="paragraph">
              <wp:posOffset>-212725</wp:posOffset>
            </wp:positionV>
            <wp:extent cx="431800" cy="768985"/>
            <wp:effectExtent l="0" t="0" r="6350" b="0"/>
            <wp:wrapNone/>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768985"/>
                    </a:xfrm>
                    <a:prstGeom prst="rect">
                      <a:avLst/>
                    </a:prstGeom>
                    <a:noFill/>
                  </pic:spPr>
                </pic:pic>
              </a:graphicData>
            </a:graphic>
            <wp14:sizeRelH relativeFrom="page">
              <wp14:pctWidth>0</wp14:pctWidth>
            </wp14:sizeRelH>
            <wp14:sizeRelV relativeFrom="page">
              <wp14:pctHeight>0</wp14:pctHeight>
            </wp14:sizeRelV>
          </wp:anchor>
        </w:drawing>
      </w:r>
      <w:r>
        <w:rPr>
          <w:b/>
          <w:sz w:val="36"/>
        </w:rPr>
        <w:t>Švedijos teisės aktų rinkinys</w:t>
      </w:r>
    </w:p>
    <w:p w:rsidR="00015EA3" w:rsidRDefault="00643102" w:rsidP="00015EA3">
      <w:pPr>
        <w:pBdr>
          <w:bottom w:val="single" w:sz="4" w:space="1" w:color="auto"/>
        </w:pBdr>
        <w:spacing w:after="120" w:line="259" w:lineRule="auto"/>
        <w:ind w:left="0" w:firstLine="0"/>
        <w:jc w:val="left"/>
        <w:rPr>
          <w:b/>
          <w:sz w:val="36"/>
        </w:rPr>
      </w:pPr>
      <w:r>
        <w:rPr>
          <w:b/>
          <w:noProof/>
          <w:sz w:val="26"/>
          <w:lang w:val="en-US" w:eastAsia="en-US" w:bidi="ar-SA"/>
        </w:rPr>
        <mc:AlternateContent>
          <mc:Choice Requires="wps">
            <w:drawing>
              <wp:anchor distT="0" distB="0" distL="114300" distR="114300" simplePos="0" relativeHeight="251657216" behindDoc="0" locked="0" layoutInCell="1" allowOverlap="1">
                <wp:simplePos x="0" y="0"/>
                <wp:positionH relativeFrom="column">
                  <wp:posOffset>3745865</wp:posOffset>
                </wp:positionH>
                <wp:positionV relativeFrom="paragraph">
                  <wp:posOffset>337820</wp:posOffset>
                </wp:positionV>
                <wp:extent cx="1264920" cy="828040"/>
                <wp:effectExtent l="0" t="0" r="3175" b="4445"/>
                <wp:wrapNone/>
                <wp:docPr id="3" name="Textruta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8280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B4B0C" w:rsidRDefault="00DB4B0C" w:rsidP="00DB4B0C">
                            <w:pPr>
                              <w:spacing w:after="160" w:line="259" w:lineRule="auto"/>
                              <w:ind w:left="0" w:firstLine="0"/>
                              <w:jc w:val="left"/>
                              <w:rPr>
                                <w:b/>
                                <w:sz w:val="26"/>
                              </w:rPr>
                            </w:pPr>
                            <w:r>
                              <w:rPr>
                                <w:b/>
                                <w:sz w:val="26"/>
                              </w:rPr>
                              <w:t>SFS 2018:55</w:t>
                            </w:r>
                          </w:p>
                          <w:p w:rsidR="00DB4B0C" w:rsidRPr="0010495B" w:rsidRDefault="00DB4B0C" w:rsidP="00DB4B0C">
                            <w:pPr>
                              <w:spacing w:after="160" w:line="259" w:lineRule="auto"/>
                              <w:ind w:left="0" w:firstLine="0"/>
                              <w:jc w:val="left"/>
                              <w:rPr>
                                <w:sz w:val="17"/>
                                <w:szCs w:val="17"/>
                              </w:rPr>
                            </w:pPr>
                            <w:r w:rsidRPr="0010495B">
                              <w:rPr>
                                <w:sz w:val="17"/>
                                <w:szCs w:val="17"/>
                              </w:rPr>
                              <w:t>Paskelbta</w:t>
                            </w:r>
                            <w:r w:rsidRPr="0010495B">
                              <w:rPr>
                                <w:sz w:val="17"/>
                                <w:szCs w:val="17"/>
                              </w:rPr>
                              <w:br/>
                              <w:t>2018 m. vasario 13 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5" o:spid="_x0000_s1026" type="#_x0000_t202" style="position:absolute;margin-left:294.95pt;margin-top:26.6pt;width:99.6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" stroked="f" strokeweight=".5pt">
                <v:textbox inset="0,0,0,0">
                  <w:txbxContent>
                    <w:p w:rsidR="00DB4B0C" w:rsidRDefault="00DB4B0C" w:rsidP="00DB4B0C">
                      <w:pPr>
                        <w:spacing w:after="160" w:line="259" w:lineRule="auto"/>
                        <w:ind w:left="0" w:firstLine="0"/>
                        <w:jc w:val="left"/>
                        <w:rPr>
                          <w:b/>
                          <w:sz w:val="26"/>
                        </w:rPr>
                      </w:pPr>
                      <w:r>
                        <w:rPr>
                          <w:b/>
                          <w:sz w:val="26"/>
                        </w:rPr>
                        <w:t>SFS 2018:55</w:t>
                      </w:r>
                    </w:p>
                    <w:p w:rsidR="00DB4B0C" w:rsidRPr="0010495B" w:rsidRDefault="00DB4B0C" w:rsidP="00DB4B0C">
                      <w:pPr>
                        <w:spacing w:after="160" w:line="259" w:lineRule="auto"/>
                        <w:ind w:left="0" w:firstLine="0"/>
                        <w:jc w:val="left"/>
                        <w:rPr>
                          <w:sz w:val="17"/>
                          <w:szCs w:val="17"/>
                        </w:rPr>
                      </w:pPr>
                      <w:r w:rsidRPr="0010495B">
                        <w:rPr>
                          <w:sz w:val="17"/>
                          <w:szCs w:val="17"/>
                        </w:rPr>
                        <w:t>Paskelbta</w:t>
                      </w:r>
                      <w:r w:rsidRPr="0010495B">
                        <w:rPr>
                          <w:sz w:val="17"/>
                          <w:szCs w:val="17"/>
                        </w:rPr>
                        <w:br/>
                        <w:t>2018 m. vasario 13 d.</w:t>
                      </w:r>
                    </w:p>
                  </w:txbxContent>
                </v:textbox>
              </v:shape>
            </w:pict>
          </mc:Fallback>
        </mc:AlternateContent>
      </w:r>
    </w:p>
    <w:p w:rsidR="00551E3F" w:rsidRDefault="00DB4B0C" w:rsidP="00DA5828">
      <w:pPr>
        <w:spacing w:before="240" w:after="240" w:line="216" w:lineRule="auto"/>
        <w:ind w:left="0" w:firstLine="0"/>
        <w:jc w:val="left"/>
      </w:pPr>
      <w:r>
        <w:rPr>
          <w:b/>
          <w:sz w:val="26"/>
        </w:rPr>
        <w:t>Potvarkis, kuriuo iš dalies keičiamas Chemijos produktų (tvarkymo, importo ir eksporto draudimų) potvarkis Nr. 1998:944</w:t>
      </w:r>
    </w:p>
    <w:p w:rsidR="00551E3F" w:rsidRDefault="00CC49D7" w:rsidP="00DA5828">
      <w:pPr>
        <w:spacing w:after="221"/>
        <w:ind w:left="0" w:firstLine="0"/>
      </w:pPr>
      <w:r>
        <w:t>paskelbtas 2018 m. vasario 01 d.</w:t>
      </w:r>
    </w:p>
    <w:p w:rsidR="00551E3F" w:rsidRDefault="00CC49D7" w:rsidP="00015EA3">
      <w:pPr>
        <w:spacing w:after="240"/>
        <w:ind w:left="0" w:firstLine="193"/>
      </w:pPr>
      <w:r>
        <w:t xml:space="preserve">Dėl Chemijos produktų (tvarkymo, importo ir eksporto draudimų) potvarkio Nr. 1998:944 Vyriausybė nustato, </w:t>
      </w:r>
      <w:r>
        <w:rPr>
          <w:vertAlign w:val="superscript"/>
        </w:rPr>
        <w:footnoteReference w:id="1"/>
      </w:r>
      <w:r>
        <w:t xml:space="preserve"> pirma, kad 1 ir 5 straipsniai išdėstomi, kaip nurodyta toliau, o antra, kad toliau pateikiami keturi nauji straipsniai – 1a ir 4 įskaitant prieš antraštę esantį tekstą), 4–4b straipsniai – įterpiami į potvarkį.</w:t>
      </w:r>
    </w:p>
    <w:p w:rsidR="00551E3F" w:rsidRDefault="00CC49D7" w:rsidP="00DA5828">
      <w:pPr>
        <w:keepNext/>
        <w:keepLines/>
        <w:ind w:left="0" w:firstLine="0"/>
      </w:pPr>
      <w:r>
        <w:rPr>
          <w:b/>
        </w:rPr>
        <w:t>1 straipsnis.</w:t>
      </w:r>
      <w:r>
        <w:rPr>
          <w:vertAlign w:val="superscript"/>
        </w:rPr>
        <w:footnoteReference w:id="2"/>
      </w:r>
      <w:r>
        <w:t xml:space="preserve"> Šiame potvarkyje pateikiamos konkrečios nuostatos, kuriomis uždraudžiamas arba kitaip apribojamas šių produktų tvarkymas: </w:t>
      </w:r>
    </w:p>
    <w:p w:rsidR="00551E3F" w:rsidRDefault="00CC49D7" w:rsidP="00015EA3">
      <w:pPr>
        <w:numPr>
          <w:ilvl w:val="0"/>
          <w:numId w:val="1"/>
        </w:numPr>
        <w:tabs>
          <w:tab w:val="left" w:pos="567"/>
        </w:tabs>
        <w:ind w:left="0" w:firstLine="192"/>
      </w:pPr>
      <w:r>
        <w:t>Dviejų komponentų epoksidų, kuriuos sudaro bisfenolis A arba bisfenolio A diglicidileteriai,</w:t>
      </w:r>
    </w:p>
    <w:p w:rsidR="00551E3F" w:rsidRDefault="00CC49D7" w:rsidP="00015EA3">
      <w:pPr>
        <w:numPr>
          <w:ilvl w:val="0"/>
          <w:numId w:val="1"/>
        </w:numPr>
        <w:tabs>
          <w:tab w:val="left" w:pos="567"/>
        </w:tabs>
        <w:ind w:left="0" w:firstLine="192"/>
      </w:pPr>
      <w:r>
        <w:t>kadmio,</w:t>
      </w:r>
    </w:p>
    <w:p w:rsidR="00551E3F" w:rsidRDefault="00CC49D7" w:rsidP="00015EA3">
      <w:pPr>
        <w:numPr>
          <w:ilvl w:val="0"/>
          <w:numId w:val="1"/>
        </w:numPr>
        <w:pBdr>
          <w:left w:val="single" w:sz="4" w:space="4" w:color="auto"/>
        </w:pBdr>
        <w:tabs>
          <w:tab w:val="left" w:pos="567"/>
        </w:tabs>
        <w:ind w:left="0" w:firstLine="192"/>
      </w:pPr>
      <w:r>
        <w:t>kosmetikos gaminiuose esančių plastiko mikrogranulių</w:t>
      </w:r>
    </w:p>
    <w:p w:rsidR="00551E3F" w:rsidRDefault="00CC49D7" w:rsidP="00015EA3">
      <w:pPr>
        <w:numPr>
          <w:ilvl w:val="0"/>
          <w:numId w:val="1"/>
        </w:numPr>
        <w:pBdr>
          <w:left w:val="single" w:sz="4" w:space="4" w:color="auto"/>
        </w:pBdr>
        <w:tabs>
          <w:tab w:val="left" w:pos="567"/>
        </w:tabs>
        <w:ind w:left="0" w:firstLine="192"/>
      </w:pPr>
      <w:r>
        <w:t>chlorintųjų tirpiklių,</w:t>
      </w:r>
    </w:p>
    <w:p w:rsidR="00551E3F" w:rsidRDefault="00CC49D7" w:rsidP="00015EA3">
      <w:pPr>
        <w:numPr>
          <w:ilvl w:val="0"/>
          <w:numId w:val="1"/>
        </w:numPr>
        <w:pBdr>
          <w:left w:val="single" w:sz="4" w:space="4" w:color="auto"/>
        </w:pBdr>
        <w:tabs>
          <w:tab w:val="left" w:pos="567"/>
        </w:tabs>
        <w:ind w:left="0" w:firstLine="192"/>
      </w:pPr>
      <w:r>
        <w:t>gyvsidabrio,</w:t>
      </w:r>
    </w:p>
    <w:p w:rsidR="00551E3F" w:rsidRDefault="00CC49D7" w:rsidP="00015EA3">
      <w:pPr>
        <w:numPr>
          <w:ilvl w:val="0"/>
          <w:numId w:val="1"/>
        </w:numPr>
        <w:pBdr>
          <w:left w:val="single" w:sz="4" w:space="4" w:color="auto"/>
        </w:pBdr>
        <w:tabs>
          <w:tab w:val="left" w:pos="567"/>
        </w:tabs>
        <w:ind w:left="0" w:firstLine="192"/>
      </w:pPr>
      <w:r>
        <w:t>kadmio ir gyvsidabrio baterijose,</w:t>
      </w:r>
    </w:p>
    <w:p w:rsidR="00551E3F" w:rsidRDefault="00CC49D7" w:rsidP="00015EA3">
      <w:pPr>
        <w:numPr>
          <w:ilvl w:val="0"/>
          <w:numId w:val="1"/>
        </w:numPr>
        <w:pBdr>
          <w:left w:val="single" w:sz="4" w:space="4" w:color="auto"/>
        </w:pBdr>
        <w:tabs>
          <w:tab w:val="left" w:pos="567"/>
        </w:tabs>
        <w:ind w:left="0" w:firstLine="192"/>
      </w:pPr>
      <w:r>
        <w:t>sunkiųjų metalų pakuotėse,</w:t>
      </w:r>
    </w:p>
    <w:p w:rsidR="00551E3F" w:rsidRDefault="00CC49D7" w:rsidP="00015EA3">
      <w:pPr>
        <w:numPr>
          <w:ilvl w:val="0"/>
          <w:numId w:val="1"/>
        </w:numPr>
        <w:pBdr>
          <w:left w:val="single" w:sz="4" w:space="4" w:color="auto"/>
        </w:pBdr>
        <w:tabs>
          <w:tab w:val="left" w:pos="567"/>
        </w:tabs>
        <w:ind w:left="0" w:firstLine="192"/>
      </w:pPr>
      <w:r>
        <w:t>švino turinčių šaudmenų,</w:t>
      </w:r>
    </w:p>
    <w:p w:rsidR="00551E3F" w:rsidRDefault="00CC49D7" w:rsidP="00015EA3">
      <w:pPr>
        <w:numPr>
          <w:ilvl w:val="0"/>
          <w:numId w:val="1"/>
        </w:numPr>
        <w:pBdr>
          <w:left w:val="single" w:sz="4" w:space="4" w:color="auto"/>
        </w:pBdr>
        <w:tabs>
          <w:tab w:val="left" w:pos="567"/>
        </w:tabs>
        <w:ind w:left="0" w:firstLine="192"/>
      </w:pPr>
      <w:r>
        <w:t>fosfatų turinčių valymo priemonių ir</w:t>
      </w:r>
    </w:p>
    <w:p w:rsidR="00551E3F" w:rsidRDefault="00CC49D7" w:rsidP="00015EA3">
      <w:pPr>
        <w:numPr>
          <w:ilvl w:val="0"/>
          <w:numId w:val="1"/>
        </w:numPr>
        <w:pBdr>
          <w:left w:val="single" w:sz="4" w:space="4" w:color="auto"/>
        </w:pBdr>
        <w:tabs>
          <w:tab w:val="left" w:pos="567"/>
        </w:tabs>
        <w:ind w:left="0" w:firstLine="192"/>
      </w:pPr>
      <w:r>
        <w:t>tam tikrų kitų sveikatai ir aplinkai pavojingų cheminių produktų ir prekių.</w:t>
      </w:r>
    </w:p>
    <w:p w:rsidR="00551E3F" w:rsidRDefault="00CC49D7" w:rsidP="00015EA3">
      <w:pPr>
        <w:spacing w:after="249"/>
        <w:ind w:left="0" w:firstLine="192"/>
      </w:pPr>
      <w:r>
        <w:t>Šis potvarkis netaikomas cheminiams produktams ir biotechniniams organizmams, kuriems galioja Maisto produktų įstatymas Nr. 2006:804, Įstatymas Nr. 2006:805 dėl pašarų ir gyvūninių šalutinių produktų arba Vaistų įstatymas Nr. 2015:315.</w:t>
      </w:r>
    </w:p>
    <w:p w:rsidR="00551E3F" w:rsidRDefault="00CC49D7" w:rsidP="00DA5828">
      <w:pPr>
        <w:keepNext/>
        <w:keepLines/>
        <w:pBdr>
          <w:left w:val="single" w:sz="4" w:space="4" w:color="auto"/>
        </w:pBdr>
        <w:ind w:left="0" w:firstLine="0"/>
      </w:pPr>
      <w:r>
        <w:rPr>
          <w:b/>
        </w:rPr>
        <w:t>1 a straipsnis.</w:t>
      </w:r>
      <w:r>
        <w:t xml:space="preserve"> Šis potvarkis priimtas remiantis</w:t>
      </w:r>
    </w:p>
    <w:p w:rsidR="00551E3F" w:rsidRDefault="00CC49D7" w:rsidP="007058F2">
      <w:pPr>
        <w:numPr>
          <w:ilvl w:val="0"/>
          <w:numId w:val="2"/>
        </w:numPr>
        <w:pBdr>
          <w:left w:val="single" w:sz="4" w:space="4" w:color="auto"/>
        </w:pBdr>
        <w:ind w:left="426" w:hanging="285"/>
      </w:pPr>
      <w:r>
        <w:t>Aplinkosaugos kodekso 14 skyriaus 8 straipsniu, atsižvelgiant į 2–3, 5–11, 11 c–14 ir 14 b–20 a straipsnius,</w:t>
      </w:r>
    </w:p>
    <w:p w:rsidR="00551E3F" w:rsidRDefault="00CC49D7" w:rsidP="007058F2">
      <w:pPr>
        <w:numPr>
          <w:ilvl w:val="0"/>
          <w:numId w:val="2"/>
        </w:numPr>
        <w:pBdr>
          <w:left w:val="single" w:sz="4" w:space="4" w:color="auto"/>
        </w:pBdr>
        <w:ind w:left="426" w:hanging="285"/>
      </w:pPr>
      <w:r>
        <w:lastRenderedPageBreak/>
        <w:t xml:space="preserve">Aplinkosaugos kodekso 15 skyriaus 40 </w:t>
      </w:r>
      <w:r w:rsidR="0010495B">
        <w:t>straipsniu, atsižvelgiant į 4 a </w:t>
      </w:r>
      <w:r>
        <w:t xml:space="preserve">straipsnį, </w:t>
      </w:r>
    </w:p>
    <w:p w:rsidR="00551E3F" w:rsidRDefault="00CC49D7" w:rsidP="007058F2">
      <w:pPr>
        <w:numPr>
          <w:ilvl w:val="0"/>
          <w:numId w:val="2"/>
        </w:numPr>
        <w:pBdr>
          <w:left w:val="single" w:sz="4" w:space="4" w:color="auto"/>
        </w:pBdr>
        <w:ind w:left="426" w:hanging="285"/>
      </w:pPr>
      <w:r>
        <w:t>Valstybės valdymo įstatymo 8 skyriaus 11</w:t>
      </w:r>
      <w:r w:rsidR="0010495B">
        <w:t xml:space="preserve"> straipsniu, atsižvelgiant į 21 </w:t>
      </w:r>
      <w:r>
        <w:t>straipsnį, ir</w:t>
      </w:r>
    </w:p>
    <w:p w:rsidR="00551E3F" w:rsidRDefault="00CC49D7" w:rsidP="007058F2">
      <w:pPr>
        <w:numPr>
          <w:ilvl w:val="0"/>
          <w:numId w:val="2"/>
        </w:numPr>
        <w:pBdr>
          <w:left w:val="single" w:sz="4" w:space="4" w:color="auto"/>
        </w:pBdr>
        <w:ind w:left="426" w:hanging="285"/>
      </w:pPr>
      <w:r>
        <w:t>Vyriausybės teisės akto 8 skyriaus 7 straipsniu, atsižvelgiant į kitas nuostatas.</w:t>
      </w:r>
    </w:p>
    <w:p w:rsidR="00551E3F" w:rsidRDefault="00CC49D7" w:rsidP="00DA5828">
      <w:pPr>
        <w:pStyle w:val="Heading1"/>
        <w:pBdr>
          <w:left w:val="single" w:sz="4" w:space="4" w:color="auto"/>
        </w:pBdr>
        <w:ind w:left="0"/>
      </w:pPr>
      <w:r>
        <w:t>Kosmetikos gaminiuose esančios plastiko mikrogranulės</w:t>
      </w:r>
    </w:p>
    <w:p w:rsidR="00551E3F" w:rsidRDefault="00CC49D7" w:rsidP="00DA5828">
      <w:pPr>
        <w:pBdr>
          <w:left w:val="single" w:sz="4" w:space="4" w:color="auto"/>
        </w:pBdr>
        <w:ind w:left="0" w:firstLine="0"/>
      </w:pPr>
      <w:r w:rsidRPr="0010495B">
        <w:rPr>
          <w:b/>
        </w:rPr>
        <w:t>4</w:t>
      </w:r>
      <w:r>
        <w:rPr>
          <w:b/>
        </w:rPr>
        <w:t xml:space="preserve"> straipsnis.</w:t>
      </w:r>
      <w:r>
        <w:rPr>
          <w:vertAlign w:val="superscript"/>
        </w:rPr>
        <w:footnoteReference w:id="3"/>
      </w:r>
      <w:r>
        <w:t xml:space="preserve"> Šiame straipsnyje ir 4 a bei 4 b straipsniuose sąvoka </w:t>
      </w:r>
      <w:r>
        <w:rPr>
          <w:i/>
        </w:rPr>
        <w:t>kosmetikos gaminys</w:t>
      </w:r>
      <w:r>
        <w:t xml:space="preserve"> reiškia kosmetikos gaminį, kaip apibrėžta Europos Parlamento ir Tarybos reglamente (EB) Nr. 1223/2009 dėl kosmetikos gaminių, </w:t>
      </w:r>
    </w:p>
    <w:p w:rsidR="008062AA" w:rsidRDefault="00CC49D7" w:rsidP="008062AA">
      <w:pPr>
        <w:pBdr>
          <w:left w:val="single" w:sz="4" w:space="4" w:color="auto"/>
        </w:pBdr>
        <w:spacing w:after="0"/>
        <w:ind w:left="0" w:firstLine="193"/>
      </w:pPr>
      <w:r>
        <w:rPr>
          <w:i/>
        </w:rPr>
        <w:t xml:space="preserve">plastikas: </w:t>
      </w:r>
      <w:r>
        <w:t>polimeras, kaip apibrėžta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w:t>
      </w:r>
      <w:r w:rsidR="0010495B">
        <w:t>io Tarybos reglamentą (EEB) Nr. </w:t>
      </w:r>
      <w:r>
        <w:t>793/93, Komisijos reglamentą (EB) Nr. 1488/94, Tarybos direktyvą 76/769/EEB ir Komisijos direktyvas 91/155/EEB, 93/67/EEB, 93/105/EB ir 2000/21/EB, 3 straipsnio 5 dalyje, į kurį gali būti pridėta priedų ar kitų medžiagų; plastiko mikrogranulės – netirpios vandenyje kietos plastiko dalelės, kurių skersmuo mažesnis nei 5 mm,</w:t>
      </w:r>
    </w:p>
    <w:p w:rsidR="008062AA" w:rsidRDefault="00CC49D7" w:rsidP="008062AA">
      <w:pPr>
        <w:pBdr>
          <w:left w:val="single" w:sz="4" w:space="4" w:color="auto"/>
        </w:pBdr>
        <w:spacing w:after="0"/>
        <w:ind w:left="0" w:firstLine="193"/>
      </w:pPr>
      <w:r>
        <w:t>natūralus polimeras – natūraliai gamtoje aptinkamas polimeras, kurio cheminė sudėtis nepasikeičia, jeigu jis yra veikiamas cheminio proceso arba cheminio apdorojimo metu arba yra gautas fizinės mineraloginės transformacijos būdu,</w:t>
      </w:r>
    </w:p>
    <w:p w:rsidR="00551E3F" w:rsidRDefault="00CC49D7" w:rsidP="007058F2">
      <w:pPr>
        <w:pBdr>
          <w:left w:val="single" w:sz="4" w:space="4" w:color="auto"/>
        </w:pBdr>
        <w:spacing w:after="232"/>
        <w:ind w:left="0" w:firstLine="192"/>
      </w:pPr>
      <w:r>
        <w:t>tiekimas rinkai – bet koks gaminio tiekimas siekiant platinti, vartoti arba naudoti Švedijos rinkoje, vykdant komercinę veiklą, už atlygį arba nemokamai.</w:t>
      </w:r>
    </w:p>
    <w:p w:rsidR="00551E3F" w:rsidRDefault="00CC49D7" w:rsidP="00DA5828">
      <w:pPr>
        <w:pBdr>
          <w:left w:val="single" w:sz="4" w:space="4" w:color="auto"/>
        </w:pBdr>
        <w:ind w:left="0" w:firstLine="0"/>
      </w:pPr>
      <w:r>
        <w:rPr>
          <w:b/>
        </w:rPr>
        <w:t>4 a straipsnis.</w:t>
      </w:r>
      <w:r>
        <w:rPr>
          <w:vertAlign w:val="superscript"/>
        </w:rPr>
        <w:footnoteReference w:id="4"/>
      </w:r>
      <w:r>
        <w:t xml:space="preserve"> Draudžiama pateikti rinkai kosmetikos gaminį, skirtą galvai, plaukams, gleivinei arba dantims, kurį panaudojus būtina nuplauti arba išspjauti, ir kurio sudėtyje yra plastiko mikrogranulių, padedančių nuvalyti, nušveisti arba nublizginti.</w:t>
      </w:r>
    </w:p>
    <w:p w:rsidR="00551E3F" w:rsidRDefault="00CC49D7" w:rsidP="007058F2">
      <w:pPr>
        <w:pBdr>
          <w:left w:val="single" w:sz="4" w:space="4" w:color="auto"/>
        </w:pBdr>
        <w:spacing w:after="232"/>
        <w:ind w:left="0" w:firstLine="192"/>
      </w:pPr>
      <w:r>
        <w:t xml:space="preserve">Kosmetikos gaminiams, kurių sudėtyje yra plastiko mikrogranulių, pagamintų iš natūralių polimerų, draudimas nėra taikomas. </w:t>
      </w:r>
    </w:p>
    <w:p w:rsidR="00551E3F" w:rsidRDefault="00CC49D7" w:rsidP="00DA5828">
      <w:pPr>
        <w:keepNext/>
        <w:keepLines/>
        <w:pBdr>
          <w:left w:val="single" w:sz="4" w:space="4" w:color="auto"/>
        </w:pBdr>
        <w:ind w:left="0" w:firstLine="0"/>
      </w:pPr>
      <w:r>
        <w:rPr>
          <w:b/>
        </w:rPr>
        <w:t>4 b straipsnis.</w:t>
      </w:r>
      <w:r>
        <w:rPr>
          <w:vertAlign w:val="superscript"/>
        </w:rPr>
        <w:footnoteReference w:id="5"/>
      </w:r>
      <w:r>
        <w:t xml:space="preserve"> Švedijos cheminių medžiagų agentūra gali paskelbti apie reglamentus dėl išimčių taikymo arba atskirais atvejais taikyti 4 a straipsniu nustatyto draudimo išimtis tiems kosmetikos gaminiams, kurių sudėtyje yra plastiko mikrogranulių, </w:t>
      </w:r>
    </w:p>
    <w:p w:rsidR="00551E3F" w:rsidRDefault="00CC49D7" w:rsidP="007058F2">
      <w:pPr>
        <w:numPr>
          <w:ilvl w:val="0"/>
          <w:numId w:val="3"/>
        </w:numPr>
        <w:pBdr>
          <w:left w:val="single" w:sz="4" w:space="4" w:color="auto"/>
        </w:pBdr>
        <w:tabs>
          <w:tab w:val="left" w:pos="567"/>
        </w:tabs>
        <w:ind w:left="0" w:firstLine="192"/>
      </w:pPr>
      <w:r>
        <w:t xml:space="preserve">pagamintų naudojant kaip žaliavą natūralius polimerus, ir </w:t>
      </w:r>
    </w:p>
    <w:p w:rsidR="00551E3F" w:rsidRDefault="00CC49D7" w:rsidP="007058F2">
      <w:pPr>
        <w:numPr>
          <w:ilvl w:val="0"/>
          <w:numId w:val="3"/>
        </w:numPr>
        <w:pBdr>
          <w:left w:val="single" w:sz="4" w:space="4" w:color="auto"/>
        </w:pBdr>
        <w:tabs>
          <w:tab w:val="left" w:pos="567"/>
        </w:tabs>
        <w:ind w:left="0" w:firstLine="192"/>
      </w:pPr>
      <w:r>
        <w:t xml:space="preserve">vandenyje greitai skylančių į monomerus ir nekeliančių jokio pavojaus vandens organizmams. </w:t>
      </w:r>
    </w:p>
    <w:p w:rsidR="00551E3F" w:rsidRDefault="00CC49D7" w:rsidP="007058F2">
      <w:pPr>
        <w:pBdr>
          <w:left w:val="single" w:sz="4" w:space="4" w:color="auto"/>
        </w:pBdr>
        <w:spacing w:after="231"/>
        <w:ind w:left="0" w:firstLine="192"/>
      </w:pPr>
      <w:r>
        <w:lastRenderedPageBreak/>
        <w:t>Kosmetikos gaminiams, kurie yra teisėtai parduodami laikantis teisės aktų reikalavimų kitose Europos Sąjungos valstybėse narėse arba Turkijoje arba yra teisėtai gaminamos valstybėje, kuri yra Europos ekonominės erdvės susitarimo šalis, draudimas nėra taikomas, jeigu minėtais teisės aktais užtikrinamas lygiavertis apsaugos lygis.</w:t>
      </w:r>
    </w:p>
    <w:p w:rsidR="00551E3F" w:rsidRDefault="00CC49D7" w:rsidP="00DA5828">
      <w:pPr>
        <w:ind w:left="0" w:firstLine="0"/>
      </w:pPr>
      <w:r w:rsidRPr="0010495B">
        <w:rPr>
          <w:b/>
        </w:rPr>
        <w:t>5</w:t>
      </w:r>
      <w:r>
        <w:rPr>
          <w:b/>
        </w:rPr>
        <w:t xml:space="preserve"> straipsnis.</w:t>
      </w:r>
      <w:r>
        <w:rPr>
          <w:rStyle w:val="FootnoteReference"/>
          <w:b/>
        </w:rPr>
        <w:footnoteReference w:id="6"/>
      </w:r>
      <w:r>
        <w:t xml:space="preserve"> Chemijos produktai, visiškai arba iš dalies susidedantys iš metileno chlorido arba tetrachloroetileno, neturi būti platinami rinkoje arba parduodami vartotojams individualiam vartojimui.</w:t>
      </w:r>
    </w:p>
    <w:p w:rsidR="00551E3F" w:rsidRDefault="00CC49D7" w:rsidP="00E812AA">
      <w:pPr>
        <w:spacing w:after="0"/>
        <w:ind w:left="0" w:firstLine="193"/>
      </w:pPr>
      <w:r>
        <w:t>Švedijos cheminių medžiagų agentūra gali nustatyti, kad prekės, visiškai arba iš dalies susidedančios iš metileno chlorido arba tetrachloroetileno, neturi būti platinamos rinkoje arba parduodamos vartotojams individualiam vartojimui.</w:t>
      </w:r>
    </w:p>
    <w:p w:rsidR="00551E3F" w:rsidRDefault="00CC49D7" w:rsidP="007058F2">
      <w:pPr>
        <w:pBdr>
          <w:left w:val="single" w:sz="4" w:space="4" w:color="auto"/>
        </w:pBdr>
        <w:spacing w:after="241"/>
        <w:ind w:left="0" w:firstLine="192"/>
      </w:pPr>
      <w:r>
        <w:t>Draudimas dėl metileno chlorido taikomas tik tuomet, jeigu lygiavertis draudimas neišplaukia iš Reglamento (EB)</w:t>
      </w:r>
      <w:r w:rsidR="0010495B">
        <w:t xml:space="preserve"> Nr. 1907/2006 XVII priedo 59.1 </w:t>
      </w:r>
      <w:r>
        <w:t>punkto.</w:t>
      </w:r>
    </w:p>
    <w:p w:rsidR="007058F2" w:rsidRDefault="007058F2" w:rsidP="007058F2">
      <w:pPr>
        <w:tabs>
          <w:tab w:val="left" w:leader="underscore" w:pos="1276"/>
        </w:tabs>
        <w:spacing w:after="120"/>
        <w:ind w:left="0" w:firstLine="142"/>
      </w:pPr>
      <w:r>
        <w:tab/>
      </w:r>
    </w:p>
    <w:p w:rsidR="00551E3F" w:rsidRDefault="00CC49D7" w:rsidP="00E812AA">
      <w:pPr>
        <w:numPr>
          <w:ilvl w:val="0"/>
          <w:numId w:val="4"/>
        </w:numPr>
        <w:tabs>
          <w:tab w:val="left" w:pos="567"/>
        </w:tabs>
        <w:ind w:left="0" w:firstLine="192"/>
      </w:pPr>
      <w:r>
        <w:t>Šis potvarkis įsigalioja 2018 m. liepos 1 d.</w:t>
      </w:r>
    </w:p>
    <w:p w:rsidR="00551E3F" w:rsidRDefault="00CC49D7" w:rsidP="00E812AA">
      <w:pPr>
        <w:numPr>
          <w:ilvl w:val="0"/>
          <w:numId w:val="4"/>
        </w:numPr>
        <w:tabs>
          <w:tab w:val="left" w:pos="567"/>
        </w:tabs>
        <w:spacing w:after="224"/>
        <w:ind w:left="0" w:firstLine="192"/>
      </w:pPr>
      <w:r>
        <w:t xml:space="preserve">Neatsižvelgiant į 4 a straipsnyje nustatytą draudimą, turimos kosmetikos gaminių atsargos, kurios buvo teisėtai pateiktos rinkai iki 2018 m. liepos 1 d., ir toliau gali būti tiekiamos rinkai iki 2018 m. gruodžio pabaigos. </w:t>
      </w:r>
    </w:p>
    <w:p w:rsidR="00551E3F" w:rsidRDefault="00CC49D7" w:rsidP="00DA5828">
      <w:pPr>
        <w:spacing w:after="225"/>
        <w:ind w:left="0" w:firstLine="0"/>
      </w:pPr>
      <w:r>
        <w:t>Vyriausybės vardu</w:t>
      </w:r>
    </w:p>
    <w:p w:rsidR="00551E3F" w:rsidRDefault="00CC49D7" w:rsidP="00DA5828">
      <w:pPr>
        <w:ind w:left="0" w:firstLine="0"/>
      </w:pPr>
      <w:r>
        <w:t>KAROLINA SKOG</w:t>
      </w:r>
    </w:p>
    <w:p w:rsidR="00551E3F" w:rsidRDefault="00CC49D7" w:rsidP="00825642">
      <w:pPr>
        <w:keepNext/>
        <w:keepLines/>
        <w:spacing w:after="0" w:line="265" w:lineRule="auto"/>
        <w:ind w:left="2835" w:firstLine="0"/>
        <w:jc w:val="left"/>
      </w:pPr>
      <w:r>
        <w:t>Egon Abresparr</w:t>
      </w:r>
    </w:p>
    <w:p w:rsidR="00551E3F" w:rsidRDefault="00CC49D7" w:rsidP="00825642">
      <w:pPr>
        <w:spacing w:after="0" w:line="264" w:lineRule="auto"/>
        <w:ind w:left="2835" w:firstLine="0"/>
        <w:jc w:val="left"/>
      </w:pPr>
      <w:r>
        <w:t>(Aplinkos ir energetikos ministerija)</w:t>
      </w:r>
    </w:p>
    <w:p w:rsidR="007058F2" w:rsidRDefault="00CC49D7" w:rsidP="00651E3A">
      <w:pPr>
        <w:pageBreakBefore/>
        <w:spacing w:before="10920" w:after="0" w:line="259" w:lineRule="auto"/>
        <w:ind w:left="0" w:firstLine="0"/>
        <w:jc w:val="right"/>
        <w:rPr>
          <w:sz w:val="11"/>
        </w:rPr>
      </w:pPr>
      <w:r>
        <w:rPr>
          <w:sz w:val="11"/>
        </w:rPr>
        <w:lastRenderedPageBreak/>
        <w:t>Norstedts Juridik AB</w:t>
      </w:r>
    </w:p>
    <w:p w:rsidR="00551E3F" w:rsidRPr="007058F2" w:rsidRDefault="00CC49D7" w:rsidP="007058F2">
      <w:pPr>
        <w:spacing w:after="0" w:line="259" w:lineRule="auto"/>
        <w:ind w:left="0" w:firstLine="0"/>
        <w:jc w:val="right"/>
        <w:rPr>
          <w:sz w:val="11"/>
        </w:rPr>
      </w:pPr>
      <w:r>
        <w:rPr>
          <w:sz w:val="11"/>
        </w:rPr>
        <w:t>Elanders Sverige AB, 2018</w:t>
      </w:r>
      <w:bookmarkStart w:id="0" w:name="_GoBack"/>
      <w:bookmarkEnd w:id="0"/>
    </w:p>
    <w:sectPr w:rsidR="00551E3F" w:rsidRPr="007058F2" w:rsidSect="00E812AA">
      <w:headerReference w:type="even" r:id="rId9"/>
      <w:headerReference w:type="default" r:id="rId10"/>
      <w:footerReference w:type="even" r:id="rId11"/>
      <w:footerReference w:type="default" r:id="rId12"/>
      <w:footerReference w:type="first" r:id="rId13"/>
      <w:pgSz w:w="9354" w:h="13720"/>
      <w:pgMar w:top="680" w:right="2353" w:bottom="1361" w:left="1134" w:header="720" w:footer="720" w:gutter="0"/>
      <w:cols w:space="720"/>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17A" w:rsidRDefault="004B717A">
      <w:pPr>
        <w:spacing w:after="0" w:line="240" w:lineRule="auto"/>
      </w:pPr>
      <w:r>
        <w:separator/>
      </w:r>
    </w:p>
  </w:endnote>
  <w:endnote w:type="continuationSeparator" w:id="0">
    <w:p w:rsidR="004B717A" w:rsidRDefault="004B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1276" w:firstLine="0"/>
      <w:jc w:val="left"/>
    </w:pPr>
    <w:r>
      <w:fldChar w:fldCharType="begin"/>
    </w:r>
    <w:r>
      <w:instrText xml:space="preserve"> PAGE   \* MERGEFORMAT </w:instrText>
    </w:r>
    <w:r>
      <w:fldChar w:fldCharType="separate"/>
    </w:r>
    <w:r w:rsidR="001049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0" w:right="-1221" w:firstLine="0"/>
      <w:jc w:val="right"/>
    </w:pPr>
    <w:r>
      <w:fldChar w:fldCharType="begin"/>
    </w:r>
    <w:r>
      <w:instrText xml:space="preserve"> PAGE   \* MERGEFORMAT </w:instrText>
    </w:r>
    <w:r>
      <w:fldChar w:fldCharType="separate"/>
    </w:r>
    <w:r w:rsidR="0010495B">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0" w:right="-1221" w:firstLine="0"/>
      <w:jc w:val="right"/>
    </w:pPr>
    <w:r>
      <w:fldChar w:fldCharType="begin"/>
    </w:r>
    <w:r>
      <w:instrText xml:space="preserve"> PAGE   \* MERGEFORMAT </w:instrText>
    </w:r>
    <w:r>
      <w:fldChar w:fldCharType="separate"/>
    </w:r>
    <w:r w:rsidR="0010495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17A" w:rsidRDefault="004B717A" w:rsidP="00E812AA">
      <w:pPr>
        <w:spacing w:after="0" w:line="230" w:lineRule="auto"/>
        <w:ind w:left="0" w:right="1837" w:firstLine="0"/>
      </w:pPr>
      <w:r>
        <w:separator/>
      </w:r>
    </w:p>
  </w:footnote>
  <w:footnote w:type="continuationSeparator" w:id="0">
    <w:p w:rsidR="004B717A" w:rsidRDefault="004B717A">
      <w:pPr>
        <w:spacing w:after="0" w:line="230" w:lineRule="auto"/>
        <w:ind w:left="412" w:right="1837" w:firstLine="0"/>
      </w:pPr>
      <w:r>
        <w:continuationSeparator/>
      </w:r>
    </w:p>
  </w:footnote>
  <w:footnote w:id="1">
    <w:p w:rsidR="00551E3F" w:rsidRPr="00E812AA" w:rsidRDefault="00CC49D7" w:rsidP="00E812AA">
      <w:pPr>
        <w:pStyle w:val="footnotedescription"/>
        <w:spacing w:line="240" w:lineRule="auto"/>
        <w:ind w:left="0"/>
        <w:jc w:val="both"/>
        <w:rPr>
          <w:szCs w:val="17"/>
        </w:rPr>
      </w:pPr>
      <w:r>
        <w:rPr>
          <w:rStyle w:val="footnotemark"/>
        </w:rPr>
        <w:footnoteRef/>
      </w:r>
      <w:r>
        <w:t xml:space="preserve"> Žr. 2015 m. rugsėjo 9 d. Europos Parlamento ir Tarybos direktyvą (ES) 2015/1535, kuria nustatoma informacijos apie techninius reglamentus ir informacinės visuomenės paslaugų taisykles teikimo tvarka.</w:t>
      </w:r>
    </w:p>
  </w:footnote>
  <w:footnote w:id="2">
    <w:p w:rsidR="00551E3F" w:rsidRPr="00E812AA" w:rsidRDefault="00CC49D7" w:rsidP="00E812AA">
      <w:pPr>
        <w:pStyle w:val="footnotedescription"/>
        <w:tabs>
          <w:tab w:val="center" w:pos="1348"/>
          <w:tab w:val="right" w:pos="8146"/>
        </w:tabs>
        <w:spacing w:line="240" w:lineRule="auto"/>
        <w:ind w:left="0"/>
        <w:jc w:val="both"/>
        <w:rPr>
          <w:szCs w:val="17"/>
        </w:rPr>
      </w:pPr>
      <w:r>
        <w:rPr>
          <w:rStyle w:val="footnotemark"/>
        </w:rPr>
        <w:footnoteRef/>
      </w:r>
      <w:r>
        <w:t xml:space="preserve"> </w:t>
      </w:r>
      <w:r>
        <w:t>Naujausia redakcija Nr. 2016:829.</w:t>
      </w:r>
    </w:p>
  </w:footnote>
  <w:footnote w:id="3">
    <w:p w:rsidR="00551E3F" w:rsidRPr="00E812AA" w:rsidRDefault="00CC49D7" w:rsidP="00E812AA">
      <w:pPr>
        <w:pStyle w:val="footnotedescription"/>
        <w:spacing w:line="240" w:lineRule="auto"/>
        <w:ind w:left="0"/>
        <w:jc w:val="both"/>
        <w:rPr>
          <w:szCs w:val="17"/>
        </w:rPr>
      </w:pPr>
      <w:r>
        <w:rPr>
          <w:rStyle w:val="footnotemark"/>
        </w:rPr>
        <w:footnoteRef/>
      </w:r>
      <w:r>
        <w:t xml:space="preserve"> </w:t>
      </w:r>
      <w:r>
        <w:t>Pirmesnė 4 straipsnio nuostata panaikinta 2009:954.</w:t>
      </w:r>
    </w:p>
  </w:footnote>
  <w:footnote w:id="4">
    <w:p w:rsidR="00551E3F" w:rsidRPr="00E812AA" w:rsidRDefault="00CC49D7" w:rsidP="00E812AA">
      <w:pPr>
        <w:pStyle w:val="footnotedescription"/>
        <w:spacing w:line="240" w:lineRule="auto"/>
        <w:ind w:left="0"/>
        <w:jc w:val="both"/>
        <w:rPr>
          <w:szCs w:val="17"/>
        </w:rPr>
      </w:pPr>
      <w:r>
        <w:rPr>
          <w:rStyle w:val="footnotemark"/>
        </w:rPr>
        <w:footnoteRef/>
      </w:r>
      <w:r>
        <w:t xml:space="preserve"> </w:t>
      </w:r>
      <w:r>
        <w:t>Pirmesnė 4 a straipsnio redakcija, panaikinta 2008:255.</w:t>
      </w:r>
    </w:p>
  </w:footnote>
  <w:footnote w:id="5">
    <w:p w:rsidR="00551E3F" w:rsidRPr="00E812AA" w:rsidRDefault="00CC49D7" w:rsidP="00825642">
      <w:pPr>
        <w:pStyle w:val="footnotedescription"/>
        <w:spacing w:line="240" w:lineRule="auto"/>
        <w:ind w:left="0"/>
        <w:jc w:val="both"/>
        <w:rPr>
          <w:szCs w:val="17"/>
        </w:rPr>
      </w:pPr>
      <w:r>
        <w:rPr>
          <w:rStyle w:val="footnotemark"/>
        </w:rPr>
        <w:footnoteRef/>
      </w:r>
      <w:r>
        <w:t xml:space="preserve"> </w:t>
      </w:r>
      <w:r>
        <w:t>Pirmesnė 4 b straipsnio redakcija panaikinta 2008:255.</w:t>
      </w:r>
    </w:p>
  </w:footnote>
  <w:footnote w:id="6">
    <w:p w:rsidR="00E812AA" w:rsidRPr="00E812AA" w:rsidRDefault="00E812AA" w:rsidP="00825642">
      <w:pPr>
        <w:pStyle w:val="footnotedescription"/>
        <w:spacing w:line="240" w:lineRule="auto"/>
        <w:ind w:left="0"/>
        <w:jc w:val="both"/>
        <w:rPr>
          <w:rFonts w:eastAsia="SimSun"/>
          <w:szCs w:val="17"/>
        </w:rPr>
      </w:pPr>
      <w:r>
        <w:rPr>
          <w:vertAlign w:val="superscript"/>
        </w:rPr>
        <w:footnoteRef/>
      </w:r>
      <w:r>
        <w:t xml:space="preserve"> </w:t>
      </w:r>
      <w:r>
        <w:t>Naujausia redakcija Nr. 2016:144.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2AA" w:rsidRDefault="00643102" w:rsidP="00E812AA">
    <w:pPr>
      <w:pStyle w:val="Header"/>
      <w:ind w:left="0" w:firstLine="0"/>
    </w:pPr>
    <w:r>
      <w:rPr>
        <w:noProof/>
        <w:lang w:val="en-US" w:eastAsia="en-US" w:bidi="ar-SA"/>
      </w:rPr>
      <mc:AlternateContent>
        <mc:Choice Requires="wps">
          <w:drawing>
            <wp:anchor distT="0" distB="0" distL="114300" distR="114300" simplePos="0" relativeHeight="251658240" behindDoc="0" locked="0" layoutInCell="1" allowOverlap="1">
              <wp:simplePos x="0" y="0"/>
              <wp:positionH relativeFrom="column">
                <wp:posOffset>-1273810</wp:posOffset>
              </wp:positionH>
              <wp:positionV relativeFrom="paragraph">
                <wp:posOffset>104775</wp:posOffset>
              </wp:positionV>
              <wp:extent cx="1143000" cy="457200"/>
              <wp:effectExtent l="127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2AA" w:rsidRPr="00E812AA" w:rsidRDefault="00E812AA" w:rsidP="00E812AA">
                          <w:pPr>
                            <w:ind w:left="0"/>
                            <w:rPr>
                              <w:b/>
                            </w:rPr>
                          </w:pPr>
                          <w:r>
                            <w:rPr>
                              <w:b/>
                            </w:rPr>
                            <w:t>SFS 2018:55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00.3pt;margin-top:8.25pt;width:9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" stroked="f">
              <v:textbox>
                <w:txbxContent>
                  <w:p w:rsidR="00E812AA" w:rsidRPr="00E812AA" w:rsidRDefault="00E812AA" w:rsidP="00E812AA">
                    <w:pPr>
                      <w:ind w:left="0"/>
                      <w:rPr>
                        <w:b/>
                      </w:rPr>
                    </w:pPr>
                    <w:r>
                      <w:rPr>
                        <w:b/>
                      </w:rPr>
                      <w:t>SFS 2018:55</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2AA" w:rsidRPr="00E812AA" w:rsidRDefault="00643102" w:rsidP="00E812AA">
    <w:pPr>
      <w:pStyle w:val="Header"/>
      <w:ind w:left="-1701" w:firstLine="0"/>
      <w:rPr>
        <w:b/>
      </w:rPr>
    </w:pPr>
    <w:r>
      <w:rPr>
        <w:b/>
        <w:noProof/>
        <w:lang w:val="en-US" w:eastAsia="en-US" w:bidi="ar-SA"/>
      </w:rPr>
      <mc:AlternateContent>
        <mc:Choice Requires="wps">
          <w:drawing>
            <wp:anchor distT="0" distB="0" distL="114300" distR="114300" simplePos="0" relativeHeight="251657216" behindDoc="0" locked="0" layoutInCell="1" allowOverlap="1">
              <wp:simplePos x="0" y="0"/>
              <wp:positionH relativeFrom="column">
                <wp:posOffset>3977005</wp:posOffset>
              </wp:positionH>
              <wp:positionV relativeFrom="paragraph">
                <wp:posOffset>114300</wp:posOffset>
              </wp:positionV>
              <wp:extent cx="1143000" cy="45720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2AA" w:rsidRPr="00E812AA" w:rsidRDefault="00E812AA">
                          <w:pPr>
                            <w:ind w:left="0"/>
                            <w:rPr>
                              <w:b/>
                            </w:rPr>
                          </w:pPr>
                          <w:r>
                            <w:rPr>
                              <w:b/>
                            </w:rPr>
                            <w:t>SFS 2018:55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313.15pt;margin-top:9pt;width:90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" stroked="f">
              <v:textbox>
                <w:txbxContent>
                  <w:p w:rsidR="00E812AA" w:rsidRPr="00E812AA" w:rsidRDefault="00E812AA">
                    <w:pPr>
                      <w:ind w:left="0"/>
                      <w:rPr>
                        <w:b/>
                      </w:rPr>
                    </w:pPr>
                    <w:r>
                      <w:rPr>
                        <w:b/>
                      </w:rPr>
                      <w:t>SFS 2018:55</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338C0"/>
    <w:multiLevelType w:val="hybridMultilevel"/>
    <w:tmpl w:val="B5A2AEDA"/>
    <w:lvl w:ilvl="0" w:tplc="88E671A2">
      <w:start w:val="1"/>
      <w:numFmt w:val="decimal"/>
      <w:lvlText w:val="%1."/>
      <w:lvlJc w:val="left"/>
      <w:pPr>
        <w:ind w:left="4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46E0632">
      <w:start w:val="1"/>
      <w:numFmt w:val="lowerLetter"/>
      <w:lvlText w:val="%2"/>
      <w:lvlJc w:val="left"/>
      <w:pPr>
        <w:ind w:left="1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D7A40B8">
      <w:start w:val="1"/>
      <w:numFmt w:val="lowerRoman"/>
      <w:lvlText w:val="%3"/>
      <w:lvlJc w:val="left"/>
      <w:pPr>
        <w:ind w:left="19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94EE1A4">
      <w:start w:val="1"/>
      <w:numFmt w:val="decimal"/>
      <w:lvlText w:val="%4"/>
      <w:lvlJc w:val="left"/>
      <w:pPr>
        <w:ind w:left="27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CCADB12">
      <w:start w:val="1"/>
      <w:numFmt w:val="lowerLetter"/>
      <w:lvlText w:val="%5"/>
      <w:lvlJc w:val="left"/>
      <w:pPr>
        <w:ind w:left="34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4FEE712">
      <w:start w:val="1"/>
      <w:numFmt w:val="lowerRoman"/>
      <w:lvlText w:val="%6"/>
      <w:lvlJc w:val="left"/>
      <w:pPr>
        <w:ind w:left="41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A8E30C6">
      <w:start w:val="1"/>
      <w:numFmt w:val="decimal"/>
      <w:lvlText w:val="%7"/>
      <w:lvlJc w:val="left"/>
      <w:pPr>
        <w:ind w:left="48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58C012C">
      <w:start w:val="1"/>
      <w:numFmt w:val="lowerLetter"/>
      <w:lvlText w:val="%8"/>
      <w:lvlJc w:val="left"/>
      <w:pPr>
        <w:ind w:left="55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1661DFE">
      <w:start w:val="1"/>
      <w:numFmt w:val="lowerRoman"/>
      <w:lvlText w:val="%9"/>
      <w:lvlJc w:val="left"/>
      <w:pPr>
        <w:ind w:left="63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5C5A280A"/>
    <w:multiLevelType w:val="hybridMultilevel"/>
    <w:tmpl w:val="15C6B5B2"/>
    <w:lvl w:ilvl="0" w:tplc="76503ECA">
      <w:start w:val="1"/>
      <w:numFmt w:val="decimal"/>
      <w:lvlText w:val="%1)"/>
      <w:lvlJc w:val="left"/>
      <w:pPr>
        <w:ind w:left="397"/>
      </w:pPr>
      <w:rPr>
        <w:rFonts w:hint="default"/>
        <w:b w:val="0"/>
        <w:i w:val="0"/>
        <w:strike w:val="0"/>
        <w:dstrike w:val="0"/>
        <w:color w:val="000000"/>
        <w:sz w:val="19"/>
        <w:szCs w:val="19"/>
        <w:u w:val="none" w:color="000000"/>
        <w:bdr w:val="none" w:sz="0" w:space="0" w:color="auto"/>
        <w:shd w:val="clear" w:color="auto" w:fill="auto"/>
        <w:vertAlign w:val="baseline"/>
      </w:rPr>
    </w:lvl>
    <w:lvl w:ilvl="1" w:tplc="496AEBAC">
      <w:start w:val="1"/>
      <w:numFmt w:val="lowerLetter"/>
      <w:lvlText w:val="%2"/>
      <w:lvlJc w:val="left"/>
      <w:pPr>
        <w:ind w:left="12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F4072B4">
      <w:start w:val="1"/>
      <w:numFmt w:val="lowerRoman"/>
      <w:lvlText w:val="%3"/>
      <w:lvlJc w:val="left"/>
      <w:pPr>
        <w:ind w:left="19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7328C18">
      <w:start w:val="1"/>
      <w:numFmt w:val="decimal"/>
      <w:lvlText w:val="%4"/>
      <w:lvlJc w:val="left"/>
      <w:pPr>
        <w:ind w:left="27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11A8B98">
      <w:start w:val="1"/>
      <w:numFmt w:val="lowerLetter"/>
      <w:lvlText w:val="%5"/>
      <w:lvlJc w:val="left"/>
      <w:pPr>
        <w:ind w:left="34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8F27A06">
      <w:start w:val="1"/>
      <w:numFmt w:val="lowerRoman"/>
      <w:lvlText w:val="%6"/>
      <w:lvlJc w:val="left"/>
      <w:pPr>
        <w:ind w:left="41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D34AC36">
      <w:start w:val="1"/>
      <w:numFmt w:val="decimal"/>
      <w:lvlText w:val="%7"/>
      <w:lvlJc w:val="left"/>
      <w:pPr>
        <w:ind w:left="48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AB04680">
      <w:start w:val="1"/>
      <w:numFmt w:val="lowerLetter"/>
      <w:lvlText w:val="%8"/>
      <w:lvlJc w:val="left"/>
      <w:pPr>
        <w:ind w:left="55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54686E0">
      <w:start w:val="1"/>
      <w:numFmt w:val="lowerRoman"/>
      <w:lvlText w:val="%9"/>
      <w:lvlJc w:val="left"/>
      <w:pPr>
        <w:ind w:left="63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6ADA0C50"/>
    <w:multiLevelType w:val="hybridMultilevel"/>
    <w:tmpl w:val="26107D60"/>
    <w:lvl w:ilvl="0" w:tplc="48B6FFAE">
      <w:start w:val="1"/>
      <w:numFmt w:val="bullet"/>
      <w:lvlText w:val="–"/>
      <w:lvlJc w:val="left"/>
      <w:pPr>
        <w:ind w:left="5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40E3F8C">
      <w:start w:val="1"/>
      <w:numFmt w:val="bullet"/>
      <w:lvlText w:val="o"/>
      <w:lvlJc w:val="left"/>
      <w:pPr>
        <w:ind w:left="12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87E1362">
      <w:start w:val="1"/>
      <w:numFmt w:val="bullet"/>
      <w:lvlText w:val="▪"/>
      <w:lvlJc w:val="left"/>
      <w:pPr>
        <w:ind w:left="19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AD4C1CC">
      <w:start w:val="1"/>
      <w:numFmt w:val="bullet"/>
      <w:lvlText w:val="•"/>
      <w:lvlJc w:val="left"/>
      <w:pPr>
        <w:ind w:left="27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59AC512">
      <w:start w:val="1"/>
      <w:numFmt w:val="bullet"/>
      <w:lvlText w:val="o"/>
      <w:lvlJc w:val="left"/>
      <w:pPr>
        <w:ind w:left="34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1CE9388">
      <w:start w:val="1"/>
      <w:numFmt w:val="bullet"/>
      <w:lvlText w:val="▪"/>
      <w:lvlJc w:val="left"/>
      <w:pPr>
        <w:ind w:left="41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0369006">
      <w:start w:val="1"/>
      <w:numFmt w:val="bullet"/>
      <w:lvlText w:val="•"/>
      <w:lvlJc w:val="left"/>
      <w:pPr>
        <w:ind w:left="48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434DA78">
      <w:start w:val="1"/>
      <w:numFmt w:val="bullet"/>
      <w:lvlText w:val="o"/>
      <w:lvlJc w:val="left"/>
      <w:pPr>
        <w:ind w:left="55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9F89080">
      <w:start w:val="1"/>
      <w:numFmt w:val="bullet"/>
      <w:lvlText w:val="▪"/>
      <w:lvlJc w:val="left"/>
      <w:pPr>
        <w:ind w:left="63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7DB568C1"/>
    <w:multiLevelType w:val="hybridMultilevel"/>
    <w:tmpl w:val="5D307A3C"/>
    <w:lvl w:ilvl="0" w:tplc="76503ECA">
      <w:start w:val="1"/>
      <w:numFmt w:val="decimal"/>
      <w:lvlText w:val="%1)"/>
      <w:lvlJc w:val="left"/>
      <w:pPr>
        <w:ind w:left="1714"/>
      </w:pPr>
      <w:rPr>
        <w:rFonts w:hint="default"/>
        <w:b w:val="0"/>
        <w:i w:val="0"/>
        <w:strike w:val="0"/>
        <w:dstrike w:val="0"/>
        <w:color w:val="000000"/>
        <w:sz w:val="19"/>
        <w:szCs w:val="19"/>
        <w:u w:val="none" w:color="000000"/>
        <w:bdr w:val="none" w:sz="0" w:space="0" w:color="auto"/>
        <w:shd w:val="clear" w:color="auto" w:fill="auto"/>
        <w:vertAlign w:val="baseline"/>
      </w:rPr>
    </w:lvl>
    <w:lvl w:ilvl="1" w:tplc="1E6A0EA8">
      <w:start w:val="1"/>
      <w:numFmt w:val="lowerLetter"/>
      <w:lvlText w:val="%2"/>
      <w:lvlJc w:val="left"/>
      <w:pPr>
        <w:ind w:left="30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110D80A">
      <w:start w:val="1"/>
      <w:numFmt w:val="lowerRoman"/>
      <w:lvlText w:val="%3"/>
      <w:lvlJc w:val="left"/>
      <w:pPr>
        <w:ind w:left="38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AC4E194">
      <w:start w:val="1"/>
      <w:numFmt w:val="decimal"/>
      <w:lvlText w:val="%4"/>
      <w:lvlJc w:val="left"/>
      <w:pPr>
        <w:ind w:left="45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4BAC7B0">
      <w:start w:val="1"/>
      <w:numFmt w:val="lowerLetter"/>
      <w:lvlText w:val="%5"/>
      <w:lvlJc w:val="left"/>
      <w:pPr>
        <w:ind w:left="5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DF05078">
      <w:start w:val="1"/>
      <w:numFmt w:val="lowerRoman"/>
      <w:lvlText w:val="%6"/>
      <w:lvlJc w:val="left"/>
      <w:pPr>
        <w:ind w:left="59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916C030">
      <w:start w:val="1"/>
      <w:numFmt w:val="decimal"/>
      <w:lvlText w:val="%7"/>
      <w:lvlJc w:val="left"/>
      <w:pPr>
        <w:ind w:left="66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7126992">
      <w:start w:val="1"/>
      <w:numFmt w:val="lowerLetter"/>
      <w:lvlText w:val="%8"/>
      <w:lvlJc w:val="left"/>
      <w:pPr>
        <w:ind w:left="74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FC789A">
      <w:start w:val="1"/>
      <w:numFmt w:val="lowerRoman"/>
      <w:lvlText w:val="%9"/>
      <w:lvlJc w:val="left"/>
      <w:pPr>
        <w:ind w:left="81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304"/>
  <w:hyphenationZone w:val="425"/>
  <w:doNotHyphenateCaps/>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3F"/>
    <w:rsid w:val="00015EA3"/>
    <w:rsid w:val="0010495B"/>
    <w:rsid w:val="001716B1"/>
    <w:rsid w:val="00215ED8"/>
    <w:rsid w:val="004707E8"/>
    <w:rsid w:val="004B717A"/>
    <w:rsid w:val="00551E3F"/>
    <w:rsid w:val="00643102"/>
    <w:rsid w:val="00651E3A"/>
    <w:rsid w:val="007058F2"/>
    <w:rsid w:val="007154F6"/>
    <w:rsid w:val="00793620"/>
    <w:rsid w:val="007D7823"/>
    <w:rsid w:val="008062AA"/>
    <w:rsid w:val="00825642"/>
    <w:rsid w:val="008802E6"/>
    <w:rsid w:val="008B7F39"/>
    <w:rsid w:val="00943D0F"/>
    <w:rsid w:val="00952D25"/>
    <w:rsid w:val="00A065E3"/>
    <w:rsid w:val="00CC49D7"/>
    <w:rsid w:val="00DA5828"/>
    <w:rsid w:val="00DB4B0C"/>
    <w:rsid w:val="00E81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6F117386-FD52-40CE-9834-BBBB910A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t-LT"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2" w:lineRule="auto"/>
      <w:ind w:left="422" w:hanging="10"/>
      <w:jc w:val="both"/>
    </w:pPr>
    <w:rPr>
      <w:rFonts w:ascii="Times New Roman" w:hAnsi="Times New Roman"/>
      <w:color w:val="000000"/>
      <w:sz w:val="19"/>
      <w:szCs w:val="22"/>
    </w:rPr>
  </w:style>
  <w:style w:type="paragraph" w:styleId="Heading1">
    <w:name w:val="heading 1"/>
    <w:next w:val="Normal"/>
    <w:link w:val="Heading1Char"/>
    <w:uiPriority w:val="9"/>
    <w:unhideWhenUsed/>
    <w:qFormat/>
    <w:pPr>
      <w:keepNext/>
      <w:keepLines/>
      <w:spacing w:after="79" w:line="259" w:lineRule="auto"/>
      <w:ind w:left="11"/>
      <w:outlineLvl w:val="0"/>
    </w:pPr>
    <w:rPr>
      <w:rFonts w:ascii="Times New Roman" w:hAnsi="Times New Roman"/>
      <w:b/>
      <w:color w:val="000000"/>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1"/>
    </w:rPr>
  </w:style>
  <w:style w:type="paragraph" w:customStyle="1" w:styleId="footnotedescription">
    <w:name w:val="footnote description"/>
    <w:next w:val="Normal"/>
    <w:link w:val="footnotedescriptionChar"/>
    <w:hidden/>
    <w:pPr>
      <w:spacing w:line="259" w:lineRule="auto"/>
      <w:ind w:left="1111"/>
    </w:pPr>
    <w:rPr>
      <w:rFonts w:ascii="Times New Roman" w:hAnsi="Times New Roman"/>
      <w:color w:val="000000"/>
      <w:sz w:val="17"/>
      <w:szCs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customStyle="1" w:styleId="RKbas">
    <w:name w:val="RKbas"/>
    <w:link w:val="RKbasChar"/>
    <w:uiPriority w:val="11"/>
    <w:semiHidden/>
    <w:rsid w:val="00DB4B0C"/>
    <w:rPr>
      <w:rFonts w:ascii="Times New Roman" w:eastAsia="SimSun" w:hAnsi="Times New Roman"/>
      <w:szCs w:val="22"/>
    </w:rPr>
  </w:style>
  <w:style w:type="character" w:customStyle="1" w:styleId="RKbasChar">
    <w:name w:val="RKbas Char"/>
    <w:link w:val="RKbas"/>
    <w:uiPriority w:val="11"/>
    <w:semiHidden/>
    <w:rsid w:val="00DB4B0C"/>
    <w:rPr>
      <w:rFonts w:ascii="Times New Roman" w:eastAsia="SimSun" w:hAnsi="Times New Roman"/>
      <w:szCs w:val="22"/>
      <w:lang w:val="lt-LT"/>
    </w:rPr>
  </w:style>
  <w:style w:type="paragraph" w:styleId="BodyText">
    <w:name w:val="Body Text"/>
    <w:basedOn w:val="RKbas"/>
    <w:next w:val="BodyTextIndent"/>
    <w:link w:val="BodyTextChar"/>
    <w:qFormat/>
    <w:rsid w:val="00DB4B0C"/>
    <w:pPr>
      <w:tabs>
        <w:tab w:val="left" w:pos="227"/>
        <w:tab w:val="left" w:pos="397"/>
        <w:tab w:val="left" w:pos="3062"/>
      </w:tabs>
      <w:spacing w:line="232" w:lineRule="exact"/>
      <w:jc w:val="both"/>
    </w:pPr>
    <w:rPr>
      <w:sz w:val="19"/>
    </w:rPr>
  </w:style>
  <w:style w:type="character" w:customStyle="1" w:styleId="BodyTextChar">
    <w:name w:val="Body Text Char"/>
    <w:link w:val="BodyText"/>
    <w:rsid w:val="00DB4B0C"/>
    <w:rPr>
      <w:rFonts w:ascii="Times New Roman" w:eastAsia="SimSun" w:hAnsi="Times New Roman"/>
      <w:sz w:val="19"/>
      <w:szCs w:val="22"/>
      <w:lang w:val="lt-LT"/>
    </w:rPr>
  </w:style>
  <w:style w:type="paragraph" w:styleId="BodyTextIndent">
    <w:name w:val="Body Text Indent"/>
    <w:basedOn w:val="Normal"/>
    <w:link w:val="BodyTextIndentChar"/>
    <w:uiPriority w:val="99"/>
    <w:semiHidden/>
    <w:unhideWhenUsed/>
    <w:rsid w:val="00DB4B0C"/>
    <w:pPr>
      <w:spacing w:after="120"/>
      <w:ind w:left="283"/>
    </w:pPr>
  </w:style>
  <w:style w:type="character" w:customStyle="1" w:styleId="BodyTextIndentChar">
    <w:name w:val="Body Text Indent Char"/>
    <w:link w:val="BodyTextIndent"/>
    <w:uiPriority w:val="99"/>
    <w:semiHidden/>
    <w:rsid w:val="00DB4B0C"/>
    <w:rPr>
      <w:rFonts w:ascii="Times New Roman" w:hAnsi="Times New Roman"/>
      <w:color w:val="000000"/>
      <w:sz w:val="19"/>
      <w:szCs w:val="22"/>
      <w:lang w:val="lt-LT" w:eastAsia="en-GB"/>
    </w:rPr>
  </w:style>
  <w:style w:type="paragraph" w:styleId="Header">
    <w:name w:val="header"/>
    <w:basedOn w:val="Normal"/>
    <w:link w:val="HeaderChar"/>
    <w:uiPriority w:val="99"/>
    <w:unhideWhenUsed/>
    <w:rsid w:val="00E812AA"/>
    <w:pPr>
      <w:tabs>
        <w:tab w:val="center" w:pos="4320"/>
        <w:tab w:val="right" w:pos="8640"/>
      </w:tabs>
    </w:pPr>
  </w:style>
  <w:style w:type="character" w:customStyle="1" w:styleId="HeaderChar">
    <w:name w:val="Header Char"/>
    <w:link w:val="Header"/>
    <w:uiPriority w:val="99"/>
    <w:rsid w:val="00E812AA"/>
    <w:rPr>
      <w:rFonts w:ascii="Times New Roman" w:hAnsi="Times New Roman"/>
      <w:color w:val="000000"/>
      <w:sz w:val="19"/>
      <w:szCs w:val="22"/>
      <w:lang w:val="lt-LT" w:eastAsia="en-GB"/>
    </w:rPr>
  </w:style>
  <w:style w:type="paragraph" w:styleId="Footer">
    <w:name w:val="footer"/>
    <w:basedOn w:val="Normal"/>
    <w:link w:val="FooterChar"/>
    <w:uiPriority w:val="99"/>
    <w:unhideWhenUsed/>
    <w:rsid w:val="00E812AA"/>
    <w:pPr>
      <w:tabs>
        <w:tab w:val="center" w:pos="4320"/>
        <w:tab w:val="right" w:pos="8640"/>
      </w:tabs>
    </w:pPr>
  </w:style>
  <w:style w:type="character" w:customStyle="1" w:styleId="FooterChar">
    <w:name w:val="Footer Char"/>
    <w:link w:val="Footer"/>
    <w:uiPriority w:val="99"/>
    <w:rsid w:val="00E812AA"/>
    <w:rPr>
      <w:rFonts w:ascii="Times New Roman" w:hAnsi="Times New Roman"/>
      <w:color w:val="000000"/>
      <w:sz w:val="19"/>
      <w:szCs w:val="22"/>
      <w:lang w:val="lt-LT" w:eastAsia="en-GB"/>
    </w:rPr>
  </w:style>
  <w:style w:type="paragraph" w:styleId="FootnoteText">
    <w:name w:val="footnote text"/>
    <w:basedOn w:val="Normal"/>
    <w:link w:val="FootnoteTextChar"/>
    <w:uiPriority w:val="99"/>
    <w:semiHidden/>
    <w:unhideWhenUsed/>
    <w:rsid w:val="00E812AA"/>
    <w:rPr>
      <w:sz w:val="20"/>
      <w:szCs w:val="20"/>
    </w:rPr>
  </w:style>
  <w:style w:type="character" w:customStyle="1" w:styleId="FootnoteTextChar">
    <w:name w:val="Footnote Text Char"/>
    <w:link w:val="FootnoteText"/>
    <w:uiPriority w:val="99"/>
    <w:semiHidden/>
    <w:rsid w:val="00E812AA"/>
    <w:rPr>
      <w:rFonts w:ascii="Times New Roman" w:hAnsi="Times New Roman"/>
      <w:color w:val="000000"/>
      <w:lang w:val="lt-LT" w:eastAsia="en-GB"/>
    </w:rPr>
  </w:style>
  <w:style w:type="character" w:styleId="FootnoteReference">
    <w:name w:val="footnote reference"/>
    <w:uiPriority w:val="99"/>
    <w:semiHidden/>
    <w:unhideWhenUsed/>
    <w:rsid w:val="00E812AA"/>
    <w:rPr>
      <w:vertAlign w:val="superscript"/>
    </w:rPr>
  </w:style>
  <w:style w:type="paragraph" w:styleId="PlainText">
    <w:name w:val="Plain Text"/>
    <w:basedOn w:val="Normal"/>
    <w:link w:val="PlainTextChar"/>
    <w:uiPriority w:val="99"/>
    <w:unhideWhenUsed/>
    <w:rsid w:val="00943D0F"/>
    <w:pPr>
      <w:spacing w:after="0" w:line="240" w:lineRule="auto"/>
      <w:ind w:left="0" w:firstLine="0"/>
      <w:jc w:val="left"/>
    </w:pPr>
    <w:rPr>
      <w:rFonts w:ascii="Consolas" w:hAnsi="Consolas"/>
      <w:color w:val="auto"/>
      <w:sz w:val="21"/>
      <w:szCs w:val="21"/>
    </w:rPr>
  </w:style>
  <w:style w:type="character" w:customStyle="1" w:styleId="PlainTextChar">
    <w:name w:val="Plain Text Char"/>
    <w:basedOn w:val="DefaultParagraphFont"/>
    <w:link w:val="PlainText"/>
    <w:uiPriority w:val="99"/>
    <w:rsid w:val="00943D0F"/>
    <w:rPr>
      <w:rFonts w:ascii="Consolas" w:hAnsi="Consolas"/>
      <w:sz w:val="21"/>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646A7-6417-422E-867F-410BF075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770</Words>
  <Characters>4392</Characters>
  <Application>Microsoft Office Word</Application>
  <DocSecurity>0</DocSecurity>
  <Lines>36</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0055.fm</vt:lpstr>
      <vt:lpstr>0055.fm</vt:lpstr>
    </vt:vector>
  </TitlesOfParts>
  <Company>Kommerskollegium</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0055.fm</dc:title>
  <dc:subject/>
  <dc:creator>leer01</dc:creator>
  <cp:keywords/>
  <cp:lastModifiedBy>GRYBAUSKAITE, Laura</cp:lastModifiedBy>
  <cp:revision>4</cp:revision>
  <dcterms:created xsi:type="dcterms:W3CDTF">2019-04-30T10:57:00Z</dcterms:created>
  <dcterms:modified xsi:type="dcterms:W3CDTF">2019-05-08T14:47:00Z</dcterms:modified>
</cp:coreProperties>
</file>