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9C2695" w:rsidRPr="00A857F7" w14:paraId="4EBF81A7" w14:textId="77777777" w:rsidTr="009C2695">
        <w:trPr>
          <w:cantSplit/>
        </w:trPr>
        <w:tc>
          <w:tcPr>
            <w:tcW w:w="4338" w:type="dxa"/>
            <w:gridSpan w:val="3"/>
            <w:shd w:val="clear" w:color="auto" w:fill="FFFFFF"/>
            <w:hideMark/>
          </w:tcPr>
          <w:p w14:paraId="44035422" w14:textId="77777777" w:rsidR="009C2695" w:rsidRPr="009C2695" w:rsidRDefault="009C2695" w:rsidP="00592776">
            <w:pPr>
              <w:spacing w:line="276" w:lineRule="auto"/>
              <w:jc w:val="center"/>
              <w:rPr>
                <w:rFonts w:ascii="Times New Roman" w:hAnsi="Times New Roman" w:cs="Times New Roman"/>
                <w:b/>
                <w:bCs/>
                <w:sz w:val="24"/>
                <w:szCs w:val="24"/>
              </w:rPr>
            </w:pPr>
            <w:r>
              <w:rPr>
                <w:rFonts w:ascii="Times New Roman" w:hAnsi="Times New Roman"/>
                <w:b/>
                <w:sz w:val="24"/>
              </w:rPr>
              <w:t>REPUBLIKA FRANCUSKA</w:t>
            </w:r>
          </w:p>
        </w:tc>
      </w:tr>
      <w:tr w:rsidR="009C2695" w:rsidRPr="00A857F7" w14:paraId="5FF23B28" w14:textId="77777777" w:rsidTr="009C2695">
        <w:trPr>
          <w:cantSplit/>
          <w:trHeight w:hRule="exact" w:val="113"/>
        </w:trPr>
        <w:tc>
          <w:tcPr>
            <w:tcW w:w="1526" w:type="dxa"/>
            <w:shd w:val="clear" w:color="auto" w:fill="FFFFFF"/>
          </w:tcPr>
          <w:p w14:paraId="23DDD3B0"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100ECF9F"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233FC195" w14:textId="77777777" w:rsidR="009C2695" w:rsidRPr="009C2695" w:rsidRDefault="009C2695" w:rsidP="00592776">
            <w:pPr>
              <w:spacing w:line="256" w:lineRule="auto"/>
              <w:rPr>
                <w:rFonts w:ascii="Times New Roman" w:eastAsia="Calibri" w:hAnsi="Times New Roman" w:cs="Times New Roman"/>
                <w:sz w:val="24"/>
                <w:szCs w:val="24"/>
              </w:rPr>
            </w:pPr>
          </w:p>
        </w:tc>
      </w:tr>
      <w:tr w:rsidR="009C2695" w:rsidRPr="00A857F7" w14:paraId="32FC57D0" w14:textId="77777777" w:rsidTr="009C2695">
        <w:trPr>
          <w:cantSplit/>
        </w:trPr>
        <w:tc>
          <w:tcPr>
            <w:tcW w:w="4338" w:type="dxa"/>
            <w:gridSpan w:val="3"/>
            <w:shd w:val="clear" w:color="auto" w:fill="FFFFFF"/>
            <w:hideMark/>
          </w:tcPr>
          <w:p w14:paraId="6AD4590D"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Ministerstwo Transformacji Ekologicznej i Spójności Terytorialnej</w:t>
            </w:r>
          </w:p>
          <w:p w14:paraId="6F693AA9"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Ministerstwo Zdrowia i Profilaktyki</w:t>
            </w:r>
          </w:p>
        </w:tc>
      </w:tr>
      <w:tr w:rsidR="009C2695" w:rsidRPr="00A857F7" w14:paraId="649553EA" w14:textId="77777777" w:rsidTr="009C2695">
        <w:trPr>
          <w:cantSplit/>
          <w:trHeight w:hRule="exact" w:val="227"/>
        </w:trPr>
        <w:tc>
          <w:tcPr>
            <w:tcW w:w="1526" w:type="dxa"/>
            <w:shd w:val="clear" w:color="auto" w:fill="FFFFFF"/>
          </w:tcPr>
          <w:p w14:paraId="15C18821"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3C900AFE"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7D02842B" w14:textId="77777777" w:rsidR="009C2695" w:rsidRPr="009C2695" w:rsidRDefault="009C2695" w:rsidP="00592776">
            <w:pPr>
              <w:spacing w:line="256" w:lineRule="auto"/>
              <w:rPr>
                <w:rFonts w:ascii="Times New Roman" w:eastAsia="Calibri" w:hAnsi="Times New Roman" w:cs="Times New Roman"/>
                <w:sz w:val="24"/>
                <w:szCs w:val="24"/>
              </w:rPr>
            </w:pPr>
          </w:p>
        </w:tc>
      </w:tr>
    </w:tbl>
    <w:p w14:paraId="685A481D" w14:textId="2406F2B3" w:rsidR="005C3CFF" w:rsidRPr="00176A22" w:rsidRDefault="009C2695">
      <w:pPr>
        <w:pStyle w:val="SNNature"/>
      </w:pPr>
      <w:r>
        <w:t>Projekt rozporządzenia z dnia</w:t>
      </w:r>
    </w:p>
    <w:p w14:paraId="6A8D6A8E" w14:textId="5E6F0EEA" w:rsidR="005C3CFF" w:rsidRDefault="001F42AC">
      <w:pPr>
        <w:pStyle w:val="SNtitre"/>
      </w:pPr>
      <w:r>
        <w:t>w sprawie udzielania informacji w celu identyfikowania za pomocą aplikacji obecności w produkcie substancji zaburzających funkcjonowanie układu hormonalnego</w:t>
      </w:r>
    </w:p>
    <w:p w14:paraId="4E3DCA9D" w14:textId="77777777" w:rsidR="005C3CFF" w:rsidRPr="00176A22" w:rsidRDefault="00B8106B">
      <w:pPr>
        <w:pStyle w:val="SNNORCentr"/>
      </w:pPr>
      <w:r>
        <w:t xml:space="preserve">NOR: </w:t>
      </w:r>
      <w:r>
        <w:rPr>
          <w:highlight w:val="yellow"/>
        </w:rPr>
        <w:t>XXXXXXXXXX</w:t>
      </w:r>
    </w:p>
    <w:p w14:paraId="3392BAA2" w14:textId="7BA809ED"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Grupa docelowa:</w:t>
      </w:r>
      <w:r>
        <w:rPr>
          <w:rFonts w:ascii="Times New Roman" w:hAnsi="Times New Roman"/>
          <w:i/>
          <w:sz w:val="24"/>
        </w:rPr>
        <w:t xml:space="preserve"> wszystkie osoby wprowadzające do obrotu produkty przeznaczone dla konsumentów, które to produkty po zakończeniu procesu produkcji zawierają substancje zakwalifikowane przez francuską Agencję ds. Bezpieczeństwa Sanitarnego Żywności, Środowiska i Pracy (ANSES) jako substancje, co do których potwierdzono, istnieje domniemanie lub podejrzewa się, że posiadają właściwości zaburzające funkcjonowanie układu hormonalnego </w:t>
      </w:r>
    </w:p>
    <w:p w14:paraId="1F0EAB46" w14:textId="166828CB"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Cel: </w:t>
      </w:r>
      <w:r>
        <w:rPr>
          <w:rFonts w:ascii="Times New Roman" w:hAnsi="Times New Roman"/>
          <w:i/>
          <w:sz w:val="24"/>
        </w:rPr>
        <w:t>W niniejszym rozporządzeniu określono alternatywny sposób informowania społeczeństwa o obecności w produktach substancji zakwalifikowanych przez Agencję ds. Żywności, Środowiska oraz Bezpieczeństwa i Higieny Pracy jako substancje, co do których potwierdzono, istnieje domniemanie lub podejrzewa się, że posiadają właściwości zaburzające funkcjonowanie układu hormonalnego. Produkty oznaczają środki spożywcze zgodnie z definicją zawartą w art. 2 rozporządzenia (WE) nr 178/2002 oraz substancje, mieszaniny i wyroby zgodnie z definicjami zawartymi w art. 3 rozporządzenia (UE) nr 1907/2006 („REACH”), inne niż produkty lecznicze.</w:t>
      </w:r>
    </w:p>
    <w:p w14:paraId="10CD6EC7" w14:textId="59B95CC6"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Wejście w życie: </w:t>
      </w:r>
      <w:r>
        <w:rPr>
          <w:rFonts w:ascii="Times New Roman" w:hAnsi="Times New Roman"/>
          <w:i/>
          <w:sz w:val="24"/>
        </w:rPr>
        <w:t>Tekst wchodzi w życie następnego dnia po jego opublikowaniu.</w:t>
      </w:r>
    </w:p>
    <w:p w14:paraId="2E1650C3" w14:textId="77777777" w:rsidR="00486DD2" w:rsidRPr="00486DD2" w:rsidRDefault="00B8106B" w:rsidP="00486DD2">
      <w:pPr>
        <w:spacing w:after="120"/>
        <w:ind w:firstLine="708"/>
        <w:jc w:val="both"/>
        <w:rPr>
          <w:rFonts w:ascii="Times New Roman" w:hAnsi="Times New Roman" w:cs="Times New Roman"/>
          <w:i/>
          <w:iCs/>
          <w:sz w:val="24"/>
          <w:szCs w:val="24"/>
        </w:rPr>
      </w:pPr>
      <w:r>
        <w:rPr>
          <w:rFonts w:ascii="Times New Roman" w:hAnsi="Times New Roman"/>
          <w:b/>
          <w:i/>
          <w:sz w:val="24"/>
        </w:rPr>
        <w:t xml:space="preserve">Uwaga: </w:t>
      </w:r>
      <w:r>
        <w:rPr>
          <w:rFonts w:ascii="Times New Roman" w:hAnsi="Times New Roman"/>
          <w:i/>
          <w:sz w:val="24"/>
        </w:rPr>
        <w:t xml:space="preserve">Art. 13 ust. II ustawy nr 2020-105 z dnia 10 lutego 2020 r. o przeciwdziałaniu powstawaniu odpadów i gospodarce o obiegu zamkniętym, znanej jako „AGEC”, przewiduje, że każda osoba wprowadzająca do obrotu produkty przeznaczone dla konsumentów i zawierające substancje, które w ocenie francuskiej Agencji ds. Bezpieczeństwa Sanitarnego Żywności, Środowiska i Pracy (ANSES) posiadają właściwości, co do których potwierdzono lub istnieje domniemanie, że zaburzają funkcjonowanie układu hormonalnego, ma obowiązek „publikacji za pomocą środków elektronicznych informacji pozwalających na identyfikację obecności takich substancji w produkcie. Publikacja musi dotyczyć każdego odnośnego produktu i mieć formę otwartą, umożliwiającą łatwe ponowne wykorzystanie i automatyczne przetwarzanie informacji”. Obowiązek ten ma również zastosowanie do niektórych kategorii produktów stwarzających szczególne ryzyko narażenia w odniesieniu do substancji, co do </w:t>
      </w:r>
      <w:r>
        <w:rPr>
          <w:rFonts w:ascii="Times New Roman" w:hAnsi="Times New Roman"/>
          <w:i/>
          <w:sz w:val="24"/>
        </w:rPr>
        <w:lastRenderedPageBreak/>
        <w:t>których zgodnie z klasyfikacją ANSES podejrzewa się, że zaburzają funkcjonowanie układu hormonalnego.</w:t>
      </w:r>
    </w:p>
    <w:p w14:paraId="292508E8" w14:textId="7CB1F488"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Obowiązek ten jest zgodny z celami drugiej krajowej strategii w sprawie substancji zaburzających funkcjonowanie układu hormonalnego (SNPE2). Jego celem jest dostarczanie obywatelom przejrzystych informacji na temat obecności w produktach substancji o właściwościach zaburzających funkcjonowanie układu hormonalnego, w znaczeniu substancji, mieszanin, wyrobów (zgodnie z definicjami zawartymi w rozporządzeniu REACH) i środków spożywczych.</w:t>
      </w:r>
    </w:p>
    <w:p w14:paraId="252775FA" w14:textId="734F03C6"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Ma on zastosowanie do przeznaczonych dla konsumentów produktów, o których mowa w art. R. 5232-19 Kodeksu zdrowia publicznego. Udostępnianie tych informacji ma zastosowanie do całego produktu i jego opakowania bezpośredniego lub opakowania handlowego w rozumieniu art. R. 543-43 Kodeksu ochrony środowiska.</w:t>
      </w:r>
    </w:p>
    <w:p w14:paraId="341F93AC" w14:textId="3950C71B" w:rsidR="005C3CFF" w:rsidRPr="00DF11E0"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 Szczegółowe zasady stosowania tego przepisu zostały określone w art. od R. 5232-19 do R. 5232-22 Kodeksu zdrowia publicznego. Artykuł R. 5232-20 stanowi, że informacje, o których mowa w art. L. 5232-5 Kodeksu zdrowia publicznego mogą być udostępniane za pośrednictwem aplikacji wyznaczonej wspólnym rozporządzeniem ministrów właściwych do spraw zdrowia i środowiska naturalnego. Projekt finansowany przez Komisję Europejską w ramach programu LIFE zaowocował utworzeniem dobrowolnie aktualizowanej przez przedsiębiorstwa bazy danych dotyczących obecności w wyrobach substancji wzbudzających szczególnie duże obawy w rozumieniu rozporządzenia REACH. Francja głęboko zaangażowała się w ten projekt będący jednym ze sztandarowych środków czwartego krajowego planu zdrowia środowiskowego, mobilizując Narodowy Instytut Środowiska Przemysłowego i Zagrożeń (INERIS) wspierany przez Ministerstwo Środowiska. Skojarzona ze wspomnianą bazą danych aplikacja Scan4Chem umożliwia konsumentom uzyskanie informacji po prostym zeskanowaniu kodu kreskowego produktu. Niniejsze rozporządzenie określa zatem zastosowanie Scan4Chem jako możliwy sposób udostępniania informacji na temat obecności w wyrobach wzbudzających szczególnie duże obawy substancji w rozumieniu rozporządzenia REACH, w przypadku których potwierdzono, istnieje domniemanie lub podejrzewa się, że posiadają właściwości zaburzające funkcjonowanie układu hormonalnego.</w:t>
      </w:r>
    </w:p>
    <w:p w14:paraId="307C44DF" w14:textId="77777777" w:rsidR="007D346E" w:rsidRDefault="007D346E" w:rsidP="007D346E">
      <w:pPr>
        <w:pStyle w:val="SNObjet"/>
      </w:pPr>
    </w:p>
    <w:p w14:paraId="29758403" w14:textId="1C562954" w:rsidR="007D346E" w:rsidRDefault="007D346E" w:rsidP="007D346E">
      <w:pPr>
        <w:pStyle w:val="SNObjet"/>
        <w:ind w:firstLine="708"/>
      </w:pPr>
      <w:r>
        <w:t>Minister Transformacji Ekologicznej</w:t>
      </w:r>
      <w:r>
        <w:rPr>
          <w:color w:val="auto"/>
        </w:rPr>
        <w:t xml:space="preserve"> i Spójności Terytorialnej</w:t>
      </w:r>
      <w:r>
        <w:t xml:space="preserve"> oraz Minister Zdrowia</w:t>
      </w:r>
      <w:r>
        <w:rPr>
          <w:color w:val="auto"/>
        </w:rPr>
        <w:t xml:space="preserve"> i Profilaktyki</w:t>
      </w:r>
    </w:p>
    <w:p w14:paraId="6A3F5D8D" w14:textId="55F6E79B" w:rsidR="007F3B43" w:rsidRDefault="007F3B43" w:rsidP="00FA067A">
      <w:pPr>
        <w:pStyle w:val="SNVisa"/>
        <w:rPr>
          <w:bCs/>
        </w:rPr>
      </w:pPr>
      <w:r>
        <w:t>uwzględniając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p>
    <w:p w14:paraId="4EF37F21" w14:textId="7C201613" w:rsidR="00FA067A" w:rsidRDefault="00FA067A" w:rsidP="00FA067A">
      <w:pPr>
        <w:pStyle w:val="SNVisa"/>
        <w:rPr>
          <w:bCs/>
        </w:rPr>
      </w:pPr>
      <w:r>
        <w:t>uwzględniając rozporządzenie (WE) nr 1907/2006 Parlamentu Europejskiego i Rady z dnia 18 grudnia 2006 r. w sprawie rejestracji, oceny, udzielania zezwoleń i stosowanych ograniczeń w zakresie chemikaliów (REACH) i utworzenia Europejskiej Agencji Chemikaliów, zmieniające dyrektywę 1999/45/WE oraz uchylające rozporządzenie Rady (EWG) nr 793/93 i rozporządzenie Komisji (WE) nr 1488/94, jak również dyrektywę Rady 76/769/EWG i dyrektywy Komisji 91/155/EWG, 93/67/EWG, 93/105/WE i 2000/21/WE,</w:t>
      </w:r>
    </w:p>
    <w:p w14:paraId="19B9958A" w14:textId="32FE6134" w:rsidR="00FA067A" w:rsidRPr="00AC5C8E" w:rsidRDefault="00FA067A" w:rsidP="00FA067A">
      <w:pPr>
        <w:pStyle w:val="SNVisa"/>
        <w:rPr>
          <w:shd w:val="clear" w:color="auto" w:fill="FFFFFF"/>
        </w:rPr>
      </w:pPr>
      <w:r>
        <w:t xml:space="preserve">uwzględniając dyrektywę (UE) 2015/1535 Parlamentu Europejskiego i Rady z dnia </w:t>
      </w:r>
      <w:r>
        <w:rPr>
          <w:shd w:val="clear" w:color="auto" w:fill="FFFFFF"/>
        </w:rPr>
        <w:t xml:space="preserve">9 września 2015 r. ustanawiającą procedurę udzielania informacji w dziedzinie przepisów </w:t>
      </w:r>
      <w:r>
        <w:rPr>
          <w:shd w:val="clear" w:color="auto" w:fill="FFFFFF"/>
        </w:rPr>
        <w:lastRenderedPageBreak/>
        <w:t>technicznych oraz zasad dotyczących usług społeczeństwa informacyjnego,</w:t>
      </w:r>
      <w:r>
        <w:t xml:space="preserve"> w szczególności notyfikację nr </w:t>
      </w:r>
      <w:r>
        <w:rPr>
          <w:highlight w:val="yellow"/>
        </w:rPr>
        <w:t>2023/XXX/F</w:t>
      </w:r>
      <w:r>
        <w:rPr>
          <w:shd w:val="clear" w:color="auto" w:fill="FFFFFF"/>
        </w:rPr>
        <w:t>,</w:t>
      </w:r>
    </w:p>
    <w:p w14:paraId="2E26C5F6" w14:textId="4A7F714F" w:rsidR="007D346E" w:rsidRPr="000A09CF" w:rsidRDefault="007D346E" w:rsidP="007D346E">
      <w:pPr>
        <w:pStyle w:val="SNVisa"/>
        <w:ind w:firstLine="708"/>
        <w:rPr>
          <w:bCs/>
        </w:rPr>
      </w:pPr>
      <w:r>
        <w:t xml:space="preserve">uwzględniając </w:t>
      </w:r>
      <w:bookmarkStart w:id="0" w:name="__DdeLink__11050_299813634"/>
      <w:r>
        <w:t>Kodeks zdrowia publicznego, w szczególności art. L. 5</w:t>
      </w:r>
      <w:bookmarkEnd w:id="0"/>
      <w:r>
        <w:t>232-5 w brzmieniu zawartym w art. 13 ustawy nr 2020-105 z dnia 10 lutego 2020 r. o przeciwdziałaniu powstawaniu odpadów i gospodarce o obiegu zamkniętym oraz art. R. 5232-19 i R. 5232-20 tegoż Kodeksu,</w:t>
      </w:r>
    </w:p>
    <w:p w14:paraId="73F91CAD" w14:textId="0009B092" w:rsidR="005C3CFF" w:rsidRPr="007C2FA5" w:rsidRDefault="00F92020" w:rsidP="005B289F">
      <w:pPr>
        <w:pStyle w:val="SNActe"/>
        <w:keepNext/>
        <w:keepLines/>
      </w:pPr>
      <w:r>
        <w:t>zarządzają, co następuje:</w:t>
      </w:r>
    </w:p>
    <w:p w14:paraId="36CE1980" w14:textId="77777777" w:rsidR="005C3CFF" w:rsidRPr="007C2FA5" w:rsidRDefault="00B8106B" w:rsidP="005B289F">
      <w:pPr>
        <w:pStyle w:val="SNArticle"/>
        <w:keepNext/>
        <w:keepLines/>
      </w:pPr>
      <w:r>
        <w:t>Artykuł 1</w:t>
      </w:r>
    </w:p>
    <w:p w14:paraId="4674CDC4" w14:textId="69C1EB8F" w:rsidR="00213EBB" w:rsidRDefault="00213EBB" w:rsidP="005B289F">
      <w:pPr>
        <w:pStyle w:val="BodyText"/>
        <w:keepNext/>
        <w:keepLines/>
        <w:spacing w:after="0"/>
        <w:ind w:firstLine="708"/>
      </w:pPr>
    </w:p>
    <w:p w14:paraId="51E8E353" w14:textId="22D70482" w:rsidR="00D81C91" w:rsidRPr="00726CFC" w:rsidRDefault="00756EAD" w:rsidP="005B289F">
      <w:pPr>
        <w:pStyle w:val="BodyText"/>
        <w:keepNext/>
        <w:keepLines/>
        <w:spacing w:after="0"/>
      </w:pPr>
      <w:r>
        <w:t>Informacje, o których mowa w art. L. 5232-5 ust. I i II Kodeksu zdrowia publicznego mogą być udostępniane, zgodnie z przepisami art. R. 5232-20 Kodeksu, za pomocą aplikacji wymienionych w załączniku, pod warunkiem, że są one dostępne w języku francuskim i umożliwiają jednoznaczną identyfikację produktów.</w:t>
      </w:r>
    </w:p>
    <w:p w14:paraId="0D812C4D" w14:textId="77777777" w:rsidR="005C3CFF" w:rsidRDefault="005C3CFF">
      <w:pPr>
        <w:pStyle w:val="BodyText"/>
        <w:spacing w:after="0"/>
      </w:pPr>
    </w:p>
    <w:p w14:paraId="54BA5A62" w14:textId="7B8C0752" w:rsidR="007D346E" w:rsidRDefault="007D346E" w:rsidP="007D346E">
      <w:pPr>
        <w:pStyle w:val="SNArticle"/>
      </w:pPr>
      <w:r>
        <w:t>Artykuł 2</w:t>
      </w:r>
    </w:p>
    <w:p w14:paraId="0C2A36E0" w14:textId="77777777" w:rsidR="007D346E" w:rsidRDefault="007D346E" w:rsidP="007D346E">
      <w:pPr>
        <w:pStyle w:val="SNArticle"/>
        <w:jc w:val="both"/>
        <w:rPr>
          <w:b w:val="0"/>
        </w:rPr>
      </w:pPr>
      <w:r>
        <w:rPr>
          <w:b w:val="0"/>
        </w:rPr>
        <w:t xml:space="preserve">Postanowienia niniejszego rozporządzenia wchodzą w życie następnego dnia po jego opublikowaniu. </w:t>
      </w:r>
    </w:p>
    <w:p w14:paraId="4A87D79C" w14:textId="77777777" w:rsidR="007D346E" w:rsidRDefault="007D346E" w:rsidP="007D346E">
      <w:pPr>
        <w:pStyle w:val="SNArticle"/>
        <w:spacing w:after="0"/>
      </w:pPr>
    </w:p>
    <w:p w14:paraId="58676A44" w14:textId="5082B85E" w:rsidR="007D346E" w:rsidRDefault="007D346E" w:rsidP="007D346E">
      <w:pPr>
        <w:pStyle w:val="SNArticle"/>
      </w:pPr>
      <w:r>
        <w:t>Artykuł 3</w:t>
      </w:r>
    </w:p>
    <w:p w14:paraId="12649071" w14:textId="77777777" w:rsidR="007D346E" w:rsidRDefault="007D346E" w:rsidP="007D346E">
      <w:pPr>
        <w:pStyle w:val="BodyText"/>
      </w:pPr>
      <w:r>
        <w:t xml:space="preserve">Niniejsze rozporządzenie zostanie opublikowane w </w:t>
      </w:r>
      <w:r>
        <w:rPr>
          <w:i/>
        </w:rPr>
        <w:t>Dzienniku Urzędowym</w:t>
      </w:r>
      <w:r>
        <w:t xml:space="preserve"> Republiki Francuskiej.</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1C3B454F" w:rsidR="007E33DE" w:rsidRDefault="00B8106B" w:rsidP="007D346E">
      <w:pPr>
        <w:pStyle w:val="SNDate"/>
      </w:pPr>
      <w:r>
        <w:t>Sporządzono dnia</w:t>
      </w:r>
    </w:p>
    <w:p w14:paraId="28DE9DA6" w14:textId="7F52BAC0" w:rsidR="007D346E" w:rsidRDefault="007D346E" w:rsidP="007D346E">
      <w:pPr>
        <w:rPr>
          <w:lang w:eastAsia="fr-FR"/>
        </w:rPr>
      </w:pPr>
    </w:p>
    <w:p w14:paraId="7897D665" w14:textId="77777777" w:rsidR="007D346E" w:rsidRDefault="007D346E" w:rsidP="007D346E">
      <w:pPr>
        <w:pStyle w:val="SNSignatureGauche"/>
      </w:pPr>
      <w:r>
        <w:t>Minister ds. Transformacji Ekologicznej i Spójności Terytorialnej,</w:t>
      </w:r>
    </w:p>
    <w:p w14:paraId="7408E310" w14:textId="77777777" w:rsidR="007D346E" w:rsidRDefault="007D346E" w:rsidP="007D346E">
      <w:pPr>
        <w:pStyle w:val="SNSignatureDroite"/>
        <w:ind w:left="539" w:firstLine="0"/>
      </w:pPr>
      <w:r>
        <w:t>Za i w imieniu Ministra:</w:t>
      </w:r>
    </w:p>
    <w:p w14:paraId="13FBDF1E" w14:textId="77777777" w:rsidR="007D346E" w:rsidRDefault="007D346E" w:rsidP="007D346E">
      <w:pPr>
        <w:pStyle w:val="SNSignatureDroite"/>
        <w:ind w:left="539" w:firstLine="0"/>
      </w:pPr>
      <w:r>
        <w:t>Dyrektor Generalny ds. Zapobiegania Zagrożeniom</w:t>
      </w:r>
    </w:p>
    <w:p w14:paraId="40AB3094" w14:textId="77777777" w:rsidR="007D346E" w:rsidRDefault="007D346E" w:rsidP="007D346E">
      <w:pPr>
        <w:pStyle w:val="SNSignatureGauche"/>
      </w:pPr>
    </w:p>
    <w:p w14:paraId="02737DD4" w14:textId="77777777" w:rsidR="007D346E" w:rsidRDefault="007D346E" w:rsidP="007D346E">
      <w:pPr>
        <w:pStyle w:val="SNSignatureDroite"/>
        <w:ind w:left="539" w:firstLine="0"/>
      </w:pPr>
    </w:p>
    <w:p w14:paraId="23AEDC40" w14:textId="77777777" w:rsidR="007D346E" w:rsidRDefault="007D346E" w:rsidP="007D346E">
      <w:pPr>
        <w:pStyle w:val="SNSignatureGauche"/>
      </w:pPr>
    </w:p>
    <w:p w14:paraId="06443981" w14:textId="6033DABF" w:rsidR="007D346E" w:rsidRDefault="007D346E" w:rsidP="007D346E">
      <w:pPr>
        <w:pStyle w:val="SNSignatureDroite"/>
        <w:ind w:left="539" w:firstLine="0"/>
      </w:pPr>
      <w:r>
        <w:t>Cédric BOURILLET</w:t>
      </w:r>
    </w:p>
    <w:p w14:paraId="405BB365" w14:textId="18FDF3A6" w:rsidR="007D346E" w:rsidRDefault="007D346E" w:rsidP="007D346E">
      <w:pPr>
        <w:pStyle w:val="SNSignatureGauche"/>
        <w:rPr>
          <w:lang w:eastAsia="zh-CN"/>
        </w:rPr>
      </w:pPr>
    </w:p>
    <w:p w14:paraId="6178E57E" w14:textId="760909D5" w:rsidR="007D346E" w:rsidRDefault="007D346E" w:rsidP="007D346E">
      <w:pPr>
        <w:pStyle w:val="SNSignatureGauche"/>
        <w:rPr>
          <w:lang w:eastAsia="zh-CN"/>
        </w:rPr>
      </w:pPr>
    </w:p>
    <w:p w14:paraId="53CB2245" w14:textId="14F12444" w:rsidR="007D346E" w:rsidRDefault="007D346E" w:rsidP="007D346E">
      <w:pPr>
        <w:pStyle w:val="SNSignatureGauche"/>
        <w:rPr>
          <w:lang w:eastAsia="zh-CN"/>
        </w:rPr>
      </w:pPr>
    </w:p>
    <w:p w14:paraId="02090C7D" w14:textId="3030CB56" w:rsidR="007D346E" w:rsidRDefault="007D346E" w:rsidP="007D346E">
      <w:pPr>
        <w:pStyle w:val="SNSignatureGauche"/>
        <w:rPr>
          <w:lang w:eastAsia="zh-CN"/>
        </w:rPr>
      </w:pPr>
    </w:p>
    <w:p w14:paraId="5AF5775D" w14:textId="77777777" w:rsidR="007D346E" w:rsidRDefault="007D346E" w:rsidP="007D346E">
      <w:pPr>
        <w:pStyle w:val="SNSignatureGauche"/>
        <w:rPr>
          <w:lang w:eastAsia="zh-CN"/>
        </w:rPr>
      </w:pPr>
    </w:p>
    <w:p w14:paraId="7057BC9A" w14:textId="77777777" w:rsidR="007D346E" w:rsidRDefault="007D346E" w:rsidP="00DD61C2">
      <w:pPr>
        <w:pStyle w:val="SNSignatureGauche"/>
        <w:keepNext/>
      </w:pPr>
      <w:r>
        <w:lastRenderedPageBreak/>
        <w:t>Minister Zdrowia i Profilaktyki,</w:t>
      </w:r>
    </w:p>
    <w:p w14:paraId="70EB520F" w14:textId="77777777" w:rsidR="007D346E" w:rsidRDefault="007D346E" w:rsidP="007D346E">
      <w:pPr>
        <w:pStyle w:val="SNSignatureGauche"/>
      </w:pPr>
      <w:r>
        <w:t>Za i w imieniu Ministra:</w:t>
      </w:r>
    </w:p>
    <w:p w14:paraId="0EB7FBDE" w14:textId="77777777" w:rsidR="007D346E" w:rsidRDefault="007D346E" w:rsidP="007D346E">
      <w:pPr>
        <w:pStyle w:val="SNSignatureGauche"/>
      </w:pPr>
      <w:r>
        <w:t>Dyrektor Generalny ds. Zdrowia,</w:t>
      </w:r>
    </w:p>
    <w:p w14:paraId="43463536" w14:textId="77A0479C" w:rsidR="007D346E" w:rsidRDefault="007D346E" w:rsidP="007D346E">
      <w:pPr>
        <w:pStyle w:val="SNSignatureGauche"/>
      </w:pPr>
    </w:p>
    <w:p w14:paraId="5AE81818" w14:textId="77777777" w:rsidR="007D346E" w:rsidRDefault="007D346E" w:rsidP="007D346E">
      <w:pPr>
        <w:pStyle w:val="SNSignatureGauche"/>
      </w:pPr>
    </w:p>
    <w:p w14:paraId="3F61A872" w14:textId="77777777" w:rsidR="007D346E" w:rsidRDefault="007D346E" w:rsidP="007D346E">
      <w:pPr>
        <w:pStyle w:val="SNSignatureGauche"/>
      </w:pPr>
    </w:p>
    <w:p w14:paraId="2087E56C" w14:textId="77777777" w:rsidR="007D346E" w:rsidRDefault="007D346E" w:rsidP="007D346E">
      <w:pPr>
        <w:pStyle w:val="SNSignatureGauche"/>
      </w:pPr>
      <w:r>
        <w:t>Jérôme SALOMON</w:t>
      </w:r>
    </w:p>
    <w:p w14:paraId="65F3433B" w14:textId="77777777" w:rsidR="008375A2" w:rsidRDefault="008375A2" w:rsidP="007D346E">
      <w:pPr>
        <w:pStyle w:val="SNSignatureGauche"/>
      </w:pPr>
    </w:p>
    <w:p w14:paraId="2DF0F575" w14:textId="10055DF4" w:rsidR="00B1037F" w:rsidRDefault="00B1037F">
      <w:pPr>
        <w:spacing w:after="0" w:line="240" w:lineRule="auto"/>
        <w:rPr>
          <w:rFonts w:ascii="Times New Roman" w:hAnsi="Times New Roman" w:cs="Times New Roman"/>
          <w:color w:val="00000A"/>
          <w:sz w:val="24"/>
          <w:szCs w:val="24"/>
        </w:rPr>
      </w:pPr>
      <w:r>
        <w:br w:type="page"/>
      </w:r>
    </w:p>
    <w:p w14:paraId="0FC1DC2D" w14:textId="528A7B94" w:rsidR="00B1037F" w:rsidRDefault="00B1037F" w:rsidP="00B1037F">
      <w:pPr>
        <w:pStyle w:val="BodyText"/>
        <w:spacing w:after="0"/>
        <w:ind w:firstLine="708"/>
      </w:pPr>
    </w:p>
    <w:p w14:paraId="2A4D75F0" w14:textId="19B54DD5" w:rsidR="00CB3012" w:rsidRPr="00726CFC" w:rsidRDefault="00CB3012" w:rsidP="004853D9">
      <w:pPr>
        <w:pStyle w:val="BodyText"/>
        <w:spacing w:after="0"/>
        <w:jc w:val="center"/>
      </w:pPr>
      <w:r>
        <w:t>Załącznik</w:t>
      </w:r>
    </w:p>
    <w:p w14:paraId="5DD01E45" w14:textId="783B4322" w:rsidR="004E36CB" w:rsidRPr="00726CFC" w:rsidRDefault="004E36CB" w:rsidP="004853D9">
      <w:pPr>
        <w:pStyle w:val="BodyText"/>
        <w:spacing w:after="0"/>
        <w:jc w:val="center"/>
      </w:pPr>
    </w:p>
    <w:p w14:paraId="25B3CC30" w14:textId="24C5A24E" w:rsidR="00D81C91" w:rsidRPr="00726CFC" w:rsidRDefault="00D81C91" w:rsidP="004853D9">
      <w:pPr>
        <w:pStyle w:val="BodyText"/>
        <w:spacing w:after="0"/>
        <w:jc w:val="center"/>
      </w:pPr>
      <w:r>
        <w:t>Wykaz aplikacji wyznaczonych do publicznego udostępniania informacji przewidzianych w art. L. 5232-5 ust. I i II Kodeksu zdrowia publicznego zgodnie z art. R. 5232-20 tegoż Kodeksu:</w:t>
      </w:r>
    </w:p>
    <w:p w14:paraId="50A015FA" w14:textId="56EFC66F" w:rsidR="00D81C91" w:rsidRPr="00726CFC" w:rsidRDefault="00D81C91" w:rsidP="00B1037F">
      <w:pPr>
        <w:pStyle w:val="BodyText"/>
        <w:spacing w:after="0"/>
        <w:ind w:firstLine="708"/>
      </w:pPr>
    </w:p>
    <w:tbl>
      <w:tblPr>
        <w:tblStyle w:val="TableGrid"/>
        <w:tblW w:w="0" w:type="auto"/>
        <w:tblLook w:val="04A0" w:firstRow="1" w:lastRow="0" w:firstColumn="1" w:lastColumn="0" w:noHBand="0" w:noVBand="1"/>
      </w:tblPr>
      <w:tblGrid>
        <w:gridCol w:w="9062"/>
      </w:tblGrid>
      <w:tr w:rsidR="00E61EFF" w:rsidRPr="00E61EFF" w14:paraId="2356862B" w14:textId="1A834148" w:rsidTr="00D81C91">
        <w:tc>
          <w:tcPr>
            <w:tcW w:w="9062" w:type="dxa"/>
          </w:tcPr>
          <w:p w14:paraId="70F93441" w14:textId="20EF61AF" w:rsidR="00D81C91" w:rsidRPr="00726CFC" w:rsidRDefault="00D81C91" w:rsidP="00B1037F">
            <w:pPr>
              <w:pStyle w:val="BodyText"/>
              <w:spacing w:after="0"/>
              <w:rPr>
                <w:b/>
              </w:rPr>
            </w:pPr>
            <w:r>
              <w:rPr>
                <w:b/>
              </w:rPr>
              <w:t>Nazwa aplikacji</w:t>
            </w:r>
          </w:p>
        </w:tc>
      </w:tr>
      <w:tr w:rsidR="00E61EFF" w:rsidRPr="00E61EFF" w14:paraId="66C7050E" w14:textId="16B754B7" w:rsidTr="00D81C91">
        <w:tc>
          <w:tcPr>
            <w:tcW w:w="9062" w:type="dxa"/>
          </w:tcPr>
          <w:p w14:paraId="4965F078" w14:textId="26D36430" w:rsidR="00D81C91" w:rsidRPr="00726CFC" w:rsidRDefault="00D81C91" w:rsidP="00B1037F">
            <w:pPr>
              <w:pStyle w:val="BodyText"/>
              <w:spacing w:after="0"/>
            </w:pPr>
            <w:r>
              <w:t>Scan4Chem</w:t>
            </w:r>
          </w:p>
        </w:tc>
      </w:tr>
    </w:tbl>
    <w:p w14:paraId="1FC04C90" w14:textId="19B7644C" w:rsidR="00D81C91" w:rsidRPr="00726CFC" w:rsidRDefault="00D81C91" w:rsidP="00B1037F">
      <w:pPr>
        <w:pStyle w:val="BodyText"/>
        <w:spacing w:after="0"/>
        <w:ind w:firstLine="708"/>
      </w:pPr>
    </w:p>
    <w:p w14:paraId="0D92619C" w14:textId="43B7563E" w:rsidR="00D81C91" w:rsidRDefault="00D81C91" w:rsidP="00B1037F">
      <w:pPr>
        <w:pStyle w:val="BodyText"/>
        <w:spacing w:after="0"/>
        <w:ind w:firstLine="708"/>
      </w:pPr>
    </w:p>
    <w:sectPr w:rsidR="00D81C91" w:rsidSect="004A62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6523" w14:textId="77777777" w:rsidR="00563C1E" w:rsidRDefault="00563C1E">
      <w:pPr>
        <w:spacing w:after="0" w:line="240" w:lineRule="auto"/>
      </w:pPr>
      <w:r>
        <w:separator/>
      </w:r>
    </w:p>
  </w:endnote>
  <w:endnote w:type="continuationSeparator" w:id="0">
    <w:p w14:paraId="7D4781A2" w14:textId="77777777" w:rsidR="00563C1E" w:rsidRDefault="0056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E2E" w14:textId="77777777" w:rsidR="004853D9" w:rsidRDefault="0048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312F" w14:textId="77777777" w:rsidR="004853D9" w:rsidRDefault="00485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0123" w14:textId="77777777" w:rsidR="004853D9" w:rsidRDefault="0048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9D38" w14:textId="77777777" w:rsidR="00563C1E" w:rsidRDefault="00563C1E">
      <w:pPr>
        <w:spacing w:after="0" w:line="240" w:lineRule="auto"/>
      </w:pPr>
      <w:r>
        <w:separator/>
      </w:r>
    </w:p>
  </w:footnote>
  <w:footnote w:type="continuationSeparator" w:id="0">
    <w:p w14:paraId="6FCCBCA0" w14:textId="77777777" w:rsidR="00563C1E" w:rsidRDefault="0056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BD6" w14:textId="58DDAB8F" w:rsidR="004853D9" w:rsidRDefault="00DD61C2">
    <w:pPr>
      <w:pStyle w:val="Header"/>
    </w:pPr>
    <w:r>
      <w:pict w14:anchorId="562B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0" o:spid="_x0000_s2052" type="#_x0000_t136" style="position:absolute;margin-left:0;margin-top:0;width:426.35pt;height:213.15pt;rotation:315;z-index:-251654144;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F307D94" w:rsidR="009334E2" w:rsidRDefault="00DD61C2">
    <w:pPr>
      <w:pStyle w:val="Header"/>
    </w:pPr>
    <w:r>
      <w:pict w14:anchorId="3B35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1" o:spid="_x0000_s2053" type="#_x0000_t136" style="position:absolute;margin-left:0;margin-top:0;width:426.35pt;height:213.15pt;rotation:315;z-index:-25165209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r w:rsidR="005B289F">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sidR="005B289F">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sidR="005B289F">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C80C" w14:textId="3A97F358" w:rsidR="004853D9" w:rsidRDefault="00DD61C2">
    <w:pPr>
      <w:pStyle w:val="Header"/>
    </w:pPr>
    <w:r>
      <w:pict w14:anchorId="5E2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09" o:spid="_x0000_s2051"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598321170">
    <w:abstractNumId w:val="2"/>
  </w:num>
  <w:num w:numId="2" w16cid:durableId="427971591">
    <w:abstractNumId w:val="0"/>
  </w:num>
  <w:num w:numId="3" w16cid:durableId="150585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93D84"/>
    <w:rsid w:val="00097C62"/>
    <w:rsid w:val="000A7B23"/>
    <w:rsid w:val="000C4231"/>
    <w:rsid w:val="000E434B"/>
    <w:rsid w:val="000E60D5"/>
    <w:rsid w:val="000F291C"/>
    <w:rsid w:val="00115F86"/>
    <w:rsid w:val="00176A22"/>
    <w:rsid w:val="001B00EC"/>
    <w:rsid w:val="001E0F47"/>
    <w:rsid w:val="001F2CA7"/>
    <w:rsid w:val="001F42AC"/>
    <w:rsid w:val="001F4F6F"/>
    <w:rsid w:val="00213EBB"/>
    <w:rsid w:val="0025560A"/>
    <w:rsid w:val="002A2636"/>
    <w:rsid w:val="002A2F6F"/>
    <w:rsid w:val="002A6556"/>
    <w:rsid w:val="002B525C"/>
    <w:rsid w:val="002F207E"/>
    <w:rsid w:val="00395596"/>
    <w:rsid w:val="003A6706"/>
    <w:rsid w:val="003C100A"/>
    <w:rsid w:val="0042419E"/>
    <w:rsid w:val="004635A2"/>
    <w:rsid w:val="004853D9"/>
    <w:rsid w:val="00486DD2"/>
    <w:rsid w:val="004A622E"/>
    <w:rsid w:val="004E36CB"/>
    <w:rsid w:val="004F2858"/>
    <w:rsid w:val="00563C1E"/>
    <w:rsid w:val="005852D6"/>
    <w:rsid w:val="005B044B"/>
    <w:rsid w:val="005B289F"/>
    <w:rsid w:val="005C3CFF"/>
    <w:rsid w:val="005D1350"/>
    <w:rsid w:val="005F1592"/>
    <w:rsid w:val="00605C77"/>
    <w:rsid w:val="00623DE6"/>
    <w:rsid w:val="0062476C"/>
    <w:rsid w:val="00631556"/>
    <w:rsid w:val="00646164"/>
    <w:rsid w:val="0068723C"/>
    <w:rsid w:val="006B3944"/>
    <w:rsid w:val="006B6B73"/>
    <w:rsid w:val="006B6BF5"/>
    <w:rsid w:val="006E762D"/>
    <w:rsid w:val="00716136"/>
    <w:rsid w:val="00726CFC"/>
    <w:rsid w:val="007508FC"/>
    <w:rsid w:val="00751294"/>
    <w:rsid w:val="00756EAD"/>
    <w:rsid w:val="00761548"/>
    <w:rsid w:val="00774894"/>
    <w:rsid w:val="007C1F2F"/>
    <w:rsid w:val="007C2486"/>
    <w:rsid w:val="007C2FA5"/>
    <w:rsid w:val="007D346E"/>
    <w:rsid w:val="007E33DE"/>
    <w:rsid w:val="007E539E"/>
    <w:rsid w:val="007E7567"/>
    <w:rsid w:val="007F3B43"/>
    <w:rsid w:val="007F4495"/>
    <w:rsid w:val="00822E51"/>
    <w:rsid w:val="0082665B"/>
    <w:rsid w:val="008375A2"/>
    <w:rsid w:val="0087290D"/>
    <w:rsid w:val="008777F6"/>
    <w:rsid w:val="008932F1"/>
    <w:rsid w:val="008E0490"/>
    <w:rsid w:val="008F0D1B"/>
    <w:rsid w:val="0092595E"/>
    <w:rsid w:val="009329A3"/>
    <w:rsid w:val="009334E2"/>
    <w:rsid w:val="009761BA"/>
    <w:rsid w:val="009926D2"/>
    <w:rsid w:val="009C2695"/>
    <w:rsid w:val="009D1B93"/>
    <w:rsid w:val="009D6371"/>
    <w:rsid w:val="00A20BB0"/>
    <w:rsid w:val="00A34FEB"/>
    <w:rsid w:val="00A40310"/>
    <w:rsid w:val="00A43970"/>
    <w:rsid w:val="00A75350"/>
    <w:rsid w:val="00A85973"/>
    <w:rsid w:val="00AC201F"/>
    <w:rsid w:val="00AC7D4F"/>
    <w:rsid w:val="00B02D2F"/>
    <w:rsid w:val="00B1037F"/>
    <w:rsid w:val="00B6771C"/>
    <w:rsid w:val="00B80A07"/>
    <w:rsid w:val="00B8106B"/>
    <w:rsid w:val="00BA7F96"/>
    <w:rsid w:val="00BC0155"/>
    <w:rsid w:val="00BC4BCE"/>
    <w:rsid w:val="00C057BC"/>
    <w:rsid w:val="00C17BBA"/>
    <w:rsid w:val="00C57297"/>
    <w:rsid w:val="00C84F23"/>
    <w:rsid w:val="00CA2467"/>
    <w:rsid w:val="00CB3012"/>
    <w:rsid w:val="00CB61EF"/>
    <w:rsid w:val="00CD2D5F"/>
    <w:rsid w:val="00D21849"/>
    <w:rsid w:val="00D501FA"/>
    <w:rsid w:val="00D60460"/>
    <w:rsid w:val="00D726ED"/>
    <w:rsid w:val="00D745B3"/>
    <w:rsid w:val="00D81C91"/>
    <w:rsid w:val="00D85ECB"/>
    <w:rsid w:val="00DB044A"/>
    <w:rsid w:val="00DD0857"/>
    <w:rsid w:val="00DD61C2"/>
    <w:rsid w:val="00DF00AF"/>
    <w:rsid w:val="00DF11E0"/>
    <w:rsid w:val="00E61837"/>
    <w:rsid w:val="00E61EFF"/>
    <w:rsid w:val="00E90A59"/>
    <w:rsid w:val="00E95D8C"/>
    <w:rsid w:val="00EA1CD5"/>
    <w:rsid w:val="00EB057C"/>
    <w:rsid w:val="00EB6569"/>
    <w:rsid w:val="00EB7F23"/>
    <w:rsid w:val="00ED0489"/>
    <w:rsid w:val="00ED414C"/>
    <w:rsid w:val="00F1656B"/>
    <w:rsid w:val="00F20EB5"/>
    <w:rsid w:val="00F434A3"/>
    <w:rsid w:val="00F51871"/>
    <w:rsid w:val="00F6703C"/>
    <w:rsid w:val="00F817B6"/>
    <w:rsid w:val="00F854A3"/>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7D346E"/>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7D346E"/>
    <w:pPr>
      <w:spacing w:after="0" w:line="240" w:lineRule="auto"/>
      <w:ind w:firstLine="567"/>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D346E"/>
    <w:pPr>
      <w:spacing w:after="0" w:line="276" w:lineRule="auto"/>
      <w:ind w:left="539"/>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539E"/>
    <w:rPr>
      <w:color w:val="0000FF"/>
      <w:u w:val="single"/>
    </w:rPr>
  </w:style>
  <w:style w:type="paragraph" w:customStyle="1" w:styleId="SNObjet">
    <w:name w:val="SNObjet"/>
    <w:basedOn w:val="Normal"/>
    <w:qFormat/>
    <w:rsid w:val="007D346E"/>
    <w:pPr>
      <w:widowControl w:val="0"/>
      <w:suppressLineNumbers/>
      <w:suppressAutoHyphens/>
      <w:spacing w:after="119" w:line="240" w:lineRule="auto"/>
      <w:jc w:val="both"/>
    </w:pPr>
    <w:rPr>
      <w:rFonts w:ascii="Times New Roman" w:eastAsia="Lucida Sans Unicode" w:hAnsi="Times New Roman" w:cs="Times New Roman"/>
      <w:b/>
      <w:color w:val="00000A"/>
      <w:sz w:val="24"/>
      <w:szCs w:val="24"/>
      <w:lang w:eastAsia="zh-CN"/>
    </w:rPr>
  </w:style>
  <w:style w:type="paragraph" w:customStyle="1" w:styleId="SNSignatureDroite">
    <w:name w:val="SNSignatureDroite"/>
    <w:basedOn w:val="Normal"/>
    <w:next w:val="SNSignatureGauche"/>
    <w:qFormat/>
    <w:rsid w:val="007D346E"/>
    <w:pPr>
      <w:suppressAutoHyphens/>
      <w:spacing w:after="0" w:line="240" w:lineRule="auto"/>
      <w:ind w:firstLine="567"/>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4D7-B858-441B-97B7-1070A3B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1074</Words>
  <Characters>6127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5</cp:revision>
  <dcterms:created xsi:type="dcterms:W3CDTF">2023-02-28T15:40:00Z</dcterms:created>
  <dcterms:modified xsi:type="dcterms:W3CDTF">2023-03-28T12:25:00Z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