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1CF9B" w14:textId="0A69ECD3" w:rsidR="003657BF" w:rsidRPr="005C44AE" w:rsidRDefault="003657BF">
      <w:pPr>
        <w:pStyle w:val="VorblattDokumentstatus"/>
      </w:pPr>
      <w:bookmarkStart w:id="0" w:name="ENORM_STATUS_VORBL"/>
      <w:r>
        <w:t>Projet</w:t>
      </w:r>
      <w:bookmarkEnd w:id="0"/>
      <w:r>
        <w:t xml:space="preserve"> d’ordonnance</w:t>
      </w:r>
    </w:p>
    <w:p w14:paraId="58A63A8F" w14:textId="77777777" w:rsidR="003657BF" w:rsidRPr="005C44AE" w:rsidRDefault="003657BF">
      <w:pPr>
        <w:pStyle w:val="Initiant"/>
      </w:pPr>
      <w:bookmarkStart w:id="1" w:name="ENORM_INITIANTEN"/>
      <w:r>
        <w:t>du ministère fédéral de la santé</w:t>
      </w:r>
      <w:bookmarkEnd w:id="1"/>
    </w:p>
    <w:p w14:paraId="7C216433" w14:textId="23882848" w:rsidR="003657BF" w:rsidRPr="005C44AE" w:rsidRDefault="008C17D3">
      <w:pPr>
        <w:pStyle w:val="VorblattBezeichnung"/>
      </w:pPr>
      <w:r>
        <w:t>Vingt-troisième ordonnance modifiant des annexes de la loi sur les stupéfiants</w:t>
      </w:r>
    </w:p>
    <w:p w14:paraId="280DFA15" w14:textId="77777777" w:rsidR="003657BF" w:rsidRPr="005C44AE" w:rsidRDefault="003657BF">
      <w:pPr>
        <w:pStyle w:val="VorblattTitelProblemundZiel"/>
      </w:pPr>
      <w:r>
        <w:t>A. Problème et objectif</w:t>
      </w:r>
    </w:p>
    <w:p w14:paraId="14EA389B" w14:textId="56103EA4" w:rsidR="00161CAB" w:rsidRPr="00A73AF7" w:rsidRDefault="00161CAB" w:rsidP="00722C5E">
      <w:pPr>
        <w:pStyle w:val="Text"/>
      </w:pPr>
      <w:r>
        <w:t>Le 15 mars 2023, la 66</w:t>
      </w:r>
      <w:r>
        <w:rPr>
          <w:vertAlign w:val="superscript"/>
        </w:rPr>
        <w:t>e</w:t>
      </w:r>
      <w:r>
        <w:t xml:space="preserve"> session de la Commission des stupéfiants des Nations unies (CND) a inscrit de nouvelles substances psychoactives (NSP) à l’appendice I de la Convention unique de 1961 sur les stupéfiants et à l’appendice II de la convention sur les substances psychotropes de 1971. À l’appendice I de la Convention sur les stupéfiants, les opioïdes synthétiques </w:t>
      </w:r>
      <w:proofErr w:type="spellStart"/>
      <w:r>
        <w:t>étazène</w:t>
      </w:r>
      <w:proofErr w:type="spellEnd"/>
      <w:r>
        <w:t xml:space="preserve">, </w:t>
      </w:r>
      <w:proofErr w:type="spellStart"/>
      <w:r>
        <w:t>étonitazepyne</w:t>
      </w:r>
      <w:proofErr w:type="spellEnd"/>
      <w:r>
        <w:t xml:space="preserve">, 2-méthyl-AP-237 et </w:t>
      </w:r>
      <w:proofErr w:type="spellStart"/>
      <w:r>
        <w:t>protonitazène</w:t>
      </w:r>
      <w:proofErr w:type="spellEnd"/>
      <w:r>
        <w:t xml:space="preserve"> ont été ajoutés. L’appendice II de la Convention sur les substances psychotropes comprenait le cannabinoïde de synthèse ADB-BUTINACA et les deux </w:t>
      </w:r>
      <w:proofErr w:type="spellStart"/>
      <w:r>
        <w:t>cathinones</w:t>
      </w:r>
      <w:proofErr w:type="spellEnd"/>
      <w:r>
        <w:t xml:space="preserve"> synthétiques Alpha-</w:t>
      </w:r>
      <w:proofErr w:type="spellStart"/>
      <w:r>
        <w:t>PiHP</w:t>
      </w:r>
      <w:proofErr w:type="spellEnd"/>
      <w:r>
        <w:t xml:space="preserve"> et 3-MMC. </w:t>
      </w:r>
    </w:p>
    <w:p w14:paraId="788A3CCA" w14:textId="558E533E" w:rsidR="00F45599" w:rsidRDefault="00161CAB" w:rsidP="00722C5E">
      <w:pPr>
        <w:pStyle w:val="Text"/>
      </w:pPr>
      <w:r>
        <w:t xml:space="preserve">L’objectif de cette ordonnance est d’inclure cinq de ces NPS à l’annexe II du </w:t>
      </w:r>
      <w:proofErr w:type="spellStart"/>
      <w:r>
        <w:t>BtMG</w:t>
      </w:r>
      <w:proofErr w:type="spellEnd"/>
      <w:r>
        <w:t xml:space="preserve"> sur la base de l’article 1, paragraphe 4, de la loi sur les stupéfiants (</w:t>
      </w:r>
      <w:proofErr w:type="spellStart"/>
      <w:r>
        <w:t>BtMG</w:t>
      </w:r>
      <w:proofErr w:type="spellEnd"/>
      <w:r>
        <w:t xml:space="preserve">), qui ne sont pas encore soumis à la </w:t>
      </w:r>
      <w:proofErr w:type="spellStart"/>
      <w:r>
        <w:t>BtMG</w:t>
      </w:r>
      <w:proofErr w:type="spellEnd"/>
      <w:r>
        <w:t>.</w:t>
      </w:r>
    </w:p>
    <w:p w14:paraId="5FC464EF" w14:textId="20E964FF" w:rsidR="003657BF" w:rsidRPr="00B959B8" w:rsidRDefault="007718CC" w:rsidP="00C82871">
      <w:pPr>
        <w:pStyle w:val="VorblattTitelLsung"/>
      </w:pPr>
      <w:r>
        <w:t>B. Solution</w:t>
      </w:r>
    </w:p>
    <w:p w14:paraId="0C610868" w14:textId="3DCE40C6" w:rsidR="00161CAB" w:rsidRDefault="00C0634E" w:rsidP="00176319">
      <w:r>
        <w:t>En vertu de l’article 1</w:t>
      </w:r>
      <w:r>
        <w:rPr>
          <w:vertAlign w:val="superscript"/>
        </w:rPr>
        <w:t>er</w:t>
      </w:r>
      <w:r>
        <w:t xml:space="preserve">, paragraphe 4, la </w:t>
      </w:r>
      <w:proofErr w:type="spellStart"/>
      <w:r>
        <w:t>BtMG</w:t>
      </w:r>
      <w:proofErr w:type="spellEnd"/>
      <w:r>
        <w:t>, les cinq NPS: ADB-BUTINACA, alpha-</w:t>
      </w:r>
      <w:proofErr w:type="spellStart"/>
      <w:r>
        <w:t>PiHP</w:t>
      </w:r>
      <w:proofErr w:type="spellEnd"/>
      <w:r>
        <w:t xml:space="preserve">, </w:t>
      </w:r>
      <w:proofErr w:type="spellStart"/>
      <w:r>
        <w:t>étazène</w:t>
      </w:r>
      <w:proofErr w:type="spellEnd"/>
      <w:r>
        <w:t xml:space="preserve">, </w:t>
      </w:r>
      <w:proofErr w:type="spellStart"/>
      <w:r>
        <w:t>étonitazepyne</w:t>
      </w:r>
      <w:proofErr w:type="spellEnd"/>
      <w:r>
        <w:t xml:space="preserve"> et </w:t>
      </w:r>
      <w:proofErr w:type="spellStart"/>
      <w:r>
        <w:t>protonitazène</w:t>
      </w:r>
      <w:proofErr w:type="spellEnd"/>
      <w:r>
        <w:t xml:space="preserve"> figurent à l’annexe II de la </w:t>
      </w:r>
      <w:proofErr w:type="spellStart"/>
      <w:r>
        <w:t>BtMG</w:t>
      </w:r>
      <w:proofErr w:type="spellEnd"/>
      <w:r>
        <w:t>. Par cette inclusion, la République fédérale d’Allemagne se conforme aux obligations qui lui incombent en vertu du droit international de transposer en droit national les exigences juridiques internationales modifiées.</w:t>
      </w:r>
    </w:p>
    <w:p w14:paraId="018C409F" w14:textId="7F66B441" w:rsidR="00161CAB" w:rsidRPr="005C44AE" w:rsidRDefault="00C0634E" w:rsidP="00161CAB">
      <w:pPr>
        <w:pStyle w:val="Text"/>
      </w:pPr>
      <w:r>
        <w:t>L’inclusion vise à freiner la propagation et l’abus de ces substances synthétiques nocives et à faciliter les poursuites pénales en vue de protéger la santé des individus et de la population dans son ensemble.</w:t>
      </w:r>
    </w:p>
    <w:p w14:paraId="4D6D4E17" w14:textId="77777777" w:rsidR="003657BF" w:rsidRPr="00B959B8" w:rsidRDefault="007718CC">
      <w:pPr>
        <w:pStyle w:val="VorblattTitelAlternativen"/>
      </w:pPr>
      <w:r>
        <w:t>C. Alternatives</w:t>
      </w:r>
    </w:p>
    <w:p w14:paraId="75599694" w14:textId="77777777" w:rsidR="003657BF" w:rsidRDefault="00546991" w:rsidP="008C6F8D">
      <w:pPr>
        <w:pStyle w:val="Text"/>
      </w:pPr>
      <w:r>
        <w:t>Il n’y a pas d’alternative à la modification de l’annexe II de la loi sur les stupéfiants.</w:t>
      </w:r>
    </w:p>
    <w:p w14:paraId="5E9FB327" w14:textId="77777777" w:rsidR="003657BF" w:rsidRPr="00B959B8" w:rsidRDefault="007718CC" w:rsidP="008C6F8D">
      <w:pPr>
        <w:pStyle w:val="VorblattTitelHaushaltsausgabenohneErfllungsaufwand"/>
      </w:pPr>
      <w:r>
        <w:t>D. Dépenses budgétaires hors coûts de mise en conformité</w:t>
      </w:r>
    </w:p>
    <w:p w14:paraId="78E7DB36" w14:textId="66C2B22C" w:rsidR="003743F8" w:rsidRPr="00B959B8" w:rsidRDefault="001E5752" w:rsidP="003743F8">
      <w:pPr>
        <w:pStyle w:val="Text"/>
      </w:pPr>
      <w:r>
        <w:t>Tout besoin supplémentaire en matériel ou en dotation en personnel au niveau fédéral résultant de la modification de l’annexe II de la loi sur les stupéfiants doit être compensé financièrement et en termes de postes dans la section correspondante du budget.</w:t>
      </w:r>
    </w:p>
    <w:p w14:paraId="71D1A2FF" w14:textId="77777777" w:rsidR="003657BF" w:rsidRPr="00B959B8" w:rsidRDefault="007718CC" w:rsidP="008C6F8D">
      <w:pPr>
        <w:pStyle w:val="VorblattTitelErfllungsaufwand"/>
      </w:pPr>
      <w:r>
        <w:lastRenderedPageBreak/>
        <w:t>E. Coûts de mise en conformité</w:t>
      </w:r>
    </w:p>
    <w:p w14:paraId="1266FE8F" w14:textId="77777777" w:rsidR="003657BF" w:rsidRPr="00B959B8" w:rsidRDefault="007718CC" w:rsidP="008C6F8D">
      <w:pPr>
        <w:pStyle w:val="VorblattTitelErfllungsaufwandBrgerinnenundBrger"/>
      </w:pPr>
      <w:r>
        <w:t>E.1 Coûts de conformité pour les citoyens</w:t>
      </w:r>
    </w:p>
    <w:p w14:paraId="14407969" w14:textId="77777777" w:rsidR="003657BF" w:rsidRPr="00B959B8" w:rsidRDefault="00722C5E" w:rsidP="008C6F8D">
      <w:pPr>
        <w:pStyle w:val="Text"/>
      </w:pPr>
      <w:r>
        <w:t>Les citoyens n’encourent pas de coûts supplémentaires de mise en conformité.</w:t>
      </w:r>
    </w:p>
    <w:p w14:paraId="087E733C" w14:textId="3CF10577" w:rsidR="003657BF" w:rsidRPr="00B959B8" w:rsidRDefault="003657BF" w:rsidP="00A7445E">
      <w:pPr>
        <w:pStyle w:val="VorblattTitelErfllungsaufwandWirtschaft"/>
        <w:tabs>
          <w:tab w:val="left" w:pos="6735"/>
        </w:tabs>
      </w:pPr>
      <w:r>
        <w:t>E.2 Coûts de conformité pour les entreprises</w:t>
      </w:r>
      <w:r>
        <w:tab/>
      </w:r>
    </w:p>
    <w:p w14:paraId="76178036" w14:textId="3F5D1323" w:rsidR="003657BF" w:rsidRPr="00B959B8" w:rsidRDefault="00176319" w:rsidP="008C6F8D">
      <w:pPr>
        <w:pStyle w:val="Text"/>
      </w:pPr>
      <w:r>
        <w:t>Les entreprises n’encourent pas de coûts supplémentaires de mise en conformité.</w:t>
      </w:r>
    </w:p>
    <w:p w14:paraId="7E9E9964" w14:textId="77777777" w:rsidR="003657BF" w:rsidRPr="00B959B8" w:rsidRDefault="003657BF" w:rsidP="00B0411E">
      <w:pPr>
        <w:pStyle w:val="VorblattTitelErfllungsaufwandVerwaltung"/>
        <w:tabs>
          <w:tab w:val="left" w:pos="6263"/>
        </w:tabs>
      </w:pPr>
      <w:r>
        <w:t>E.3 Coûts de mise en conformité pour les autorités</w:t>
      </w:r>
    </w:p>
    <w:p w14:paraId="256F823F" w14:textId="77777777" w:rsidR="00722C5E" w:rsidRPr="00B959B8" w:rsidRDefault="00722C5E" w:rsidP="00722C5E">
      <w:pPr>
        <w:pStyle w:val="Text"/>
      </w:pPr>
      <w:r>
        <w:t xml:space="preserve">Pour l’administration fédérale, la modification de l’annexe II de la loi sur les stupéfiants crée un petit effort supplémentaire d’application concernant les poursuites pénales par les autorités douanières et l’Office fédéral de la police criminelle, étant donné que la surveillance de la circulation des stupéfiants est étendue en raison de l’inclusion de NSP supplémentaires à l’annexe II de la loi sur les stupéfiants. </w:t>
      </w:r>
    </w:p>
    <w:p w14:paraId="41E47A89" w14:textId="77777777" w:rsidR="00722C5E" w:rsidRDefault="00722C5E" w:rsidP="00722C5E">
      <w:pPr>
        <w:pStyle w:val="Text"/>
      </w:pPr>
      <w:r>
        <w:t xml:space="preserve">Pour les autorités de surveillance et de police des États fédéraux, cela peut entraîner une augmentation des coûts d’exécution, étant donné que la surveillance de la circulation des stupéfiants augmentera en raison de l’inclusion de NSP supplémentaires à l’annexe II de la </w:t>
      </w:r>
      <w:proofErr w:type="spellStart"/>
      <w:r>
        <w:t>BtmG</w:t>
      </w:r>
      <w:proofErr w:type="spellEnd"/>
      <w:r>
        <w:t>; toutefois, ces coûts ne peuvent pas être quantifiés à l’heure actuelle.</w:t>
      </w:r>
    </w:p>
    <w:p w14:paraId="041887BC" w14:textId="77777777" w:rsidR="003657BF" w:rsidRPr="00B959B8" w:rsidRDefault="003657BF" w:rsidP="008C6F8D">
      <w:pPr>
        <w:pStyle w:val="VorblattTitelWeitereKosten"/>
      </w:pPr>
      <w:r>
        <w:t>F. Autres coûts</w:t>
      </w:r>
    </w:p>
    <w:p w14:paraId="3C1BF63D" w14:textId="77777777" w:rsidR="003657BF" w:rsidRPr="00B959B8" w:rsidRDefault="00722C5E" w:rsidP="003657BF">
      <w:pPr>
        <w:pStyle w:val="Text"/>
      </w:pPr>
      <w:r>
        <w:t>Aucune.</w:t>
      </w:r>
    </w:p>
    <w:p w14:paraId="17C24BD1" w14:textId="77777777" w:rsidR="003657BF" w:rsidRPr="009E5B8D" w:rsidRDefault="003657BF" w:rsidP="003657BF">
      <w:pPr>
        <w:rPr>
          <w:highlight w:val="yellow"/>
        </w:rPr>
        <w:sectPr w:rsidR="003657BF" w:rsidRPr="009E5B8D" w:rsidSect="00355B32">
          <w:headerReference w:type="default" r:id="rId9"/>
          <w:headerReference w:type="first" r:id="rId10"/>
          <w:pgSz w:w="11907" w:h="16839"/>
          <w:pgMar w:top="1134" w:right="1417" w:bottom="1134" w:left="1701" w:header="709" w:footer="709" w:gutter="0"/>
          <w:pgNumType w:start="1"/>
          <w:cols w:space="708"/>
          <w:titlePg/>
          <w:docGrid w:linePitch="360"/>
        </w:sectPr>
      </w:pPr>
    </w:p>
    <w:p w14:paraId="13E3599C" w14:textId="77777777" w:rsidR="003657BF" w:rsidRPr="00B959B8" w:rsidRDefault="003657BF" w:rsidP="008C6F8D">
      <w:pPr>
        <w:pStyle w:val="Dokumentstatus"/>
      </w:pPr>
      <w:bookmarkStart w:id="2" w:name="ENORM_STATUS_REGL"/>
      <w:r>
        <w:lastRenderedPageBreak/>
        <w:t>Projet</w:t>
      </w:r>
      <w:bookmarkEnd w:id="2"/>
      <w:r>
        <w:t xml:space="preserve"> d’ordonnance du ministère fédéral de la santé</w:t>
      </w:r>
    </w:p>
    <w:p w14:paraId="13F1707E" w14:textId="440E3C4B" w:rsidR="003657BF" w:rsidRPr="00B959B8" w:rsidRDefault="008C17D3" w:rsidP="001760F4">
      <w:pPr>
        <w:pStyle w:val="Bezeichnungnderungsdokument"/>
        <w:ind w:left="-810"/>
      </w:pPr>
      <w:r>
        <w:t>Vingt-troisième ordonnance modifiant des annexes de la loi sur les stupéfiants</w:t>
      </w:r>
      <w:r>
        <w:rPr>
          <w:rStyle w:val="FootnoteReference"/>
        </w:rPr>
        <w:footnoteReference w:customMarkFollows="1" w:id="1"/>
        <w:t>*</w:t>
      </w:r>
    </w:p>
    <w:p w14:paraId="30755BCE" w14:textId="77777777" w:rsidR="003657BF" w:rsidRPr="00B959B8" w:rsidRDefault="003657BF" w:rsidP="008C6F8D">
      <w:pPr>
        <w:pStyle w:val="Ausfertigungsdatumnderungsdokument"/>
      </w:pPr>
      <w:r>
        <w:t>Daté du ...</w:t>
      </w:r>
    </w:p>
    <w:p w14:paraId="214FB2FF" w14:textId="040FB57D" w:rsidR="003657BF" w:rsidRPr="00155F74" w:rsidRDefault="00763B8A" w:rsidP="00763B8A">
      <w:pPr>
        <w:pStyle w:val="EingangsformelStandardnderungsdokument"/>
      </w:pPr>
      <w:r>
        <w:t>Sur la base de l’article 1</w:t>
      </w:r>
      <w:r>
        <w:rPr>
          <w:vertAlign w:val="superscript"/>
        </w:rPr>
        <w:t>er</w:t>
      </w:r>
      <w:r>
        <w:t>, paragraphe 4, de la loi sur les stupéfiants, telle que modifiée par l’article 8 de la loi du 9 août 2019 (Journal officiel de la République fédérale d’Allemagne (BGBl). I. p. 1202), et sur la base de l’article 12, paragraphe 4, de la loi sur les stupéfiants, telle que reformulée par l’article 6, paragraphe 1, de la loi du 22 décembre 2010 (BGBl. I. p. 2262), le ministère fédéral de la santé décrète ce qui suit:</w:t>
      </w:r>
    </w:p>
    <w:p w14:paraId="0992AD38" w14:textId="6E88F84B" w:rsidR="007E7181" w:rsidRPr="00155F74" w:rsidRDefault="00A7445E" w:rsidP="00A7445E">
      <w:pPr>
        <w:pStyle w:val="ArtikelBezeichner"/>
        <w:numPr>
          <w:ilvl w:val="0"/>
          <w:numId w:val="0"/>
        </w:numPr>
      </w:pPr>
      <w:r>
        <w:t>Article premier</w:t>
      </w:r>
    </w:p>
    <w:p w14:paraId="5B0BE2E2" w14:textId="77777777" w:rsidR="00EF7D44" w:rsidRPr="00EF7D44" w:rsidRDefault="00EF7D44" w:rsidP="001C1676">
      <w:pPr>
        <w:pStyle w:val="Artikelberschrift"/>
      </w:pPr>
      <w:r>
        <w:t>Modification de l’annexe II de la loi sur les stupéfiants</w:t>
      </w:r>
    </w:p>
    <w:p w14:paraId="720BD203" w14:textId="7E507783" w:rsidR="007E7181" w:rsidRDefault="007E7181" w:rsidP="007E7181">
      <w:pPr>
        <w:pStyle w:val="JuristischerAbsatznichtnummeriert"/>
      </w:pPr>
      <w:r>
        <w:t>À l’annexe II de la loi sur les stupéfiants, telle que modifiée par l’avis du 1</w:t>
      </w:r>
      <w:r>
        <w:rPr>
          <w:vertAlign w:val="superscript"/>
        </w:rPr>
        <w:t>er</w:t>
      </w:r>
      <w:r>
        <w:t> mars 1994 (BGBl. I p. 358), qui a été modifiée en dernier lieu par l’article 1</w:t>
      </w:r>
      <w:r>
        <w:rPr>
          <w:vertAlign w:val="superscript"/>
        </w:rPr>
        <w:t>er</w:t>
      </w:r>
      <w:r>
        <w:t xml:space="preserve"> de l’ordonnance du 16 décembre 2022 (</w:t>
      </w:r>
      <w:proofErr w:type="spellStart"/>
      <w:r>
        <w:t>BAnz</w:t>
      </w:r>
      <w:proofErr w:type="spellEnd"/>
      <w:r>
        <w:t xml:space="preserve"> AT 20.12.2022 V1), les points suivants sont insérés par ordre alphabétique dans l’ordre existant:</w:t>
      </w:r>
    </w:p>
    <w:tbl>
      <w:tblPr>
        <w:tblW w:w="8897" w:type="dxa"/>
        <w:tblLayout w:type="fixed"/>
        <w:tblLook w:val="01E0" w:firstRow="1" w:lastRow="1" w:firstColumn="1" w:lastColumn="1" w:noHBand="0" w:noVBand="0"/>
      </w:tblPr>
      <w:tblGrid>
        <w:gridCol w:w="1708"/>
        <w:gridCol w:w="3304"/>
        <w:gridCol w:w="15"/>
        <w:gridCol w:w="3870"/>
      </w:tblGrid>
      <w:tr w:rsidR="007E7181" w:rsidRPr="0020552A" w14:paraId="40F9ECB6" w14:textId="77777777" w:rsidTr="00B82E62">
        <w:trPr>
          <w:trHeight w:val="255"/>
        </w:trPr>
        <w:tc>
          <w:tcPr>
            <w:tcW w:w="1708" w:type="dxa"/>
            <w:tcBorders>
              <w:top w:val="single" w:sz="4" w:space="0" w:color="auto"/>
              <w:left w:val="nil"/>
              <w:bottom w:val="single" w:sz="4" w:space="0" w:color="auto"/>
              <w:right w:val="nil"/>
            </w:tcBorders>
          </w:tcPr>
          <w:p w14:paraId="4A84BC18" w14:textId="77777777" w:rsidR="007E7181" w:rsidRPr="0020552A" w:rsidRDefault="007E7181" w:rsidP="00B82E62">
            <w:pPr>
              <w:keepNext/>
              <w:widowControl w:val="0"/>
              <w:tabs>
                <w:tab w:val="left" w:pos="426"/>
                <w:tab w:val="left" w:pos="851"/>
                <w:tab w:val="left" w:pos="1276"/>
                <w:tab w:val="left" w:pos="1701"/>
                <w:tab w:val="left" w:pos="2127"/>
                <w:tab w:val="left" w:pos="2552"/>
                <w:tab w:val="left" w:pos="2977"/>
              </w:tabs>
              <w:snapToGrid w:val="0"/>
              <w:spacing w:line="360" w:lineRule="atLeast"/>
              <w:jc w:val="center"/>
              <w:rPr>
                <w:b/>
              </w:rPr>
            </w:pPr>
            <w:r>
              <w:rPr>
                <w:b/>
              </w:rPr>
              <w:lastRenderedPageBreak/>
              <w:t>DCI</w:t>
            </w:r>
          </w:p>
        </w:tc>
        <w:tc>
          <w:tcPr>
            <w:tcW w:w="3304" w:type="dxa"/>
            <w:tcBorders>
              <w:top w:val="single" w:sz="4" w:space="0" w:color="auto"/>
              <w:left w:val="nil"/>
              <w:bottom w:val="single" w:sz="4" w:space="0" w:color="auto"/>
              <w:right w:val="nil"/>
            </w:tcBorders>
          </w:tcPr>
          <w:p w14:paraId="6130BA0F" w14:textId="77777777" w:rsidR="007E7181" w:rsidRPr="0020552A" w:rsidRDefault="007E7181" w:rsidP="00B82E62">
            <w:pPr>
              <w:keepNext/>
              <w:widowControl w:val="0"/>
              <w:tabs>
                <w:tab w:val="left" w:pos="426"/>
                <w:tab w:val="left" w:pos="851"/>
                <w:tab w:val="left" w:pos="1276"/>
                <w:tab w:val="left" w:pos="1701"/>
                <w:tab w:val="left" w:pos="2127"/>
                <w:tab w:val="left" w:pos="2552"/>
                <w:tab w:val="left" w:pos="2977"/>
              </w:tabs>
              <w:snapToGrid w:val="0"/>
              <w:jc w:val="center"/>
              <w:rPr>
                <w:b/>
              </w:rPr>
            </w:pPr>
            <w:r>
              <w:rPr>
                <w:b/>
              </w:rPr>
              <w:t>autres dénominations communes ou</w:t>
            </w:r>
            <w:r>
              <w:rPr>
                <w:b/>
              </w:rPr>
              <w:br/>
              <w:t>usuelles</w:t>
            </w:r>
          </w:p>
        </w:tc>
        <w:tc>
          <w:tcPr>
            <w:tcW w:w="3885" w:type="dxa"/>
            <w:gridSpan w:val="2"/>
            <w:tcBorders>
              <w:top w:val="single" w:sz="4" w:space="0" w:color="auto"/>
              <w:left w:val="nil"/>
              <w:bottom w:val="single" w:sz="4" w:space="0" w:color="auto"/>
              <w:right w:val="nil"/>
            </w:tcBorders>
          </w:tcPr>
          <w:p w14:paraId="255ECD62" w14:textId="77777777" w:rsidR="007E7181" w:rsidRPr="0020552A" w:rsidRDefault="007E7181" w:rsidP="00B82E62">
            <w:pPr>
              <w:keepNext/>
              <w:widowControl w:val="0"/>
              <w:tabs>
                <w:tab w:val="left" w:pos="426"/>
                <w:tab w:val="left" w:pos="851"/>
                <w:tab w:val="left" w:pos="1276"/>
                <w:tab w:val="left" w:pos="1701"/>
                <w:tab w:val="left" w:pos="2127"/>
                <w:tab w:val="left" w:pos="2552"/>
                <w:tab w:val="left" w:pos="2977"/>
              </w:tabs>
              <w:snapToGrid w:val="0"/>
              <w:jc w:val="center"/>
              <w:rPr>
                <w:b/>
              </w:rPr>
            </w:pPr>
            <w:r>
              <w:rPr>
                <w:b/>
              </w:rPr>
              <w:t>dénominations chimiques</w:t>
            </w:r>
            <w:r>
              <w:rPr>
                <w:b/>
              </w:rPr>
              <w:br/>
              <w:t>(UICPA)</w:t>
            </w:r>
          </w:p>
        </w:tc>
      </w:tr>
      <w:tr w:rsidR="007E7181" w:rsidRPr="00A7445E" w14:paraId="5FD7CAF1" w14:textId="77777777" w:rsidTr="00B82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708" w:type="dxa"/>
            <w:tcBorders>
              <w:top w:val="nil"/>
              <w:left w:val="nil"/>
              <w:bottom w:val="nil"/>
              <w:right w:val="nil"/>
            </w:tcBorders>
            <w:shd w:val="clear" w:color="auto" w:fill="auto"/>
          </w:tcPr>
          <w:p w14:paraId="4EFAE03A" w14:textId="77777777" w:rsidR="007E7181" w:rsidRPr="007B1386" w:rsidRDefault="007E7181" w:rsidP="00B82E62">
            <w:pPr>
              <w:keepNext/>
              <w:widowControl w:val="0"/>
              <w:tabs>
                <w:tab w:val="left" w:pos="426"/>
                <w:tab w:val="left" w:pos="851"/>
                <w:tab w:val="left" w:pos="1276"/>
                <w:tab w:val="left" w:pos="1701"/>
                <w:tab w:val="left" w:pos="2127"/>
                <w:tab w:val="left" w:pos="2552"/>
                <w:tab w:val="left" w:pos="2977"/>
              </w:tabs>
              <w:snapToGrid w:val="0"/>
              <w:spacing w:line="360" w:lineRule="atLeast"/>
              <w:rPr>
                <w:rFonts w:eastAsia="Times New Roman"/>
                <w:color w:val="800000"/>
                <w:szCs w:val="24"/>
              </w:rPr>
            </w:pPr>
            <w:r>
              <w:rPr>
                <w:color w:val="800000"/>
              </w:rPr>
              <w:t xml:space="preserve"> «—</w:t>
            </w:r>
          </w:p>
        </w:tc>
        <w:tc>
          <w:tcPr>
            <w:tcW w:w="3319" w:type="dxa"/>
            <w:gridSpan w:val="2"/>
            <w:tcBorders>
              <w:top w:val="nil"/>
              <w:left w:val="nil"/>
              <w:bottom w:val="nil"/>
              <w:right w:val="nil"/>
            </w:tcBorders>
            <w:shd w:val="clear" w:color="auto" w:fill="auto"/>
          </w:tcPr>
          <w:p w14:paraId="0978F04F" w14:textId="17812333" w:rsidR="007E7181" w:rsidRPr="006C58B7" w:rsidRDefault="006C58B7" w:rsidP="00B82E62">
            <w:pPr>
              <w:keepNext/>
              <w:widowControl w:val="0"/>
              <w:tabs>
                <w:tab w:val="left" w:pos="426"/>
                <w:tab w:val="left" w:pos="851"/>
                <w:tab w:val="left" w:pos="1276"/>
                <w:tab w:val="left" w:pos="1701"/>
                <w:tab w:val="left" w:pos="2127"/>
                <w:tab w:val="left" w:pos="2552"/>
                <w:tab w:val="left" w:pos="2977"/>
              </w:tabs>
              <w:suppressAutoHyphens/>
              <w:snapToGrid w:val="0"/>
              <w:jc w:val="left"/>
              <w:rPr>
                <w:color w:val="800000"/>
              </w:rPr>
            </w:pPr>
            <w:r>
              <w:rPr>
                <w:color w:val="800000"/>
              </w:rPr>
              <w:t>ADB-BUTINACA (ADB-BINACA)</w:t>
            </w:r>
          </w:p>
        </w:tc>
        <w:tc>
          <w:tcPr>
            <w:tcW w:w="3870" w:type="dxa"/>
            <w:tcBorders>
              <w:top w:val="nil"/>
              <w:left w:val="nil"/>
              <w:bottom w:val="nil"/>
              <w:right w:val="nil"/>
            </w:tcBorders>
            <w:shd w:val="clear" w:color="auto" w:fill="auto"/>
          </w:tcPr>
          <w:p w14:paraId="7FA7B500" w14:textId="2BD40562" w:rsidR="007E7181" w:rsidRPr="006C58B7" w:rsidRDefault="006C58B7" w:rsidP="00B82E62">
            <w:pPr>
              <w:keepNext/>
              <w:suppressAutoHyphens/>
              <w:snapToGrid w:val="0"/>
              <w:jc w:val="left"/>
              <w:rPr>
                <w:color w:val="800000"/>
              </w:rPr>
            </w:pPr>
            <w:r>
              <w:rPr>
                <w:i/>
                <w:color w:val="800000"/>
              </w:rPr>
              <w:t>N</w:t>
            </w:r>
            <w:r>
              <w:rPr>
                <w:color w:val="800000"/>
              </w:rPr>
              <w:t>-(1-amino-3,3-diméthyl-1-oxobutane-2-yl)-1-butyl-1</w:t>
            </w:r>
            <w:r>
              <w:rPr>
                <w:i/>
                <w:color w:val="800000"/>
              </w:rPr>
              <w:t>H</w:t>
            </w:r>
            <w:r>
              <w:rPr>
                <w:color w:val="800000"/>
              </w:rPr>
              <w:t>-indazole-3-carboxamide</w:t>
            </w:r>
          </w:p>
        </w:tc>
      </w:tr>
      <w:tr w:rsidR="007E7181" w:rsidRPr="00A7445E" w14:paraId="2FAEA453" w14:textId="77777777" w:rsidTr="00B82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708" w:type="dxa"/>
            <w:tcBorders>
              <w:top w:val="nil"/>
              <w:left w:val="nil"/>
              <w:bottom w:val="nil"/>
              <w:right w:val="nil"/>
            </w:tcBorders>
            <w:shd w:val="clear" w:color="auto" w:fill="auto"/>
          </w:tcPr>
          <w:p w14:paraId="749168D2" w14:textId="77777777" w:rsidR="007E7181" w:rsidRPr="00802B03" w:rsidRDefault="007E7181" w:rsidP="00B82E62">
            <w:pPr>
              <w:keepNext/>
              <w:widowControl w:val="0"/>
              <w:tabs>
                <w:tab w:val="left" w:pos="426"/>
                <w:tab w:val="left" w:pos="851"/>
                <w:tab w:val="left" w:pos="1276"/>
                <w:tab w:val="left" w:pos="1701"/>
                <w:tab w:val="left" w:pos="2127"/>
                <w:tab w:val="left" w:pos="2552"/>
                <w:tab w:val="left" w:pos="2977"/>
              </w:tabs>
              <w:snapToGrid w:val="0"/>
              <w:spacing w:line="360" w:lineRule="atLeast"/>
              <w:rPr>
                <w:rFonts w:eastAsia="Times New Roman"/>
                <w:color w:val="800000"/>
                <w:szCs w:val="24"/>
              </w:rPr>
            </w:pPr>
            <w:r>
              <w:rPr>
                <w:color w:val="800000"/>
              </w:rPr>
              <w:t>—</w:t>
            </w:r>
          </w:p>
        </w:tc>
        <w:tc>
          <w:tcPr>
            <w:tcW w:w="3319" w:type="dxa"/>
            <w:gridSpan w:val="2"/>
            <w:tcBorders>
              <w:top w:val="nil"/>
              <w:left w:val="nil"/>
              <w:bottom w:val="nil"/>
              <w:right w:val="nil"/>
            </w:tcBorders>
            <w:shd w:val="clear" w:color="auto" w:fill="auto"/>
          </w:tcPr>
          <w:p w14:paraId="096F485D" w14:textId="1D1F18D7" w:rsidR="007E7181" w:rsidRPr="006C58B7" w:rsidRDefault="006C58B7" w:rsidP="00B82E62">
            <w:pPr>
              <w:keepNext/>
              <w:widowControl w:val="0"/>
              <w:tabs>
                <w:tab w:val="left" w:pos="426"/>
                <w:tab w:val="left" w:pos="851"/>
                <w:tab w:val="left" w:pos="1276"/>
                <w:tab w:val="left" w:pos="1701"/>
                <w:tab w:val="left" w:pos="2127"/>
                <w:tab w:val="left" w:pos="2552"/>
                <w:tab w:val="left" w:pos="2977"/>
              </w:tabs>
              <w:suppressAutoHyphens/>
              <w:snapToGrid w:val="0"/>
              <w:jc w:val="left"/>
              <w:rPr>
                <w:rFonts w:eastAsia="Times New Roman"/>
                <w:color w:val="800000"/>
                <w:szCs w:val="24"/>
              </w:rPr>
            </w:pPr>
            <w:r>
              <w:rPr>
                <w:color w:val="800000"/>
              </w:rPr>
              <w:t>α-</w:t>
            </w:r>
            <w:proofErr w:type="spellStart"/>
            <w:r>
              <w:rPr>
                <w:color w:val="800000"/>
              </w:rPr>
              <w:t>pyrrolidinoisohexanophénone</w:t>
            </w:r>
            <w:proofErr w:type="spellEnd"/>
            <w:r>
              <w:rPr>
                <w:color w:val="800000"/>
              </w:rPr>
              <w:t xml:space="preserve"> (Alpha-</w:t>
            </w:r>
            <w:proofErr w:type="spellStart"/>
            <w:r>
              <w:rPr>
                <w:color w:val="800000"/>
              </w:rPr>
              <w:t>PiHP</w:t>
            </w:r>
            <w:proofErr w:type="spellEnd"/>
            <w:r>
              <w:rPr>
                <w:color w:val="800000"/>
              </w:rPr>
              <w:t>, α-</w:t>
            </w:r>
            <w:proofErr w:type="spellStart"/>
            <w:r>
              <w:rPr>
                <w:color w:val="800000"/>
              </w:rPr>
              <w:t>PiHP</w:t>
            </w:r>
            <w:proofErr w:type="spellEnd"/>
            <w:r>
              <w:rPr>
                <w:color w:val="800000"/>
              </w:rPr>
              <w:t>, 4-méthyl-α-PVP)</w:t>
            </w:r>
          </w:p>
        </w:tc>
        <w:tc>
          <w:tcPr>
            <w:tcW w:w="3870" w:type="dxa"/>
            <w:tcBorders>
              <w:top w:val="nil"/>
              <w:left w:val="nil"/>
              <w:bottom w:val="nil"/>
              <w:right w:val="nil"/>
            </w:tcBorders>
            <w:shd w:val="clear" w:color="auto" w:fill="auto"/>
          </w:tcPr>
          <w:p w14:paraId="0D37C5DF" w14:textId="4D9C1735" w:rsidR="007E7181" w:rsidRPr="006C58B7" w:rsidRDefault="006C58B7" w:rsidP="00B82E62">
            <w:pPr>
              <w:keepNext/>
              <w:suppressAutoHyphens/>
              <w:snapToGrid w:val="0"/>
              <w:jc w:val="left"/>
              <w:rPr>
                <w:color w:val="800000"/>
              </w:rPr>
            </w:pPr>
            <w:r>
              <w:rPr>
                <w:color w:val="800000"/>
              </w:rPr>
              <w:t>4-méthyl-1-phényl-2-(pyrrolidine-1-yl)pentan-1-one</w:t>
            </w:r>
          </w:p>
        </w:tc>
      </w:tr>
      <w:tr w:rsidR="007E7181" w:rsidRPr="00F927F4" w14:paraId="610F84D7" w14:textId="77777777" w:rsidTr="00B82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708" w:type="dxa"/>
            <w:tcBorders>
              <w:top w:val="nil"/>
              <w:left w:val="nil"/>
              <w:bottom w:val="nil"/>
              <w:right w:val="nil"/>
            </w:tcBorders>
            <w:shd w:val="clear" w:color="auto" w:fill="auto"/>
          </w:tcPr>
          <w:p w14:paraId="59E2D35A" w14:textId="77777777" w:rsidR="007E7181" w:rsidRPr="003614B2" w:rsidRDefault="007E7181" w:rsidP="00B82E62">
            <w:pPr>
              <w:keepNext/>
              <w:widowControl w:val="0"/>
              <w:tabs>
                <w:tab w:val="left" w:pos="426"/>
                <w:tab w:val="left" w:pos="851"/>
                <w:tab w:val="left" w:pos="1276"/>
                <w:tab w:val="left" w:pos="1701"/>
                <w:tab w:val="left" w:pos="2127"/>
                <w:tab w:val="left" w:pos="2552"/>
                <w:tab w:val="left" w:pos="2977"/>
              </w:tabs>
              <w:snapToGrid w:val="0"/>
              <w:spacing w:line="360" w:lineRule="atLeast"/>
              <w:rPr>
                <w:rFonts w:eastAsia="Times New Roman"/>
                <w:color w:val="800000"/>
                <w:szCs w:val="24"/>
              </w:rPr>
            </w:pPr>
            <w:r>
              <w:rPr>
                <w:color w:val="800000"/>
              </w:rPr>
              <w:t>—</w:t>
            </w:r>
          </w:p>
        </w:tc>
        <w:tc>
          <w:tcPr>
            <w:tcW w:w="3319" w:type="dxa"/>
            <w:gridSpan w:val="2"/>
            <w:tcBorders>
              <w:top w:val="nil"/>
              <w:left w:val="nil"/>
              <w:bottom w:val="nil"/>
              <w:right w:val="nil"/>
            </w:tcBorders>
            <w:shd w:val="clear" w:color="auto" w:fill="auto"/>
          </w:tcPr>
          <w:p w14:paraId="6DD2FD4F" w14:textId="65974A88" w:rsidR="007E7181" w:rsidRPr="006C58B7" w:rsidDel="0036463B" w:rsidRDefault="006C58B7" w:rsidP="00B82E62">
            <w:pPr>
              <w:keepNext/>
              <w:widowControl w:val="0"/>
              <w:tabs>
                <w:tab w:val="left" w:pos="426"/>
                <w:tab w:val="left" w:pos="851"/>
                <w:tab w:val="left" w:pos="1276"/>
                <w:tab w:val="left" w:pos="1701"/>
                <w:tab w:val="left" w:pos="2127"/>
                <w:tab w:val="left" w:pos="2552"/>
                <w:tab w:val="left" w:pos="2977"/>
              </w:tabs>
              <w:suppressAutoHyphens/>
              <w:snapToGrid w:val="0"/>
              <w:jc w:val="left"/>
              <w:rPr>
                <w:rFonts w:eastAsia="Times New Roman"/>
                <w:color w:val="800000"/>
                <w:szCs w:val="24"/>
              </w:rPr>
            </w:pPr>
            <w:proofErr w:type="spellStart"/>
            <w:r>
              <w:rPr>
                <w:color w:val="800000"/>
              </w:rPr>
              <w:t>Etazène</w:t>
            </w:r>
            <w:proofErr w:type="spellEnd"/>
            <w:r>
              <w:rPr>
                <w:color w:val="800000"/>
              </w:rPr>
              <w:t xml:space="preserve"> (</w:t>
            </w:r>
            <w:proofErr w:type="spellStart"/>
            <w:r>
              <w:rPr>
                <w:color w:val="800000"/>
              </w:rPr>
              <w:t>étodésnitazène</w:t>
            </w:r>
            <w:proofErr w:type="spellEnd"/>
            <w:r>
              <w:rPr>
                <w:color w:val="800000"/>
              </w:rPr>
              <w:t>)</w:t>
            </w:r>
          </w:p>
        </w:tc>
        <w:tc>
          <w:tcPr>
            <w:tcW w:w="3870" w:type="dxa"/>
            <w:tcBorders>
              <w:top w:val="nil"/>
              <w:left w:val="nil"/>
              <w:bottom w:val="nil"/>
              <w:right w:val="nil"/>
            </w:tcBorders>
            <w:shd w:val="clear" w:color="auto" w:fill="auto"/>
          </w:tcPr>
          <w:p w14:paraId="524CA2D4" w14:textId="2E606679" w:rsidR="007E7181" w:rsidRPr="006C58B7" w:rsidDel="0036463B" w:rsidRDefault="006C58B7" w:rsidP="00B82E62">
            <w:pPr>
              <w:keepNext/>
              <w:suppressAutoHyphens/>
              <w:snapToGrid w:val="0"/>
              <w:jc w:val="left"/>
              <w:rPr>
                <w:color w:val="800000"/>
              </w:rPr>
            </w:pPr>
            <w:r>
              <w:rPr>
                <w:i/>
                <w:color w:val="800000"/>
              </w:rPr>
              <w:t>N,N</w:t>
            </w:r>
            <w:r>
              <w:rPr>
                <w:color w:val="800000"/>
              </w:rPr>
              <w:t>-diéthyl-2-{2-[(4-éthoxyphényl)méthyl]-1</w:t>
            </w:r>
            <w:r>
              <w:rPr>
                <w:i/>
                <w:color w:val="800000"/>
              </w:rPr>
              <w:t>H</w:t>
            </w:r>
            <w:r>
              <w:rPr>
                <w:color w:val="800000"/>
              </w:rPr>
              <w:t>-benzimidazole-1-yl}éthan-1-amine</w:t>
            </w:r>
          </w:p>
        </w:tc>
      </w:tr>
      <w:tr w:rsidR="007E7181" w:rsidRPr="00A7445E" w14:paraId="4CFCB188" w14:textId="77777777" w:rsidTr="00B82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708" w:type="dxa"/>
            <w:tcBorders>
              <w:top w:val="nil"/>
              <w:left w:val="nil"/>
              <w:bottom w:val="nil"/>
              <w:right w:val="nil"/>
            </w:tcBorders>
            <w:shd w:val="clear" w:color="auto" w:fill="auto"/>
          </w:tcPr>
          <w:p w14:paraId="2B68268A" w14:textId="77777777" w:rsidR="007E7181" w:rsidRPr="00802B03" w:rsidRDefault="007E7181" w:rsidP="00B82E62">
            <w:pPr>
              <w:keepNext/>
              <w:widowControl w:val="0"/>
              <w:tabs>
                <w:tab w:val="left" w:pos="426"/>
                <w:tab w:val="left" w:pos="851"/>
                <w:tab w:val="left" w:pos="1276"/>
                <w:tab w:val="left" w:pos="1701"/>
                <w:tab w:val="left" w:pos="2127"/>
                <w:tab w:val="left" w:pos="2552"/>
                <w:tab w:val="left" w:pos="2977"/>
              </w:tabs>
              <w:snapToGrid w:val="0"/>
              <w:spacing w:line="360" w:lineRule="atLeast"/>
              <w:rPr>
                <w:rFonts w:eastAsia="Times New Roman"/>
                <w:color w:val="800000"/>
                <w:szCs w:val="24"/>
              </w:rPr>
            </w:pPr>
            <w:r>
              <w:rPr>
                <w:color w:val="800000"/>
              </w:rPr>
              <w:t>—</w:t>
            </w:r>
          </w:p>
        </w:tc>
        <w:tc>
          <w:tcPr>
            <w:tcW w:w="3319" w:type="dxa"/>
            <w:gridSpan w:val="2"/>
            <w:tcBorders>
              <w:top w:val="nil"/>
              <w:left w:val="nil"/>
              <w:bottom w:val="nil"/>
              <w:right w:val="nil"/>
            </w:tcBorders>
            <w:shd w:val="clear" w:color="auto" w:fill="auto"/>
          </w:tcPr>
          <w:p w14:paraId="559B4E54" w14:textId="1B5CBFA6" w:rsidR="007E7181" w:rsidRPr="006C58B7" w:rsidDel="0036463B" w:rsidRDefault="006C58B7" w:rsidP="00B82E62">
            <w:pPr>
              <w:keepNext/>
              <w:widowControl w:val="0"/>
              <w:tabs>
                <w:tab w:val="left" w:pos="426"/>
                <w:tab w:val="left" w:pos="851"/>
                <w:tab w:val="left" w:pos="1276"/>
                <w:tab w:val="left" w:pos="1701"/>
                <w:tab w:val="left" w:pos="2127"/>
                <w:tab w:val="left" w:pos="2552"/>
                <w:tab w:val="left" w:pos="2977"/>
              </w:tabs>
              <w:suppressAutoHyphens/>
              <w:snapToGrid w:val="0"/>
              <w:jc w:val="left"/>
              <w:rPr>
                <w:color w:val="800000"/>
              </w:rPr>
            </w:pPr>
            <w:proofErr w:type="spellStart"/>
            <w:r>
              <w:rPr>
                <w:color w:val="800000"/>
              </w:rPr>
              <w:t>Étonitazépyne</w:t>
            </w:r>
            <w:proofErr w:type="spellEnd"/>
            <w:r>
              <w:rPr>
                <w:color w:val="800000"/>
              </w:rPr>
              <w:t xml:space="preserve"> (</w:t>
            </w:r>
            <w:r>
              <w:rPr>
                <w:i/>
                <w:color w:val="800000"/>
              </w:rPr>
              <w:t>N</w:t>
            </w:r>
            <w:r>
              <w:rPr>
                <w:color w:val="800000"/>
              </w:rPr>
              <w:t>-</w:t>
            </w:r>
            <w:proofErr w:type="spellStart"/>
            <w:r>
              <w:rPr>
                <w:color w:val="800000"/>
              </w:rPr>
              <w:t>pyrrolidino</w:t>
            </w:r>
            <w:proofErr w:type="spellEnd"/>
            <w:r>
              <w:rPr>
                <w:color w:val="800000"/>
              </w:rPr>
              <w:t xml:space="preserve"> </w:t>
            </w:r>
            <w:proofErr w:type="spellStart"/>
            <w:r>
              <w:rPr>
                <w:color w:val="800000"/>
              </w:rPr>
              <w:t>étonitazène</w:t>
            </w:r>
            <w:proofErr w:type="spellEnd"/>
            <w:r>
              <w:rPr>
                <w:color w:val="800000"/>
              </w:rPr>
              <w:t>)</w:t>
            </w:r>
          </w:p>
        </w:tc>
        <w:tc>
          <w:tcPr>
            <w:tcW w:w="3870" w:type="dxa"/>
            <w:tcBorders>
              <w:top w:val="nil"/>
              <w:left w:val="nil"/>
              <w:bottom w:val="nil"/>
              <w:right w:val="nil"/>
            </w:tcBorders>
            <w:shd w:val="clear" w:color="auto" w:fill="auto"/>
          </w:tcPr>
          <w:p w14:paraId="4218D052" w14:textId="4158DD91" w:rsidR="007E7181" w:rsidRPr="006C58B7" w:rsidDel="0036463B" w:rsidRDefault="006C58B7" w:rsidP="00B82E62">
            <w:pPr>
              <w:keepNext/>
              <w:suppressAutoHyphens/>
              <w:snapToGrid w:val="0"/>
              <w:jc w:val="left"/>
              <w:rPr>
                <w:color w:val="800000"/>
              </w:rPr>
            </w:pPr>
            <w:r>
              <w:rPr>
                <w:color w:val="800000"/>
              </w:rPr>
              <w:t>2-[(4-éthoxyphényl)méthyl]-5-nitro-1-(2-pyrrolidine-1-yléthyl)-1</w:t>
            </w:r>
            <w:r>
              <w:rPr>
                <w:i/>
                <w:color w:val="800000"/>
              </w:rPr>
              <w:t>H</w:t>
            </w:r>
            <w:r>
              <w:rPr>
                <w:color w:val="800000"/>
              </w:rPr>
              <w:t>-benzimidazole</w:t>
            </w:r>
          </w:p>
        </w:tc>
      </w:tr>
      <w:tr w:rsidR="00F927F4" w:rsidRPr="00F927F4" w14:paraId="4B559DA0" w14:textId="77777777" w:rsidTr="00B82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708" w:type="dxa"/>
            <w:tcBorders>
              <w:top w:val="nil"/>
              <w:left w:val="nil"/>
              <w:bottom w:val="nil"/>
              <w:right w:val="nil"/>
            </w:tcBorders>
            <w:shd w:val="clear" w:color="auto" w:fill="auto"/>
          </w:tcPr>
          <w:p w14:paraId="28F6AC2D" w14:textId="74A3ECEC" w:rsidR="00F927F4" w:rsidRPr="004F41DD" w:rsidRDefault="00F927F4" w:rsidP="00B82E62">
            <w:pPr>
              <w:keepNext/>
              <w:widowControl w:val="0"/>
              <w:tabs>
                <w:tab w:val="left" w:pos="426"/>
                <w:tab w:val="left" w:pos="851"/>
                <w:tab w:val="left" w:pos="1276"/>
                <w:tab w:val="left" w:pos="1701"/>
                <w:tab w:val="left" w:pos="2127"/>
                <w:tab w:val="left" w:pos="2552"/>
                <w:tab w:val="left" w:pos="2977"/>
              </w:tabs>
              <w:snapToGrid w:val="0"/>
              <w:spacing w:line="360" w:lineRule="atLeast"/>
              <w:rPr>
                <w:rFonts w:eastAsia="Times New Roman"/>
                <w:color w:val="800000"/>
                <w:szCs w:val="24"/>
              </w:rPr>
            </w:pPr>
            <w:r>
              <w:rPr>
                <w:color w:val="800000"/>
              </w:rPr>
              <w:t>—</w:t>
            </w:r>
          </w:p>
        </w:tc>
        <w:tc>
          <w:tcPr>
            <w:tcW w:w="3319" w:type="dxa"/>
            <w:gridSpan w:val="2"/>
            <w:tcBorders>
              <w:top w:val="nil"/>
              <w:left w:val="nil"/>
              <w:bottom w:val="nil"/>
              <w:right w:val="nil"/>
            </w:tcBorders>
            <w:shd w:val="clear" w:color="auto" w:fill="auto"/>
          </w:tcPr>
          <w:p w14:paraId="78D34DEE" w14:textId="573B8075" w:rsidR="00F927F4" w:rsidRPr="006C58B7" w:rsidRDefault="00F927F4" w:rsidP="00F927F4">
            <w:pPr>
              <w:keepNext/>
              <w:widowControl w:val="0"/>
              <w:tabs>
                <w:tab w:val="left" w:pos="426"/>
                <w:tab w:val="left" w:pos="851"/>
                <w:tab w:val="left" w:pos="1276"/>
                <w:tab w:val="left" w:pos="1701"/>
                <w:tab w:val="left" w:pos="2127"/>
                <w:tab w:val="left" w:pos="2552"/>
                <w:tab w:val="left" w:pos="2977"/>
              </w:tabs>
              <w:suppressAutoHyphens/>
              <w:snapToGrid w:val="0"/>
              <w:jc w:val="left"/>
              <w:rPr>
                <w:color w:val="800000"/>
              </w:rPr>
            </w:pPr>
            <w:proofErr w:type="spellStart"/>
            <w:r>
              <w:rPr>
                <w:color w:val="800000"/>
              </w:rPr>
              <w:t>Protonitazène</w:t>
            </w:r>
            <w:proofErr w:type="spellEnd"/>
          </w:p>
          <w:p w14:paraId="1A37FACA" w14:textId="77777777" w:rsidR="00F927F4" w:rsidRPr="006C58B7" w:rsidRDefault="00F927F4" w:rsidP="00B82E62">
            <w:pPr>
              <w:keepNext/>
              <w:widowControl w:val="0"/>
              <w:tabs>
                <w:tab w:val="left" w:pos="426"/>
                <w:tab w:val="left" w:pos="851"/>
                <w:tab w:val="left" w:pos="1276"/>
                <w:tab w:val="left" w:pos="1701"/>
                <w:tab w:val="left" w:pos="2127"/>
                <w:tab w:val="left" w:pos="2552"/>
                <w:tab w:val="left" w:pos="2977"/>
              </w:tabs>
              <w:suppressAutoHyphens/>
              <w:snapToGrid w:val="0"/>
              <w:jc w:val="left"/>
              <w:rPr>
                <w:noProof/>
                <w:color w:val="800000"/>
              </w:rPr>
            </w:pPr>
          </w:p>
        </w:tc>
        <w:tc>
          <w:tcPr>
            <w:tcW w:w="3870" w:type="dxa"/>
            <w:tcBorders>
              <w:top w:val="nil"/>
              <w:left w:val="nil"/>
              <w:bottom w:val="nil"/>
              <w:right w:val="nil"/>
            </w:tcBorders>
            <w:shd w:val="clear" w:color="auto" w:fill="auto"/>
          </w:tcPr>
          <w:p w14:paraId="709CD2F3" w14:textId="144974DD" w:rsidR="00F927F4" w:rsidRPr="006C58B7" w:rsidRDefault="006C58B7" w:rsidP="00B82E62">
            <w:pPr>
              <w:keepNext/>
              <w:suppressAutoHyphens/>
              <w:snapToGrid w:val="0"/>
              <w:jc w:val="left"/>
              <w:rPr>
                <w:color w:val="800000"/>
              </w:rPr>
            </w:pPr>
            <w:r>
              <w:rPr>
                <w:i/>
                <w:color w:val="800000"/>
              </w:rPr>
              <w:t>N,N</w:t>
            </w:r>
            <w:r>
              <w:rPr>
                <w:color w:val="800000"/>
              </w:rPr>
              <w:t>-diéthyl-2-{2-[(4-éthoxyphényl)méthyl]-5-nitro-1</w:t>
            </w:r>
            <w:r>
              <w:rPr>
                <w:i/>
                <w:color w:val="800000"/>
              </w:rPr>
              <w:t>H</w:t>
            </w:r>
            <w:r>
              <w:rPr>
                <w:color w:val="800000"/>
              </w:rPr>
              <w:t>-benzimidazole-1-yl}éthan-1-amine’.</w:t>
            </w:r>
          </w:p>
        </w:tc>
      </w:tr>
    </w:tbl>
    <w:p w14:paraId="5E00EBFE" w14:textId="37B71FCE" w:rsidR="007E7181" w:rsidRPr="00AA3D6D" w:rsidRDefault="00A7445E" w:rsidP="00A7445E">
      <w:pPr>
        <w:pStyle w:val="ArtikelBezeichner"/>
        <w:numPr>
          <w:ilvl w:val="0"/>
          <w:numId w:val="0"/>
        </w:numPr>
      </w:pPr>
      <w:r>
        <w:t>Article 2</w:t>
      </w:r>
    </w:p>
    <w:p w14:paraId="646A618A" w14:textId="77777777" w:rsidR="00E478B3" w:rsidRPr="00E478B3" w:rsidRDefault="00E478B3" w:rsidP="001C1676">
      <w:pPr>
        <w:pStyle w:val="Artikelberschrift"/>
      </w:pPr>
      <w:r>
        <w:t>Entrée en vigueur</w:t>
      </w:r>
    </w:p>
    <w:p w14:paraId="27747345" w14:textId="29CE9E40" w:rsidR="00234D50" w:rsidRPr="00234D50" w:rsidRDefault="00F25498" w:rsidP="00F25498">
      <w:pPr>
        <w:pStyle w:val="JuristischerAbsatznichtnummeriert"/>
      </w:pPr>
      <w:r>
        <w:t>Le présent règlement entre en vigueur le jour suivant celui de sa promulgation.</w:t>
      </w:r>
    </w:p>
    <w:p w14:paraId="3976ECAB" w14:textId="77777777" w:rsidR="00B57B6E" w:rsidRPr="00D41017" w:rsidRDefault="00B57B6E" w:rsidP="003657BF">
      <w:pPr>
        <w:sectPr w:rsidR="00B57B6E" w:rsidRPr="00D41017" w:rsidSect="00355B32">
          <w:pgSz w:w="11907" w:h="16839"/>
          <w:pgMar w:top="1134" w:right="1417" w:bottom="1134" w:left="1701" w:header="709" w:footer="709" w:gutter="0"/>
          <w:cols w:space="708"/>
          <w:docGrid w:linePitch="360"/>
        </w:sectPr>
      </w:pPr>
    </w:p>
    <w:p w14:paraId="2262245B" w14:textId="77777777" w:rsidR="003657BF" w:rsidRPr="00D41017" w:rsidRDefault="003657BF">
      <w:pPr>
        <w:pStyle w:val="BegrndungTitel"/>
      </w:pPr>
      <w:r>
        <w:t>Justification</w:t>
      </w:r>
    </w:p>
    <w:p w14:paraId="2A196E6F" w14:textId="77777777" w:rsidR="003657BF" w:rsidRPr="00D41017" w:rsidRDefault="003657BF">
      <w:pPr>
        <w:pStyle w:val="BegrndungAllgemeinerTeil"/>
      </w:pPr>
      <w:r>
        <w:t>A. Partie générale</w:t>
      </w:r>
    </w:p>
    <w:p w14:paraId="2CAE54B8" w14:textId="77777777" w:rsidR="003657BF" w:rsidRPr="00D41017" w:rsidRDefault="003657BF" w:rsidP="00565CD9">
      <w:pPr>
        <w:pStyle w:val="berschriftrmischBegrndung"/>
        <w:numPr>
          <w:ilvl w:val="0"/>
          <w:numId w:val="2"/>
        </w:numPr>
      </w:pPr>
      <w:r>
        <w:t>Objectif et nécessité des dispositions</w:t>
      </w:r>
    </w:p>
    <w:p w14:paraId="7441C7CE" w14:textId="3965148D" w:rsidR="00BE0BC8" w:rsidRDefault="00C16DCB" w:rsidP="00A63CA5">
      <w:pPr>
        <w:pStyle w:val="Text"/>
      </w:pPr>
      <w:r>
        <w:t>L’article 1</w:t>
      </w:r>
      <w:r>
        <w:rPr>
          <w:vertAlign w:val="superscript"/>
        </w:rPr>
        <w:t>er</w:t>
      </w:r>
      <w:r>
        <w:t xml:space="preserve"> de cette ordonnance vise à transposer au niveau national les décisions de la 66</w:t>
      </w:r>
      <w:r>
        <w:rPr>
          <w:vertAlign w:val="superscript"/>
        </w:rPr>
        <w:t>e</w:t>
      </w:r>
      <w:r>
        <w:t xml:space="preserve"> session de la Commission des stupéfiants des Nations unies (CND) le 15 mars 2023 modifiant l’appendice I de la Convention unique sur les stupéfiants de 1961 et l’appendice II de la Convention de 1971 sur les substances psychotropes en y incluant de nouvelles substances psychoactives (NPS). </w:t>
      </w:r>
    </w:p>
    <w:p w14:paraId="51C49EDE" w14:textId="77777777" w:rsidR="003657BF" w:rsidRPr="001D5A7C" w:rsidRDefault="003657BF">
      <w:pPr>
        <w:pStyle w:val="berschriftrmischBegrndung"/>
      </w:pPr>
      <w:r>
        <w:t>Contenu principal du projet</w:t>
      </w:r>
    </w:p>
    <w:p w14:paraId="7F0F7EDD" w14:textId="6F1B383A" w:rsidR="00763B8A" w:rsidRPr="00FD1ED5" w:rsidRDefault="00AD527A" w:rsidP="00763B8A">
      <w:pPr>
        <w:pStyle w:val="Text"/>
      </w:pPr>
      <w:r>
        <w:t>À la 66</w:t>
      </w:r>
      <w:r>
        <w:rPr>
          <w:vertAlign w:val="superscript"/>
        </w:rPr>
        <w:t>e</w:t>
      </w:r>
      <w:r>
        <w:t xml:space="preserve"> session de la CND, il a été décidé, entre autres, d’inclure les substances psychoactives </w:t>
      </w:r>
      <w:proofErr w:type="spellStart"/>
      <w:r>
        <w:t>étazène</w:t>
      </w:r>
      <w:proofErr w:type="spellEnd"/>
      <w:r>
        <w:t xml:space="preserve">, </w:t>
      </w:r>
      <w:proofErr w:type="spellStart"/>
      <w:r>
        <w:t>étonitazepyne</w:t>
      </w:r>
      <w:proofErr w:type="spellEnd"/>
      <w:r>
        <w:t xml:space="preserve">, 2-méthyl-AP-237 et </w:t>
      </w:r>
      <w:proofErr w:type="spellStart"/>
      <w:r>
        <w:t>protonitazène</w:t>
      </w:r>
      <w:proofErr w:type="spellEnd"/>
      <w:r>
        <w:t xml:space="preserve"> à l’appendice I de la Convention sur les stupéfiants. Les substances ADB-BUTINACA, Alpha-</w:t>
      </w:r>
      <w:proofErr w:type="spellStart"/>
      <w:r>
        <w:t>PiHP</w:t>
      </w:r>
      <w:proofErr w:type="spellEnd"/>
      <w:r>
        <w:t xml:space="preserve"> et 3-MMC ont été inscrites à l’appendice II de la Convention sur les substances psychotropes. </w:t>
      </w:r>
    </w:p>
    <w:p w14:paraId="1D9514F8" w14:textId="77AF2191" w:rsidR="0023260E" w:rsidRDefault="00763B8A" w:rsidP="00A63CA5">
      <w:pPr>
        <w:pStyle w:val="Text"/>
      </w:pPr>
      <w:r>
        <w:t xml:space="preserve">Afin d’appliquer les modifications apportées aux annexes des conventions par ces résolutions dans le droit national, cette ordonnance inclut cinq NPS à l’annexe II de la </w:t>
      </w:r>
      <w:proofErr w:type="spellStart"/>
      <w:r>
        <w:t>BtMG</w:t>
      </w:r>
      <w:proofErr w:type="spellEnd"/>
      <w:r>
        <w:t xml:space="preserve"> sur la base de l’autorisation de l’article 1</w:t>
      </w:r>
      <w:r>
        <w:rPr>
          <w:vertAlign w:val="superscript"/>
        </w:rPr>
        <w:t>er</w:t>
      </w:r>
      <w:r>
        <w:t>, paragraphe 4, de la loi sur les stupéfiants (</w:t>
      </w:r>
      <w:proofErr w:type="spellStart"/>
      <w:r>
        <w:t>BtMG</w:t>
      </w:r>
      <w:proofErr w:type="spellEnd"/>
      <w:r>
        <w:t xml:space="preserve">). Les substances 3-MMC et 2-méthyl-AP-237 ne sont pas incluses parce qu’elles figurent déjà à l’annexe I (3-MMC) et à l’annexe II (2-méthyl-AP-237) de la </w:t>
      </w:r>
      <w:proofErr w:type="spellStart"/>
      <w:r>
        <w:t>BtMG</w:t>
      </w:r>
      <w:proofErr w:type="spellEnd"/>
      <w:r>
        <w:t xml:space="preserve">. </w:t>
      </w:r>
    </w:p>
    <w:p w14:paraId="7B521EF2" w14:textId="77777777" w:rsidR="003657BF" w:rsidRPr="001D5A7C" w:rsidRDefault="003657BF">
      <w:pPr>
        <w:pStyle w:val="berschriftrmischBegrndung"/>
      </w:pPr>
      <w:r>
        <w:t>Alternatives</w:t>
      </w:r>
    </w:p>
    <w:p w14:paraId="187A143D" w14:textId="77777777" w:rsidR="00260024" w:rsidRDefault="003657BF">
      <w:pPr>
        <w:pStyle w:val="Text"/>
      </w:pPr>
      <w:r>
        <w:t xml:space="preserve">Aucune. </w:t>
      </w:r>
    </w:p>
    <w:p w14:paraId="78EBDC39" w14:textId="77777777" w:rsidR="003657BF" w:rsidRPr="001D5A7C" w:rsidRDefault="003657BF">
      <w:pPr>
        <w:pStyle w:val="berschriftrmischBegrndung"/>
      </w:pPr>
      <w:r>
        <w:t>Pouvoir réglementaire</w:t>
      </w:r>
    </w:p>
    <w:p w14:paraId="59996BB8" w14:textId="4FECC138" w:rsidR="00A63CA5" w:rsidRDefault="003657BF" w:rsidP="00A63CA5">
      <w:pPr>
        <w:pStyle w:val="Text"/>
      </w:pPr>
      <w:r>
        <w:t xml:space="preserve">Le pouvoir réglementaire du ministère fédéral de la santé pour la modification des annexes du </w:t>
      </w:r>
      <w:proofErr w:type="spellStart"/>
      <w:r>
        <w:t>BtMG</w:t>
      </w:r>
      <w:proofErr w:type="spellEnd"/>
      <w:r>
        <w:t xml:space="preserve"> découle de l’article 1</w:t>
      </w:r>
      <w:r>
        <w:rPr>
          <w:vertAlign w:val="superscript"/>
        </w:rPr>
        <w:t>er</w:t>
      </w:r>
      <w:r>
        <w:t xml:space="preserve">, paragraphe 4, du </w:t>
      </w:r>
      <w:proofErr w:type="spellStart"/>
      <w:r>
        <w:t>BtMG</w:t>
      </w:r>
      <w:proofErr w:type="spellEnd"/>
      <w:r>
        <w:t xml:space="preserve">. </w:t>
      </w:r>
    </w:p>
    <w:p w14:paraId="6E9104DE" w14:textId="77777777" w:rsidR="003657BF" w:rsidRPr="00ED5EB7" w:rsidRDefault="003657BF">
      <w:pPr>
        <w:pStyle w:val="berschriftrmischBegrndung"/>
      </w:pPr>
      <w:r>
        <w:t>Compatibilité avec le droit de l’Union européenne et les traités internationaux</w:t>
      </w:r>
    </w:p>
    <w:p w14:paraId="4C74B6C1" w14:textId="77777777" w:rsidR="00380EB5" w:rsidRDefault="00B43E2E">
      <w:pPr>
        <w:pStyle w:val="Text"/>
      </w:pPr>
      <w:r>
        <w:t xml:space="preserve">Ce règlement est compatible avec le droit de l’Union européenne et avec les traités internationaux conclus par la République fédérale d’Allemagne. </w:t>
      </w:r>
    </w:p>
    <w:p w14:paraId="3493D890" w14:textId="50006D7A" w:rsidR="00380EB5" w:rsidRDefault="00B43E2E">
      <w:pPr>
        <w:pStyle w:val="Text"/>
      </w:pPr>
      <w:r>
        <w:t xml:space="preserve">Avec l’inscription des cinq NPS à l’annexe II du </w:t>
      </w:r>
      <w:proofErr w:type="spellStart"/>
      <w:r>
        <w:t>BtMG</w:t>
      </w:r>
      <w:proofErr w:type="spellEnd"/>
      <w:r>
        <w:t>, les amendements à l’annexe I de la Convention unique sur les stupéfiants de 1961 et à l’annexe I de la Convention de 1971 sur les substances psychotropes, résultant des résolutions de la 66</w:t>
      </w:r>
      <w:r>
        <w:rPr>
          <w:vertAlign w:val="superscript"/>
        </w:rPr>
        <w:t>e</w:t>
      </w:r>
      <w:r>
        <w:t xml:space="preserve"> session de la CND, sont transposés en droit national. </w:t>
      </w:r>
    </w:p>
    <w:p w14:paraId="43F3B08C" w14:textId="095BD0A6" w:rsidR="00AD2C19" w:rsidRDefault="00B43E2E">
      <w:pPr>
        <w:pStyle w:val="Text"/>
      </w:pPr>
      <w:r>
        <w:t>En ce qui concerne les modifications apportées à l’annexe II de la loi sur les stupéfiants dans l’article 1, la notification a été effectuée conformément à la directive (UE) 2015/1535 du Parlement européen et du Conseil du 9 septembre 2015 prévoyant une procédure d’information dans le domaine des réglementations techniques et des règles relatives aux services de la société de l’information (JO L 241 du 17.9.2015, p. 1).</w:t>
      </w:r>
    </w:p>
    <w:p w14:paraId="76C8B4D0" w14:textId="77777777" w:rsidR="003657BF" w:rsidRPr="00ED5EB7" w:rsidRDefault="00910263">
      <w:pPr>
        <w:pStyle w:val="berschriftrmischBegrndung"/>
      </w:pPr>
      <w:r>
        <w:lastRenderedPageBreak/>
        <w:t>Impact de l’ordonnance</w:t>
      </w:r>
    </w:p>
    <w:p w14:paraId="40EC73BF" w14:textId="0BF9BC03" w:rsidR="00721EE3" w:rsidRDefault="00910263">
      <w:pPr>
        <w:pStyle w:val="Text"/>
      </w:pPr>
      <w:r>
        <w:t xml:space="preserve">L’inscription des cinq substances à l’annexe II de la </w:t>
      </w:r>
      <w:proofErr w:type="spellStart"/>
      <w:r>
        <w:t>BtMG</w:t>
      </w:r>
      <w:proofErr w:type="spellEnd"/>
      <w:r>
        <w:t xml:space="preserve"> par le présent règlement a pour conséquence qu’elles sont traitées comme des stupéfiants commercialisables mais non prescriptibles au sens des dispositions de la </w:t>
      </w:r>
      <w:proofErr w:type="spellStart"/>
      <w:r>
        <w:t>BtMG</w:t>
      </w:r>
      <w:proofErr w:type="spellEnd"/>
      <w:r>
        <w:t>.</w:t>
      </w:r>
    </w:p>
    <w:p w14:paraId="4A213FDA" w14:textId="77777777" w:rsidR="003657BF" w:rsidRPr="00ED5EB7" w:rsidRDefault="003657BF">
      <w:pPr>
        <w:pStyle w:val="berschriftarabischBegrndung"/>
      </w:pPr>
      <w:r>
        <w:t>Simplification juridique et administrative</w:t>
      </w:r>
    </w:p>
    <w:p w14:paraId="789B6363" w14:textId="29543656" w:rsidR="00D86B21" w:rsidRPr="00ED5EB7" w:rsidRDefault="00191C46" w:rsidP="00D86B21">
      <w:r>
        <w:t xml:space="preserve">L’ordonnance n’implique l’abrogation d’aucune disposition ni la rationalisation d’aucune procédure administrative. </w:t>
      </w:r>
    </w:p>
    <w:p w14:paraId="7C40BAF5" w14:textId="77777777" w:rsidR="003657BF" w:rsidRPr="00ED5EB7" w:rsidRDefault="003657BF">
      <w:pPr>
        <w:pStyle w:val="berschriftarabischBegrndung"/>
      </w:pPr>
      <w:r>
        <w:t>Aspects liés au développement durable</w:t>
      </w:r>
    </w:p>
    <w:p w14:paraId="5A513BB8" w14:textId="77777777" w:rsidR="00910263" w:rsidRPr="00ED5EB7" w:rsidRDefault="00910263" w:rsidP="00910263">
      <w:pPr>
        <w:pStyle w:val="Text"/>
      </w:pPr>
      <w:r>
        <w:t>L’</w:t>
      </w:r>
      <w:proofErr w:type="spellStart"/>
      <w:r>
        <w:t>ordonnace</w:t>
      </w:r>
      <w:proofErr w:type="spellEnd"/>
      <w:r>
        <w:t xml:space="preserve"> contribue à la réalisation de l’objectif de durabilité 3 «Préserver les ressources naturelles propices à la vie» de la stratégie allemande pour le développement durable. Les principes de la stratégie allemande pour le développement durable ont été examinés et pris en compte. Les règles prévues par le règlement soutiennent le principe nº3b du développement durable, selon lequel «les dangers et les risques inacceptables pour la santé humaine» doivent être évités et la protection de la santé renforcée.</w:t>
      </w:r>
    </w:p>
    <w:p w14:paraId="60BE9409" w14:textId="184DDEEC" w:rsidR="00D86B21" w:rsidRPr="00ED5EB7" w:rsidRDefault="00910263" w:rsidP="00910263">
      <w:pPr>
        <w:pStyle w:val="Text"/>
      </w:pPr>
      <w:r>
        <w:t>L’ajout de NSP supplémentaires dans l’</w:t>
      </w:r>
      <w:proofErr w:type="spellStart"/>
      <w:r>
        <w:t>annexe°II</w:t>
      </w:r>
      <w:proofErr w:type="spellEnd"/>
      <w:r>
        <w:t xml:space="preserve"> de la </w:t>
      </w:r>
      <w:proofErr w:type="spellStart"/>
      <w:r>
        <w:t>BtMG</w:t>
      </w:r>
      <w:proofErr w:type="spellEnd"/>
      <w:r>
        <w:t xml:space="preserve"> réduit la propagation et l’utilisation abusive de ces substances synthétiques dangereuses pour la santé afin de protéger la santé des individus et du grand public. En même temps, les poursuites pénales concernant ces substances sont rendues possibles.</w:t>
      </w:r>
    </w:p>
    <w:p w14:paraId="0A42172E" w14:textId="77777777" w:rsidR="003657BF" w:rsidRPr="00ED5EB7" w:rsidRDefault="003657BF">
      <w:pPr>
        <w:pStyle w:val="berschriftarabischBegrndung"/>
      </w:pPr>
      <w:r>
        <w:t>D. Dépenses budgétaires hors coûts de mise en conformité</w:t>
      </w:r>
    </w:p>
    <w:p w14:paraId="2480077F" w14:textId="77777777" w:rsidR="00BF51B0" w:rsidRPr="00ED5EB7" w:rsidRDefault="001E5752" w:rsidP="0058637A">
      <w:pPr>
        <w:pStyle w:val="Text"/>
      </w:pPr>
      <w:r>
        <w:t xml:space="preserve">Tout besoin supplémentaire en matériel ou en dotation en personnel au niveau fédéral doit être compensé financièrement et en termes de postes dans la section correspondante du budget. </w:t>
      </w:r>
    </w:p>
    <w:p w14:paraId="5EAC470F" w14:textId="77777777" w:rsidR="003657BF" w:rsidRPr="00ED5EB7" w:rsidRDefault="003657BF">
      <w:pPr>
        <w:pStyle w:val="berschriftarabischBegrndung"/>
      </w:pPr>
      <w:r>
        <w:t>Coûts de mise en conformité</w:t>
      </w:r>
    </w:p>
    <w:p w14:paraId="122F05EF" w14:textId="77777777" w:rsidR="002412D2" w:rsidRPr="00ED5EB7" w:rsidRDefault="002412D2" w:rsidP="002412D2">
      <w:pPr>
        <w:pStyle w:val="Text"/>
      </w:pPr>
      <w:r>
        <w:t>Les citoyens n’encourent pas de coûts supplémentaires de mise en conformité.</w:t>
      </w:r>
    </w:p>
    <w:p w14:paraId="018B32CF" w14:textId="77777777" w:rsidR="00176319" w:rsidRPr="00BA7265" w:rsidRDefault="00176319" w:rsidP="00176319">
      <w:pPr>
        <w:pStyle w:val="Text"/>
      </w:pPr>
      <w:r>
        <w:t>Les entreprises n’encourent pas de coûts supplémentaires de mise en conformité.</w:t>
      </w:r>
    </w:p>
    <w:p w14:paraId="5428E4FF" w14:textId="77777777" w:rsidR="00176319" w:rsidRPr="00BA7265" w:rsidRDefault="00176319" w:rsidP="00176319">
      <w:pPr>
        <w:pStyle w:val="Text"/>
      </w:pPr>
      <w:r>
        <w:t>L’administration fédérale sera confrontée à des coûts d’exécution supplémentaires mineurs pour les poursuites pénales par les autorités douanières et l’Office fédéral de la police criminelle, étant donné que la surveillance de la circulation des stupéfiants augmentera en raison de l’inclusion de NSP supplémentaires à l’annexe II de la loi sur les stupéfiants.</w:t>
      </w:r>
    </w:p>
    <w:p w14:paraId="2ABF2214" w14:textId="15D9A19D" w:rsidR="00176319" w:rsidRDefault="00176319" w:rsidP="002412D2">
      <w:pPr>
        <w:pStyle w:val="Text"/>
      </w:pPr>
      <w:r>
        <w:t xml:space="preserve">Pour les autorités de surveillance et de police des États fédéraux, cela peut entraîner une augmentation des coûts d’exécution, étant donné que la surveillance de la circulation des stupéfiants augmentera en raison de l’inclusion de NSP supplémentaires à l’annexe II de la </w:t>
      </w:r>
      <w:proofErr w:type="spellStart"/>
      <w:r>
        <w:t>BtMG</w:t>
      </w:r>
      <w:proofErr w:type="spellEnd"/>
      <w:r>
        <w:t>; toutefois, ces coûts ne peuvent pas être quantifiés à l’heure actuelle.</w:t>
      </w:r>
    </w:p>
    <w:p w14:paraId="75BA07F2" w14:textId="77777777" w:rsidR="003657BF" w:rsidRPr="00ED5EB7" w:rsidRDefault="003657BF">
      <w:pPr>
        <w:pStyle w:val="berschriftarabischBegrndung"/>
      </w:pPr>
      <w:r>
        <w:t>Autres coûts</w:t>
      </w:r>
    </w:p>
    <w:p w14:paraId="7CCFD243" w14:textId="77777777" w:rsidR="003657BF" w:rsidRPr="00ED5EB7" w:rsidRDefault="002412D2">
      <w:pPr>
        <w:pStyle w:val="Text"/>
      </w:pPr>
      <w:r>
        <w:t>Aucune.</w:t>
      </w:r>
    </w:p>
    <w:p w14:paraId="4BC23E37" w14:textId="77777777" w:rsidR="003657BF" w:rsidRPr="00ED5EB7" w:rsidRDefault="003657BF">
      <w:pPr>
        <w:pStyle w:val="berschriftarabischBegrndung"/>
      </w:pPr>
      <w:r>
        <w:t>Autres conséquences de la législation</w:t>
      </w:r>
    </w:p>
    <w:p w14:paraId="75D990C7" w14:textId="77777777" w:rsidR="003657BF" w:rsidRPr="00ED5EB7" w:rsidRDefault="002412D2">
      <w:pPr>
        <w:pStyle w:val="Text"/>
      </w:pPr>
      <w:r>
        <w:t>La présente ordonnance n’a aucune incidence sur les politiques démographiques ou en matière d’égalité des chances.</w:t>
      </w:r>
    </w:p>
    <w:p w14:paraId="36942977" w14:textId="721834D3" w:rsidR="003657BF" w:rsidRPr="00ED5EB7" w:rsidRDefault="003657BF">
      <w:pPr>
        <w:pStyle w:val="berschriftrmischBegrndung"/>
      </w:pPr>
      <w:r>
        <w:lastRenderedPageBreak/>
        <w:t>Délai; évaluation</w:t>
      </w:r>
    </w:p>
    <w:p w14:paraId="6D0787C7" w14:textId="77777777" w:rsidR="003657BF" w:rsidRPr="00ED5EB7" w:rsidRDefault="002412D2">
      <w:pPr>
        <w:pStyle w:val="Text"/>
      </w:pPr>
      <w:r>
        <w:t>L’ordonnance n’a pas vocation à être limitée dans le temps. Les annexes de la loi sur les stupéfiants font l’objet d’un réexamen permanent sur la base de l’expérience acquise lors de leur application ainsi que sur la base de nouveaux résultats scientifiques.</w:t>
      </w:r>
    </w:p>
    <w:p w14:paraId="54F0DD6B" w14:textId="77777777" w:rsidR="003657BF" w:rsidRPr="00C5568C" w:rsidRDefault="003657BF">
      <w:pPr>
        <w:pStyle w:val="BegrndungBesondererTeil"/>
      </w:pPr>
      <w:r>
        <w:t>B. Partie spécifique</w:t>
      </w:r>
    </w:p>
    <w:p w14:paraId="376B4317" w14:textId="77777777" w:rsidR="00390110" w:rsidRPr="00C5568C" w:rsidRDefault="00390110" w:rsidP="00E643A8">
      <w:pPr>
        <w:pStyle w:val="Text"/>
        <w:rPr>
          <w:b/>
        </w:rPr>
      </w:pPr>
      <w:r>
        <w:rPr>
          <w:b/>
        </w:rPr>
        <w:t>Concernant l’article premier</w:t>
      </w:r>
    </w:p>
    <w:p w14:paraId="156283FD" w14:textId="20E83723" w:rsidR="00E81258" w:rsidRDefault="00BA7265" w:rsidP="00C5568C">
      <w:pPr>
        <w:pStyle w:val="Text"/>
      </w:pPr>
      <w:r>
        <w:t>Lors de la 66</w:t>
      </w:r>
      <w:r>
        <w:rPr>
          <w:vertAlign w:val="superscript"/>
        </w:rPr>
        <w:t>e</w:t>
      </w:r>
      <w:r>
        <w:t xml:space="preserve"> session du CND, le 15 mars 2023, il a été décidé d’inclure de nouvelles substances psychoactives à l’appendice I de la Convention unique sur les stupéfiants de 1961 et à l’appendice II de la Convention de 1971 sur les substances psychotropes. </w:t>
      </w:r>
    </w:p>
    <w:p w14:paraId="28F98E71" w14:textId="4D4083A9" w:rsidR="00C5568C" w:rsidRPr="00F568C1" w:rsidRDefault="00F568C1" w:rsidP="00C5568C">
      <w:pPr>
        <w:pStyle w:val="Text"/>
      </w:pPr>
      <w:r>
        <w:t xml:space="preserve">À l’appendice I de la Convention sur les stupéfiants, les substances psychoactives </w:t>
      </w:r>
      <w:proofErr w:type="spellStart"/>
      <w:r>
        <w:t>étazène</w:t>
      </w:r>
      <w:proofErr w:type="spellEnd"/>
      <w:r>
        <w:t xml:space="preserve">, </w:t>
      </w:r>
      <w:proofErr w:type="spellStart"/>
      <w:r>
        <w:t>étonitazepyne</w:t>
      </w:r>
      <w:proofErr w:type="spellEnd"/>
      <w:r>
        <w:t xml:space="preserve">, 2-méthyl-AP-237 et </w:t>
      </w:r>
      <w:proofErr w:type="spellStart"/>
      <w:r>
        <w:t>protonitazène</w:t>
      </w:r>
      <w:proofErr w:type="spellEnd"/>
      <w:r>
        <w:t xml:space="preserve"> ont été incluses. Les substances ADB-BUTINACA, Alpha-</w:t>
      </w:r>
      <w:proofErr w:type="spellStart"/>
      <w:r>
        <w:t>PiHP</w:t>
      </w:r>
      <w:proofErr w:type="spellEnd"/>
      <w:r>
        <w:t xml:space="preserve"> et 3-MMC ont été inscrites à l’appendice II de la Convention sur les substances psychotropes. Le 3-MMC et le 2-méthyl-AP-237 ont déjà été inclus dans les annexes du </w:t>
      </w:r>
      <w:proofErr w:type="spellStart"/>
      <w:r>
        <w:t>BtMG</w:t>
      </w:r>
      <w:proofErr w:type="spellEnd"/>
      <w:r>
        <w:t>, c’est pourquoi l’obligation prévue par le droit international de les transposer en droit national a déjà été remplie.</w:t>
      </w:r>
    </w:p>
    <w:p w14:paraId="08DA4AAA" w14:textId="7C1D5C0C" w:rsidR="00BA7265" w:rsidRPr="00F568C1" w:rsidRDefault="00C5568C" w:rsidP="00BA7265">
      <w:pPr>
        <w:pStyle w:val="Text"/>
      </w:pPr>
      <w:r>
        <w:t xml:space="preserve">Au total, cinq substances sont inscrites à l’annexe II du </w:t>
      </w:r>
      <w:proofErr w:type="spellStart"/>
      <w:r>
        <w:t>BtMG</w:t>
      </w:r>
      <w:proofErr w:type="spellEnd"/>
      <w:r>
        <w:t xml:space="preserve"> avec le présent règlement pour la mise en œuvre nationale des amendements aux annexes des conventions susmentionnées conformément à l’article 1</w:t>
      </w:r>
      <w:r>
        <w:rPr>
          <w:vertAlign w:val="superscript"/>
        </w:rPr>
        <w:t>er</w:t>
      </w:r>
      <w:r>
        <w:t xml:space="preserve">, paragraphe 4 de la </w:t>
      </w:r>
      <w:proofErr w:type="spellStart"/>
      <w:r>
        <w:t>BtMG</w:t>
      </w:r>
      <w:proofErr w:type="spellEnd"/>
      <w:r>
        <w:t xml:space="preserve">. </w:t>
      </w:r>
    </w:p>
    <w:p w14:paraId="396F056B" w14:textId="48EA9888" w:rsidR="00C5568C" w:rsidRPr="00F568C1" w:rsidRDefault="00BA7265" w:rsidP="00BA7265">
      <w:pPr>
        <w:pStyle w:val="Text"/>
      </w:pPr>
      <w:r>
        <w:t xml:space="preserve">En ce qui concerne leurs effets respectifs, les cinq nouvelles substances à inclure présentent des similitudes avec d’autres substances énumérées dans les annexes de la Convention unique de 1961 et de la Convention de 1971 sur les substances psychotropes. La consommation de ces cinq NPS entraîne des intoxications partiellement graves, y compris des hospitalisations. </w:t>
      </w:r>
    </w:p>
    <w:p w14:paraId="732FB368" w14:textId="0338B90E" w:rsidR="00BA7265" w:rsidRPr="008C17D3" w:rsidRDefault="00BA7265" w:rsidP="00BA7265">
      <w:pPr>
        <w:pStyle w:val="Text"/>
      </w:pPr>
      <w:r>
        <w:t>Des intoxications mortelles ont été détectées dans le cadre de la prise d’ADB-BUTINACA, d’</w:t>
      </w:r>
      <w:proofErr w:type="spellStart"/>
      <w:r>
        <w:t>étazène</w:t>
      </w:r>
      <w:proofErr w:type="spellEnd"/>
      <w:r>
        <w:t>, d’</w:t>
      </w:r>
      <w:proofErr w:type="spellStart"/>
      <w:r>
        <w:t>étonitazepyne</w:t>
      </w:r>
      <w:proofErr w:type="spellEnd"/>
      <w:r>
        <w:t xml:space="preserve"> et d’alpha-</w:t>
      </w:r>
      <w:proofErr w:type="spellStart"/>
      <w:r>
        <w:t>PiHP</w:t>
      </w:r>
      <w:proofErr w:type="spellEnd"/>
      <w:r>
        <w:t>.</w:t>
      </w:r>
    </w:p>
    <w:p w14:paraId="34AA7166" w14:textId="77777777" w:rsidR="008C17D3" w:rsidRDefault="008C17D3" w:rsidP="008C17D3">
      <w:pPr>
        <w:pStyle w:val="Text"/>
      </w:pPr>
      <w:r>
        <w:t>Plus précisément:</w:t>
      </w:r>
    </w:p>
    <w:p w14:paraId="64DE98CA" w14:textId="60C1C80B" w:rsidR="008C17D3" w:rsidRDefault="009D3EFC" w:rsidP="008C17D3">
      <w:pPr>
        <w:pStyle w:val="Text"/>
        <w:rPr>
          <w:rStyle w:val="markedcontent"/>
        </w:rPr>
      </w:pPr>
      <w:r>
        <w:t xml:space="preserve">Le cannabinoïde synthétique ADB-BUTINACA ne présente aucun bénéfice thérapeutique et n’est pas approuvé en tant que médicament. Il existe des preuves suffisantes attestant que l’ADB-BUTINACA fait l’objet d’une utilisation abusive ou risque d’être utilisée à mauvais escient. En outre, </w:t>
      </w:r>
      <w:r>
        <w:rPr>
          <w:rStyle w:val="markedcontent"/>
        </w:rPr>
        <w:t>la substance pose un problème de santé publique.</w:t>
      </w:r>
      <w:r>
        <w:t xml:space="preserve"> Le cannabinoïde synthétique est associé à des événements indésirables graves, dont 14 décès. L’ADB-BUTINACA </w:t>
      </w:r>
      <w:r>
        <w:rPr>
          <w:rStyle w:val="markedcontent"/>
        </w:rPr>
        <w:t xml:space="preserve">est actuellement étroitement surveillé par l’observatoire européen des drogues et des toxicomanies (OEDT). </w:t>
      </w:r>
    </w:p>
    <w:p w14:paraId="5A430F5F" w14:textId="62E06933" w:rsidR="008C17D3" w:rsidRDefault="008C17D3" w:rsidP="008C17D3">
      <w:pPr>
        <w:pStyle w:val="Text"/>
        <w:rPr>
          <w:noProof/>
        </w:rPr>
      </w:pPr>
      <w:r>
        <w:t xml:space="preserve">Le </w:t>
      </w:r>
      <w:proofErr w:type="spellStart"/>
      <w:r>
        <w:t>protonitazène</w:t>
      </w:r>
      <w:proofErr w:type="spellEnd"/>
      <w:r>
        <w:t xml:space="preserve"> </w:t>
      </w:r>
      <w:proofErr w:type="spellStart"/>
      <w:r>
        <w:t>benzimidazole</w:t>
      </w:r>
      <w:proofErr w:type="spellEnd"/>
      <w:r>
        <w:t xml:space="preserve">-opioïde a d’abord été synthétisé comme alternative à la morphine, mais il n’y a pas d’utilisation thérapeutique approuvée du </w:t>
      </w:r>
      <w:proofErr w:type="spellStart"/>
      <w:r>
        <w:t>protonitazène</w:t>
      </w:r>
      <w:proofErr w:type="spellEnd"/>
      <w:r>
        <w:t>. Il existe des preuves suffisantes attestant que l’</w:t>
      </w:r>
      <w:proofErr w:type="spellStart"/>
      <w:r>
        <w:t>étazène</w:t>
      </w:r>
      <w:proofErr w:type="spellEnd"/>
      <w:r>
        <w:t xml:space="preserve"> fait l’objet d’une consommation abusive ou qu’un tel usage est probable. En outre, la substance pose un problème de santé publique. Le </w:t>
      </w:r>
      <w:proofErr w:type="spellStart"/>
      <w:r>
        <w:t>protonitazène</w:t>
      </w:r>
      <w:proofErr w:type="spellEnd"/>
      <w:r>
        <w:t xml:space="preserve"> est étroitement surveillé par l’OEDT. Ce dernier n’a pas encore reçu de signalement d’événements indésirables graves liés au </w:t>
      </w:r>
      <w:proofErr w:type="spellStart"/>
      <w:r>
        <w:t>protonitazène</w:t>
      </w:r>
      <w:proofErr w:type="spellEnd"/>
      <w:r>
        <w:t xml:space="preserve">. </w:t>
      </w:r>
    </w:p>
    <w:p w14:paraId="1471FE4D" w14:textId="07F9456A" w:rsidR="008C17D3" w:rsidRDefault="008C17D3" w:rsidP="008C17D3">
      <w:pPr>
        <w:pStyle w:val="Text"/>
        <w:rPr>
          <w:noProof/>
        </w:rPr>
      </w:pPr>
      <w:r>
        <w:t>L’</w:t>
      </w:r>
      <w:proofErr w:type="spellStart"/>
      <w:r>
        <w:t>étazene</w:t>
      </w:r>
      <w:proofErr w:type="spellEnd"/>
      <w:r>
        <w:t xml:space="preserve"> est un opioïde synthétique dérivé du </w:t>
      </w:r>
      <w:proofErr w:type="spellStart"/>
      <w:r>
        <w:t>benzimidazole</w:t>
      </w:r>
      <w:proofErr w:type="spellEnd"/>
      <w:r>
        <w:t xml:space="preserve"> et présente des similitudes chimiques-structurelles et pharmacologiques avec des substances énumérées à l’appendice I (Convention des Nations Unies de 1961) telles que le </w:t>
      </w:r>
      <w:proofErr w:type="spellStart"/>
      <w:r>
        <w:t>clonitazène</w:t>
      </w:r>
      <w:proofErr w:type="spellEnd"/>
      <w:r>
        <w:t>, l’</w:t>
      </w:r>
      <w:proofErr w:type="spellStart"/>
      <w:r>
        <w:t>étonitazène</w:t>
      </w:r>
      <w:proofErr w:type="spellEnd"/>
      <w:r>
        <w:t xml:space="preserve"> et l’</w:t>
      </w:r>
      <w:proofErr w:type="spellStart"/>
      <w:r>
        <w:t>isotonitazène</w:t>
      </w:r>
      <w:proofErr w:type="spellEnd"/>
      <w:r>
        <w:t>. L’</w:t>
      </w:r>
      <w:proofErr w:type="spellStart"/>
      <w:r>
        <w:t>étazene</w:t>
      </w:r>
      <w:proofErr w:type="spellEnd"/>
      <w:r>
        <w:t xml:space="preserve"> a été testé pour ses propriétés analgésiques, mais aucun bénéfice médical n’est connu. Il existe des preuves suffisantes attestant que l’</w:t>
      </w:r>
      <w:proofErr w:type="spellStart"/>
      <w:r>
        <w:t>étazène</w:t>
      </w:r>
      <w:proofErr w:type="spellEnd"/>
      <w:r>
        <w:t xml:space="preserve"> fait l’objet </w:t>
      </w:r>
      <w:r>
        <w:lastRenderedPageBreak/>
        <w:t>d’une consommation abusive ou qu’un tel usage est probable. En outre, la substance pose un problème de santé publique. L’</w:t>
      </w:r>
      <w:proofErr w:type="spellStart"/>
      <w:r>
        <w:t>étazène</w:t>
      </w:r>
      <w:proofErr w:type="spellEnd"/>
      <w:r>
        <w:t xml:space="preserve"> fait l’objet d’une surveillance étroite par l’OEDT. Il est associé à des événements indésirables graves, dont quatre décès. </w:t>
      </w:r>
    </w:p>
    <w:p w14:paraId="12164F82" w14:textId="7F083301" w:rsidR="008C17D3" w:rsidRDefault="008C17D3" w:rsidP="008C17D3">
      <w:pPr>
        <w:pStyle w:val="Text"/>
        <w:rPr>
          <w:noProof/>
        </w:rPr>
      </w:pPr>
      <w:r>
        <w:t>L’</w:t>
      </w:r>
      <w:proofErr w:type="spellStart"/>
      <w:r>
        <w:t>étonitazepyne</w:t>
      </w:r>
      <w:proofErr w:type="spellEnd"/>
      <w:r>
        <w:t xml:space="preserve"> est un opioïde synthétique dérivé du </w:t>
      </w:r>
      <w:proofErr w:type="spellStart"/>
      <w:r>
        <w:t>benzimidazole</w:t>
      </w:r>
      <w:proofErr w:type="spellEnd"/>
      <w:r>
        <w:t>, qui présente des similitudes chimiques-structurelles et pharmacologiques avec des substances de l’appendice I (Convention des Nations Unies de 1961) telles que l’</w:t>
      </w:r>
      <w:proofErr w:type="spellStart"/>
      <w:r>
        <w:t>étonitazène</w:t>
      </w:r>
      <w:proofErr w:type="spellEnd"/>
      <w:r>
        <w:t>. L’</w:t>
      </w:r>
      <w:proofErr w:type="spellStart"/>
      <w:r>
        <w:t>étonitazepyne</w:t>
      </w:r>
      <w:proofErr w:type="spellEnd"/>
      <w:r>
        <w:t xml:space="preserve"> a été testé pour ses propriétés analgésiques, mais aucun bénéfice médical n’est connu. Il existe des preuves suffisantes attestant que l’</w:t>
      </w:r>
      <w:proofErr w:type="spellStart"/>
      <w:r>
        <w:t>étazène</w:t>
      </w:r>
      <w:proofErr w:type="spellEnd"/>
      <w:r>
        <w:t xml:space="preserve"> fait l’objet d’une consommation abusive ou qu’un tel usage est probable. En outre, la substance pose un problème de santé publique. L’</w:t>
      </w:r>
      <w:proofErr w:type="spellStart"/>
      <w:r>
        <w:t>étonitazepyne</w:t>
      </w:r>
      <w:proofErr w:type="spellEnd"/>
      <w:r>
        <w:t>, similaire à d’autres nouveaux opioïdes, peut être vendu comme substitut aux opioïdes contrôlés et fait l’objet d’une alerte sanitaire dans le système d’alerte précoce de l’Union européenne. L’</w:t>
      </w:r>
      <w:proofErr w:type="spellStart"/>
      <w:r>
        <w:t>étonitazépyne</w:t>
      </w:r>
      <w:proofErr w:type="spellEnd"/>
      <w:r>
        <w:t xml:space="preserve"> fait l’objet d’une surveillance étroite par l’OEDT. Jusqu’à présent, un décès lié à une exposition confirmée à l’</w:t>
      </w:r>
      <w:proofErr w:type="spellStart"/>
      <w:r>
        <w:t>étonitazépyne</w:t>
      </w:r>
      <w:proofErr w:type="spellEnd"/>
      <w:r>
        <w:t xml:space="preserve"> a été rapporté. </w:t>
      </w:r>
    </w:p>
    <w:p w14:paraId="3CCF78DE" w14:textId="13935DEB" w:rsidR="008C17D3" w:rsidRPr="008C17D3" w:rsidRDefault="00DE43C3" w:rsidP="008C17D3">
      <w:pPr>
        <w:pStyle w:val="Text"/>
      </w:pPr>
      <w:r>
        <w:t>L’alpha-</w:t>
      </w:r>
      <w:proofErr w:type="spellStart"/>
      <w:r>
        <w:t>PiHP</w:t>
      </w:r>
      <w:proofErr w:type="spellEnd"/>
      <w:r>
        <w:t xml:space="preserve"> est une </w:t>
      </w:r>
      <w:proofErr w:type="spellStart"/>
      <w:r>
        <w:t>cathinone</w:t>
      </w:r>
      <w:proofErr w:type="spellEnd"/>
      <w:r>
        <w:t xml:space="preserve"> synthétique. L’alpha-</w:t>
      </w:r>
      <w:proofErr w:type="spellStart"/>
      <w:r>
        <w:t>PiHP</w:t>
      </w:r>
      <w:proofErr w:type="spellEnd"/>
      <w:r>
        <w:t xml:space="preserve"> n’a pas d’avantages thérapeutiques connus et n’est pas non plus autorisé en tant que médicament. Il existe des preuves suffisantes attestant que l’</w:t>
      </w:r>
      <w:proofErr w:type="spellStart"/>
      <w:r>
        <w:t>étazène</w:t>
      </w:r>
      <w:proofErr w:type="spellEnd"/>
      <w:r>
        <w:t xml:space="preserve"> fait l’objet d’une consommation abusive ou qu’un tel usage est probable. En outre, la substance pose un problème de santé publique. L’alpha-</w:t>
      </w:r>
      <w:proofErr w:type="spellStart"/>
      <w:r>
        <w:t>PiHP</w:t>
      </w:r>
      <w:proofErr w:type="spellEnd"/>
      <w:r>
        <w:t xml:space="preserve"> est mentionné dans un message d’alerte sanitaire dans le système d’alerte précoce de l’Union européenne. Elle est associée à des événements indésirables graves, dont quatre décès. En outre, l’alpha-</w:t>
      </w:r>
      <w:proofErr w:type="spellStart"/>
      <w:r>
        <w:t>PiHP</w:t>
      </w:r>
      <w:proofErr w:type="spellEnd"/>
      <w:r>
        <w:t xml:space="preserve"> a été détectée dans des échantillons biologiques liés à des événements indésirables graves.</w:t>
      </w:r>
    </w:p>
    <w:p w14:paraId="4932915A" w14:textId="77777777" w:rsidR="000339CE" w:rsidRPr="008C17D3" w:rsidRDefault="000339CE" w:rsidP="000339CE">
      <w:r>
        <w:t xml:space="preserve">L’Allemagne ne connaît à ce jour aucune utilisation thérapeutique de ces substances, notamment en tant que médicament (produit fini). Par conséquent, l’inscription à l’annexe III de la </w:t>
      </w:r>
      <w:proofErr w:type="spellStart"/>
      <w:r>
        <w:t>BtMG</w:t>
      </w:r>
      <w:proofErr w:type="spellEnd"/>
      <w:r>
        <w:t xml:space="preserve"> (stupéfiants commercialisables et soumis à prescription médicale) n’est pas nécessaire.</w:t>
      </w:r>
    </w:p>
    <w:p w14:paraId="33FF0316" w14:textId="187FC7BD" w:rsidR="000339CE" w:rsidRPr="00C45656" w:rsidRDefault="000339CE" w:rsidP="00801540">
      <w:r>
        <w:t xml:space="preserve">L’utilisation de ces substances dans la recherche scientifique ou en tant que substances de référence à des fins d’analyse ne peut être exclue. L’inclusion de ces substances à l’annexe II de la </w:t>
      </w:r>
      <w:proofErr w:type="spellStart"/>
      <w:r>
        <w:t>BtMG</w:t>
      </w:r>
      <w:proofErr w:type="spellEnd"/>
      <w:r>
        <w:t xml:space="preserve"> (stupéfiants commercialisables mais en vente libre) est donc nécessaire. L’inclusion à l’annexe I de la </w:t>
      </w:r>
      <w:proofErr w:type="spellStart"/>
      <w:r>
        <w:t>BtMG</w:t>
      </w:r>
      <w:proofErr w:type="spellEnd"/>
      <w:r>
        <w:t xml:space="preserve"> empêcherait cela. L’inclusion à l’annexe II de la loi sur les stupéfiants autorise le commerce légal, soumis à autorisation, de ces substances, à des fins de recherche et à des fins industrielles. En outre, les utilisations qui ne sont pas compatibles avec les objectifs de la loi sur les stupéfiants peuvent être évitées de manière efficace grâce à l’exigence d’autorisation complète.</w:t>
      </w:r>
    </w:p>
    <w:p w14:paraId="6A83C144" w14:textId="379202F0" w:rsidR="00D86B21" w:rsidRPr="00D86B21" w:rsidRDefault="00D86B21" w:rsidP="00D86B21">
      <w:pPr>
        <w:pStyle w:val="VerweisBegrndung"/>
      </w:pPr>
      <w:r>
        <w:t>Concernant l’article 2 (entrée en vigueur)</w:t>
      </w:r>
    </w:p>
    <w:p w14:paraId="45E5BA68" w14:textId="77777777" w:rsidR="000339CE" w:rsidRPr="009B52F4" w:rsidRDefault="00234D50" w:rsidP="000339CE">
      <w:pPr>
        <w:pStyle w:val="Text"/>
      </w:pPr>
      <w:r>
        <w:t>Il règlemente l’entrée en vigueur de l’article 1</w:t>
      </w:r>
      <w:r>
        <w:rPr>
          <w:vertAlign w:val="superscript"/>
        </w:rPr>
        <w:t>er</w:t>
      </w:r>
      <w:r>
        <w:t xml:space="preserve"> du présent règlement. Étant donné que, pour protéger la santé collective et individuelle, la propagation et l’usage abusif de NSP nocives pour la santé doivent être réduits le plus rapidement possible, les modifications de l’annexe II de la </w:t>
      </w:r>
      <w:proofErr w:type="spellStart"/>
      <w:r>
        <w:t>BtMG</w:t>
      </w:r>
      <w:proofErr w:type="spellEnd"/>
      <w:r>
        <w:t xml:space="preserve"> sont censées entrer en vigueur le lendemain de la promulgation.</w:t>
      </w:r>
    </w:p>
    <w:p w14:paraId="3C8B951F" w14:textId="77777777" w:rsidR="000A01DC" w:rsidRPr="00517D67" w:rsidRDefault="000A01DC" w:rsidP="000339CE">
      <w:pPr>
        <w:pStyle w:val="Text"/>
      </w:pPr>
    </w:p>
    <w:sectPr w:rsidR="000A01DC" w:rsidRPr="00517D67" w:rsidSect="00355B32">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A66DC" w14:textId="77777777" w:rsidR="00A97300" w:rsidRDefault="00A97300" w:rsidP="00FE1646">
      <w:pPr>
        <w:spacing w:before="0" w:after="0"/>
      </w:pPr>
      <w:r>
        <w:separator/>
      </w:r>
    </w:p>
  </w:endnote>
  <w:endnote w:type="continuationSeparator" w:id="0">
    <w:p w14:paraId="682C3E70" w14:textId="77777777" w:rsidR="00A97300" w:rsidRDefault="00A97300" w:rsidP="00FE16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42BD" w14:textId="77777777" w:rsidR="00A97300" w:rsidRDefault="00A97300" w:rsidP="00FE1646">
      <w:pPr>
        <w:spacing w:before="0" w:after="0"/>
      </w:pPr>
      <w:r>
        <w:separator/>
      </w:r>
    </w:p>
  </w:footnote>
  <w:footnote w:type="continuationSeparator" w:id="0">
    <w:p w14:paraId="5C452D5B" w14:textId="77777777" w:rsidR="00A97300" w:rsidRDefault="00A97300" w:rsidP="00FE1646">
      <w:pPr>
        <w:spacing w:before="0" w:after="0"/>
      </w:pPr>
      <w:r>
        <w:continuationSeparator/>
      </w:r>
    </w:p>
  </w:footnote>
  <w:footnote w:id="1">
    <w:p w14:paraId="05906F11" w14:textId="77777777" w:rsidR="00E71A3E" w:rsidRPr="00062895" w:rsidRDefault="00E71A3E" w:rsidP="00BB02FD">
      <w:pPr>
        <w:pStyle w:val="FootnoteText"/>
      </w:pPr>
      <w:r>
        <w:rPr>
          <w:rStyle w:val="FootnoteReference"/>
        </w:rPr>
        <w:t>*</w:t>
      </w:r>
      <w:r>
        <w:tab/>
        <w:t>Notification conforme à la directive (UE) 2015/1535 du Parlement européen et du Conseil du 9 septembre 2015 prévoyant une procédure d’information dans le domaine des réglementations techniques et des règles relatives aux services de la société de l’information (JO L 241, 17.9.2015, p.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F532" w14:textId="4849AF23" w:rsidR="00E71A3E" w:rsidRPr="00355B32" w:rsidRDefault="00355B32" w:rsidP="00355B32">
    <w:pPr>
      <w:pStyle w:val="Header"/>
    </w:pPr>
    <w:r>
      <w:tab/>
      <w:t xml:space="preserve">- </w:t>
    </w:r>
    <w:r>
      <w:fldChar w:fldCharType="begin"/>
    </w:r>
    <w:r>
      <w:instrText xml:space="preserve"> PAGE  \* MERGEFORMAT </w:instrText>
    </w:r>
    <w:r>
      <w:fldChar w:fldCharType="separate"/>
    </w:r>
    <w:r>
      <w:t>4</w:t>
    </w:r>
    <w:r>
      <w:fldChar w:fldCharType="end"/>
    </w:r>
    <w:r>
      <w:t xml:space="preserve"> -</w:t>
    </w:r>
    <w:r>
      <w:tab/>
    </w:r>
    <w:r>
      <w:rPr>
        <w:sz w:val="18"/>
      </w:rPr>
      <w:t>Statut du traitement: 22.3.2023 09:52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5269" w14:textId="045B484B" w:rsidR="00E71A3E" w:rsidRPr="00355B32" w:rsidRDefault="00355B32" w:rsidP="00355B32">
    <w:pPr>
      <w:pStyle w:val="Header"/>
    </w:pPr>
    <w:r>
      <w:tab/>
    </w:r>
    <w:r>
      <w:tab/>
    </w:r>
    <w:r>
      <w:rPr>
        <w:sz w:val="18"/>
      </w:rPr>
      <w:t>Statut du traitement: 22.3.2023 09:52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D2A0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A601C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1B0C8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FAEF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3A91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4696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D821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823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FAB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85A41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1" w15:restartNumberingAfterBreak="0">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12" w15:restartNumberingAfterBreak="0">
    <w:nsid w:val="116E6F82"/>
    <w:multiLevelType w:val="multilevel"/>
    <w:tmpl w:val="DE120870"/>
    <w:name w:val="Anlage Überschriften"/>
    <w:lvl w:ilvl="0">
      <w:start w:val="1"/>
      <w:numFmt w:val="decimal"/>
      <w:lvlRestart w:val="0"/>
      <w:pStyle w:val="Heading1"/>
      <w:suff w:val="nothing"/>
      <w:lvlText w:val=""/>
      <w:lvlJc w:val="left"/>
      <w:pPr>
        <w:ind w:left="720" w:hanging="720"/>
      </w:pPr>
    </w:lvl>
    <w:lvl w:ilvl="1">
      <w:start w:val="1"/>
      <w:numFmt w:val="decimal"/>
      <w:pStyle w:val="Heading2"/>
      <w:suff w:val="nothing"/>
      <w:lvlText w:val=""/>
      <w:lvlJc w:val="left"/>
      <w:pPr>
        <w:tabs>
          <w:tab w:val="num" w:pos="0"/>
        </w:tabs>
        <w:ind w:left="0" w:firstLine="0"/>
      </w:pPr>
    </w:lvl>
    <w:lvl w:ilvl="2">
      <w:start w:val="1"/>
      <w:numFmt w:val="decimal"/>
      <w:pStyle w:val="Heading3"/>
      <w:suff w:val="nothing"/>
      <w:lvlText w:val=""/>
      <w:lvlJc w:val="left"/>
      <w:pPr>
        <w:tabs>
          <w:tab w:val="num" w:pos="-20"/>
        </w:tabs>
        <w:ind w:left="0" w:firstLine="0"/>
      </w:pPr>
    </w:lvl>
    <w:lvl w:ilvl="3">
      <w:start w:val="1"/>
      <w:numFmt w:val="decimal"/>
      <w:pStyle w:val="Heading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14" w15:restartNumberingAfterBreak="0">
    <w:nsid w:val="13E85297"/>
    <w:multiLevelType w:val="multilevel"/>
    <w:tmpl w:val="09AC8C92"/>
    <w:name w:val="Artikel"/>
    <w:lvl w:ilvl="0">
      <w:start w:val="1"/>
      <w:numFmt w:val="decimal"/>
      <w:lvlRestart w:val="0"/>
      <w:pStyle w:val="ArtikelBezeichner"/>
      <w:suff w:val="nothing"/>
      <w:lvlText w:val="Artikel %1"/>
      <w:lvlJc w:val="left"/>
      <w:pPr>
        <w:ind w:left="4689"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709"/>
        </w:tabs>
        <w:ind w:left="-141"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16" w15:restartNumberingAfterBreak="0">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17" w15:restartNumberingAfterBreak="0">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8" w15:restartNumberingAfterBreak="0">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19"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4C75AF"/>
    <w:multiLevelType w:val="multilevel"/>
    <w:tmpl w:val="0FBE407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22" w15:restartNumberingAfterBreak="0">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24" w15:restartNumberingAfterBreak="0">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25" w15:restartNumberingAfterBreak="0">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26"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28"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29" w15:restartNumberingAfterBreak="0">
    <w:nsid w:val="59CD528B"/>
    <w:multiLevelType w:val="multilevel"/>
    <w:tmpl w:val="03ECC30C"/>
    <w:name w:val="Artikel"/>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3F3E39"/>
    <w:multiLevelType w:val="multilevel"/>
    <w:tmpl w:val="921EEF3C"/>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1" w15:restartNumberingAfterBreak="0">
    <w:nsid w:val="5D677FBC"/>
    <w:multiLevelType w:val="multilevel"/>
    <w:tmpl w:val="03ECC30C"/>
    <w:name w:val="Artikel"/>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35"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9E13C94"/>
    <w:multiLevelType w:val="multilevel"/>
    <w:tmpl w:val="0FBE4076"/>
    <w:name w:val="Anlage Bezeichner (nummeriert)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38"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39"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16cid:durableId="13061581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45649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8487060">
    <w:abstractNumId w:val="9"/>
  </w:num>
  <w:num w:numId="4" w16cid:durableId="1639914324">
    <w:abstractNumId w:val="7"/>
  </w:num>
  <w:num w:numId="5" w16cid:durableId="978921485">
    <w:abstractNumId w:val="6"/>
  </w:num>
  <w:num w:numId="6" w16cid:durableId="1811897669">
    <w:abstractNumId w:val="5"/>
  </w:num>
  <w:num w:numId="7" w16cid:durableId="1892450089">
    <w:abstractNumId w:val="4"/>
  </w:num>
  <w:num w:numId="8" w16cid:durableId="2145003833">
    <w:abstractNumId w:val="8"/>
  </w:num>
  <w:num w:numId="9" w16cid:durableId="1987516393">
    <w:abstractNumId w:val="3"/>
  </w:num>
  <w:num w:numId="10" w16cid:durableId="333800322">
    <w:abstractNumId w:val="2"/>
  </w:num>
  <w:num w:numId="11" w16cid:durableId="538131577">
    <w:abstractNumId w:val="1"/>
  </w:num>
  <w:num w:numId="12" w16cid:durableId="1781682118">
    <w:abstractNumId w:val="0"/>
  </w:num>
  <w:num w:numId="13" w16cid:durableId="12244099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7623432">
    <w:abstractNumId w:val="2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0080409">
    <w:abstractNumId w:val="15"/>
  </w:num>
  <w:num w:numId="16" w16cid:durableId="1535001987">
    <w:abstractNumId w:val="28"/>
  </w:num>
  <w:num w:numId="17" w16cid:durableId="1005324630">
    <w:abstractNumId w:val="39"/>
  </w:num>
  <w:num w:numId="18" w16cid:durableId="1485121294">
    <w:abstractNumId w:val="27"/>
  </w:num>
  <w:num w:numId="19" w16cid:durableId="1114596323">
    <w:abstractNumId w:val="13"/>
  </w:num>
  <w:num w:numId="20" w16cid:durableId="1073894133">
    <w:abstractNumId w:val="21"/>
  </w:num>
  <w:num w:numId="21" w16cid:durableId="2006130251">
    <w:abstractNumId w:val="10"/>
  </w:num>
  <w:num w:numId="22" w16cid:durableId="1883590930">
    <w:abstractNumId w:val="38"/>
  </w:num>
  <w:num w:numId="23" w16cid:durableId="1893348280">
    <w:abstractNumId w:val="22"/>
  </w:num>
  <w:num w:numId="24" w16cid:durableId="1328704494">
    <w:abstractNumId w:val="33"/>
  </w:num>
  <w:num w:numId="25" w16cid:durableId="474840371">
    <w:abstractNumId w:val="12"/>
  </w:num>
  <w:num w:numId="26" w16cid:durableId="163512945">
    <w:abstractNumId w:val="26"/>
  </w:num>
  <w:num w:numId="27" w16cid:durableId="1835417895">
    <w:abstractNumId w:val="17"/>
  </w:num>
  <w:num w:numId="28" w16cid:durableId="1874419001">
    <w:abstractNumId w:val="16"/>
  </w:num>
  <w:num w:numId="29" w16cid:durableId="138688642">
    <w:abstractNumId w:val="25"/>
  </w:num>
  <w:num w:numId="30" w16cid:durableId="487096176">
    <w:abstractNumId w:val="34"/>
  </w:num>
  <w:num w:numId="31" w16cid:durableId="1426614768">
    <w:abstractNumId w:val="18"/>
  </w:num>
  <w:num w:numId="32" w16cid:durableId="812527359">
    <w:abstractNumId w:val="23"/>
  </w:num>
  <w:num w:numId="33" w16cid:durableId="1719089868">
    <w:abstractNumId w:val="11"/>
  </w:num>
  <w:num w:numId="34" w16cid:durableId="1970240112">
    <w:abstractNumId w:val="24"/>
  </w:num>
  <w:num w:numId="35" w16cid:durableId="655450603">
    <w:abstractNumId w:val="14"/>
  </w:num>
  <w:num w:numId="36" w16cid:durableId="773596596">
    <w:abstractNumId w:val="37"/>
  </w:num>
  <w:num w:numId="37" w16cid:durableId="1421945202">
    <w:abstractNumId w:val="35"/>
  </w:num>
  <w:num w:numId="38" w16cid:durableId="1914922738">
    <w:abstractNumId w:val="19"/>
  </w:num>
  <w:num w:numId="39" w16cid:durableId="678389491">
    <w:abstractNumId w:val="32"/>
  </w:num>
  <w:num w:numId="40" w16cid:durableId="296517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2000338">
    <w:abstractNumId w:val="14"/>
  </w:num>
  <w:num w:numId="42" w16cid:durableId="7224854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3" w16cid:durableId="1814249187">
    <w:abstractNumId w:val="36"/>
  </w:num>
  <w:num w:numId="44" w16cid:durableId="2036423482">
    <w:abstractNumId w:val="20"/>
  </w:num>
  <w:num w:numId="45" w16cid:durableId="415134679">
    <w:abstractNumId w:val="31"/>
  </w:num>
  <w:num w:numId="46" w16cid:durableId="1297645072">
    <w:abstractNumId w:val="29"/>
  </w:num>
  <w:num w:numId="47" w16cid:durableId="149446394">
    <w:abstractNumId w:val="30"/>
  </w:num>
  <w:num w:numId="48" w16cid:durableId="280381414">
    <w:abstractNumId w:val="15"/>
  </w:num>
  <w:num w:numId="49" w16cid:durableId="1769735598">
    <w:abstractNumId w:val="28"/>
  </w:num>
  <w:num w:numId="50" w16cid:durableId="605698038">
    <w:abstractNumId w:val="39"/>
  </w:num>
  <w:num w:numId="51" w16cid:durableId="1204947584">
    <w:abstractNumId w:val="27"/>
  </w:num>
  <w:num w:numId="52" w16cid:durableId="1569262877">
    <w:abstractNumId w:val="13"/>
  </w:num>
  <w:num w:numId="53" w16cid:durableId="2008090589">
    <w:abstractNumId w:val="21"/>
  </w:num>
  <w:num w:numId="54" w16cid:durableId="1143159183">
    <w:abstractNumId w:val="10"/>
  </w:num>
  <w:num w:numId="55" w16cid:durableId="229731690">
    <w:abstractNumId w:val="38"/>
  </w:num>
  <w:num w:numId="56" w16cid:durableId="1081217000">
    <w:abstractNumId w:val="22"/>
  </w:num>
  <w:num w:numId="57" w16cid:durableId="330261547">
    <w:abstractNumId w:val="33"/>
  </w:num>
  <w:num w:numId="58" w16cid:durableId="1313177278">
    <w:abstractNumId w:val="12"/>
  </w:num>
  <w:num w:numId="59" w16cid:durableId="552596">
    <w:abstractNumId w:val="26"/>
  </w:num>
  <w:num w:numId="60" w16cid:durableId="1058749866">
    <w:abstractNumId w:val="17"/>
  </w:num>
  <w:num w:numId="61" w16cid:durableId="1463235399">
    <w:abstractNumId w:val="16"/>
  </w:num>
  <w:num w:numId="62" w16cid:durableId="1360427902">
    <w:abstractNumId w:val="25"/>
  </w:num>
  <w:num w:numId="63" w16cid:durableId="679818275">
    <w:abstractNumId w:val="34"/>
  </w:num>
  <w:num w:numId="64" w16cid:durableId="144127650">
    <w:abstractNumId w:val="18"/>
  </w:num>
  <w:num w:numId="65" w16cid:durableId="1759674108">
    <w:abstractNumId w:val="23"/>
  </w:num>
  <w:num w:numId="66" w16cid:durableId="381445726">
    <w:abstractNumId w:val="11"/>
  </w:num>
  <w:num w:numId="67" w16cid:durableId="1725791659">
    <w:abstractNumId w:val="24"/>
  </w:num>
  <w:num w:numId="68" w16cid:durableId="1009527761">
    <w:abstractNumId w:val="14"/>
  </w:num>
  <w:num w:numId="69" w16cid:durableId="296759548">
    <w:abstractNumId w:val="37"/>
  </w:num>
  <w:num w:numId="70" w16cid:durableId="1154374259">
    <w:abstractNumId w:val="35"/>
  </w:num>
  <w:num w:numId="71" w16cid:durableId="304428832">
    <w:abstractNumId w:val="19"/>
  </w:num>
  <w:num w:numId="72" w16cid:durableId="2086293688">
    <w:abstractNumId w:val="32"/>
  </w:num>
  <w:num w:numId="73" w16cid:durableId="1529366543">
    <w:abstractNumId w:val="9"/>
  </w:num>
  <w:num w:numId="74" w16cid:durableId="432943803">
    <w:abstractNumId w:val="7"/>
  </w:num>
  <w:num w:numId="75" w16cid:durableId="1734355863">
    <w:abstractNumId w:val="6"/>
  </w:num>
  <w:num w:numId="76" w16cid:durableId="2106459313">
    <w:abstractNumId w:val="5"/>
  </w:num>
  <w:num w:numId="77" w16cid:durableId="4214066">
    <w:abstractNumId w:val="4"/>
  </w:num>
  <w:num w:numId="78" w16cid:durableId="873998867">
    <w:abstractNumId w:val="8"/>
  </w:num>
  <w:num w:numId="79" w16cid:durableId="228852175">
    <w:abstractNumId w:val="3"/>
  </w:num>
  <w:num w:numId="80" w16cid:durableId="1828864502">
    <w:abstractNumId w:val="2"/>
  </w:num>
  <w:num w:numId="81" w16cid:durableId="1760521703">
    <w:abstractNumId w:val="1"/>
  </w:num>
  <w:num w:numId="82" w16cid:durableId="1055007810">
    <w:abstractNumId w:val="0"/>
  </w:num>
  <w:num w:numId="83" w16cid:durableId="479190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9771075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70110963">
    <w:abstractNumId w:val="1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attachedTemplate r:id="rId1"/>
  <w:documentProtection w:edit="trackedChanges" w:enforcement="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efehlsHistorie_Befehl01" w:val="Metadaten aktualisieren [2681ms] [Main] [eNormCommandLocal::MetadatenCommands.MetadatenAktualisieren_Silent]"/>
    <w:docVar w:name="BefehlsHistorie_BefehlsZähler" w:val="1"/>
    <w:docVar w:name="BefehlsHistorie_DocumentOpen" w:val="5478,4373ms"/>
    <w:docVar w:name="BefehlsKontext_SpeichernOOXML_Maximum" w:val="170ms"/>
    <w:docVar w:name="BefehlsKontext_SpeichernOOXML_Schnitt" w:val="170ms"/>
    <w:docVar w:name="BMJ" w:val="True"/>
    <w:docVar w:name="CUSTOMER" w:val="8"/>
    <w:docVar w:name="DQCDateTime" w:val="05.12.2019 09:45:03"/>
    <w:docVar w:name="DQCHighlighting" w:val="100"/>
    <w:docVar w:name="DQCPart_Begruendung" w:val="0"/>
    <w:docVar w:name="DQCPart_Dokument" w:val="0"/>
    <w:docVar w:name="DQCPart_Regelungsteil" w:val="0"/>
    <w:docVar w:name="DQCPart_Vorblatt" w:val="0"/>
    <w:docVar w:name="DQCResult_Aenderungsbefehl" w:val="0;0"/>
    <w:docVar w:name="DQCResult_Binnenverweise" w:val="0;0"/>
    <w:docVar w:name="DQCResult_Citations" w:val="0;0"/>
    <w:docVar w:name="DQCResult_EinzelneRegelungsteile" w:val="1;0"/>
    <w:docVar w:name="DQCResult_EmbeddedObjects" w:val="0;0"/>
    <w:docVar w:name="DQCResult_Gliederung" w:val="0;0"/>
    <w:docVar w:name="DQCResult_Marker" w:val="0;0"/>
    <w:docVar w:name="DQCResult_Metadata" w:val="0;0"/>
    <w:docVar w:name="DQCResult_ModifiedCharFormat" w:val="0;0"/>
    <w:docVar w:name="DQCResult_ModifiedMargins" w:val="0;0"/>
    <w:docVar w:name="DQCResult_ModifiedNumbering" w:val="0;0"/>
    <w:docVar w:name="DQCResult_StructureCheck" w:val="0;0"/>
    <w:docVar w:name="DQCResult_SuperfluousWhitespace" w:val="0;0"/>
    <w:docVar w:name="DQCResult_TermsAndDiction" w:val="0;0"/>
    <w:docVar w:name="DQCResult_Verweise" w:val="0;0"/>
    <w:docVar w:name="DQCWithWarnings" w:val="1"/>
    <w:docVar w:name="LW_DocType" w:val="AENDER"/>
    <w:docVar w:name="LWCons_Langue" w:val="DE"/>
  </w:docVars>
  <w:rsids>
    <w:rsidRoot w:val="003657BF"/>
    <w:rsid w:val="00005DC9"/>
    <w:rsid w:val="00005EAE"/>
    <w:rsid w:val="00006AD8"/>
    <w:rsid w:val="00010C07"/>
    <w:rsid w:val="00011CC8"/>
    <w:rsid w:val="00012DB4"/>
    <w:rsid w:val="0001409E"/>
    <w:rsid w:val="00015CF0"/>
    <w:rsid w:val="000236DB"/>
    <w:rsid w:val="00024AC6"/>
    <w:rsid w:val="00025D42"/>
    <w:rsid w:val="000275A7"/>
    <w:rsid w:val="000309C1"/>
    <w:rsid w:val="000339CE"/>
    <w:rsid w:val="000341E6"/>
    <w:rsid w:val="00034E83"/>
    <w:rsid w:val="00036721"/>
    <w:rsid w:val="000369AA"/>
    <w:rsid w:val="00036D55"/>
    <w:rsid w:val="00040221"/>
    <w:rsid w:val="00040CB1"/>
    <w:rsid w:val="0004719D"/>
    <w:rsid w:val="00047E38"/>
    <w:rsid w:val="00047FC4"/>
    <w:rsid w:val="00050074"/>
    <w:rsid w:val="000512B5"/>
    <w:rsid w:val="000545DA"/>
    <w:rsid w:val="000559A6"/>
    <w:rsid w:val="00057C72"/>
    <w:rsid w:val="00060151"/>
    <w:rsid w:val="00063293"/>
    <w:rsid w:val="00063CBE"/>
    <w:rsid w:val="00065442"/>
    <w:rsid w:val="0006573B"/>
    <w:rsid w:val="00066D24"/>
    <w:rsid w:val="00066F60"/>
    <w:rsid w:val="000671EF"/>
    <w:rsid w:val="000678A6"/>
    <w:rsid w:val="000678CF"/>
    <w:rsid w:val="00070300"/>
    <w:rsid w:val="00071D0C"/>
    <w:rsid w:val="0007205E"/>
    <w:rsid w:val="0007272A"/>
    <w:rsid w:val="00072FAC"/>
    <w:rsid w:val="00073134"/>
    <w:rsid w:val="0007343B"/>
    <w:rsid w:val="00074820"/>
    <w:rsid w:val="00075A3F"/>
    <w:rsid w:val="00075C5A"/>
    <w:rsid w:val="0007662E"/>
    <w:rsid w:val="00077F8C"/>
    <w:rsid w:val="00081107"/>
    <w:rsid w:val="00081CE8"/>
    <w:rsid w:val="00081E70"/>
    <w:rsid w:val="000836B7"/>
    <w:rsid w:val="0008530E"/>
    <w:rsid w:val="000865A0"/>
    <w:rsid w:val="00087BDB"/>
    <w:rsid w:val="00090EC8"/>
    <w:rsid w:val="00091BF8"/>
    <w:rsid w:val="00094E84"/>
    <w:rsid w:val="00095684"/>
    <w:rsid w:val="00095D95"/>
    <w:rsid w:val="00095EE9"/>
    <w:rsid w:val="000963A0"/>
    <w:rsid w:val="00097C53"/>
    <w:rsid w:val="000A01DC"/>
    <w:rsid w:val="000A0383"/>
    <w:rsid w:val="000A13BB"/>
    <w:rsid w:val="000A2FA4"/>
    <w:rsid w:val="000A49B8"/>
    <w:rsid w:val="000A6108"/>
    <w:rsid w:val="000A67B7"/>
    <w:rsid w:val="000A6CA1"/>
    <w:rsid w:val="000B00C6"/>
    <w:rsid w:val="000B235E"/>
    <w:rsid w:val="000B496E"/>
    <w:rsid w:val="000B52AD"/>
    <w:rsid w:val="000C0954"/>
    <w:rsid w:val="000C32E3"/>
    <w:rsid w:val="000C3695"/>
    <w:rsid w:val="000C37BE"/>
    <w:rsid w:val="000C53EA"/>
    <w:rsid w:val="000C5A3C"/>
    <w:rsid w:val="000C66BD"/>
    <w:rsid w:val="000C6711"/>
    <w:rsid w:val="000C790F"/>
    <w:rsid w:val="000D2B8F"/>
    <w:rsid w:val="000D55A6"/>
    <w:rsid w:val="000D6995"/>
    <w:rsid w:val="000D79FF"/>
    <w:rsid w:val="000D7AC5"/>
    <w:rsid w:val="000D7C29"/>
    <w:rsid w:val="000E034D"/>
    <w:rsid w:val="000E1971"/>
    <w:rsid w:val="000E26C9"/>
    <w:rsid w:val="000E2836"/>
    <w:rsid w:val="000E2B4A"/>
    <w:rsid w:val="000E353C"/>
    <w:rsid w:val="000E3B85"/>
    <w:rsid w:val="000E60C8"/>
    <w:rsid w:val="000E6512"/>
    <w:rsid w:val="000E6E04"/>
    <w:rsid w:val="000E7734"/>
    <w:rsid w:val="000F0DF8"/>
    <w:rsid w:val="000F0F28"/>
    <w:rsid w:val="000F1BB1"/>
    <w:rsid w:val="000F286C"/>
    <w:rsid w:val="000F3B06"/>
    <w:rsid w:val="000F527B"/>
    <w:rsid w:val="000F75C8"/>
    <w:rsid w:val="000F7D1E"/>
    <w:rsid w:val="0010043B"/>
    <w:rsid w:val="00100D84"/>
    <w:rsid w:val="0010228B"/>
    <w:rsid w:val="00102440"/>
    <w:rsid w:val="001047CB"/>
    <w:rsid w:val="00104F9A"/>
    <w:rsid w:val="00105064"/>
    <w:rsid w:val="00105B4D"/>
    <w:rsid w:val="0011146C"/>
    <w:rsid w:val="001132F4"/>
    <w:rsid w:val="001146CA"/>
    <w:rsid w:val="00120808"/>
    <w:rsid w:val="00121CC8"/>
    <w:rsid w:val="00122DD8"/>
    <w:rsid w:val="00123EF9"/>
    <w:rsid w:val="0012624F"/>
    <w:rsid w:val="001264CA"/>
    <w:rsid w:val="001270D6"/>
    <w:rsid w:val="001323FD"/>
    <w:rsid w:val="00133821"/>
    <w:rsid w:val="00134C6B"/>
    <w:rsid w:val="00134D10"/>
    <w:rsid w:val="00135FD4"/>
    <w:rsid w:val="00137BD7"/>
    <w:rsid w:val="00141584"/>
    <w:rsid w:val="0014256F"/>
    <w:rsid w:val="00142736"/>
    <w:rsid w:val="00143614"/>
    <w:rsid w:val="001440A4"/>
    <w:rsid w:val="00144EBF"/>
    <w:rsid w:val="00146791"/>
    <w:rsid w:val="0014798D"/>
    <w:rsid w:val="00147B6D"/>
    <w:rsid w:val="00150AA0"/>
    <w:rsid w:val="0015193A"/>
    <w:rsid w:val="00151E07"/>
    <w:rsid w:val="00152853"/>
    <w:rsid w:val="00155390"/>
    <w:rsid w:val="001554C5"/>
    <w:rsid w:val="00155AFD"/>
    <w:rsid w:val="00155F74"/>
    <w:rsid w:val="001570E7"/>
    <w:rsid w:val="00157DBD"/>
    <w:rsid w:val="00161CAB"/>
    <w:rsid w:val="001639A8"/>
    <w:rsid w:val="00164244"/>
    <w:rsid w:val="001657D7"/>
    <w:rsid w:val="00166A69"/>
    <w:rsid w:val="00171C21"/>
    <w:rsid w:val="0017210A"/>
    <w:rsid w:val="001747BD"/>
    <w:rsid w:val="00174F29"/>
    <w:rsid w:val="001760F4"/>
    <w:rsid w:val="00176319"/>
    <w:rsid w:val="001802D3"/>
    <w:rsid w:val="00181316"/>
    <w:rsid w:val="00182745"/>
    <w:rsid w:val="00183DB6"/>
    <w:rsid w:val="00185092"/>
    <w:rsid w:val="00185880"/>
    <w:rsid w:val="00190762"/>
    <w:rsid w:val="00190C81"/>
    <w:rsid w:val="00191C46"/>
    <w:rsid w:val="00195634"/>
    <w:rsid w:val="00197137"/>
    <w:rsid w:val="00197893"/>
    <w:rsid w:val="001A0482"/>
    <w:rsid w:val="001A1A58"/>
    <w:rsid w:val="001A30C5"/>
    <w:rsid w:val="001A5C95"/>
    <w:rsid w:val="001B01C0"/>
    <w:rsid w:val="001B1798"/>
    <w:rsid w:val="001B39AB"/>
    <w:rsid w:val="001B4ECC"/>
    <w:rsid w:val="001B4F9A"/>
    <w:rsid w:val="001B545A"/>
    <w:rsid w:val="001B5F02"/>
    <w:rsid w:val="001C0059"/>
    <w:rsid w:val="001C1676"/>
    <w:rsid w:val="001C2763"/>
    <w:rsid w:val="001C2877"/>
    <w:rsid w:val="001C2901"/>
    <w:rsid w:val="001C29CA"/>
    <w:rsid w:val="001C2C34"/>
    <w:rsid w:val="001C38C2"/>
    <w:rsid w:val="001C3E93"/>
    <w:rsid w:val="001C40BF"/>
    <w:rsid w:val="001C464B"/>
    <w:rsid w:val="001D15EA"/>
    <w:rsid w:val="001D1792"/>
    <w:rsid w:val="001D5A7C"/>
    <w:rsid w:val="001D7EC6"/>
    <w:rsid w:val="001E03A1"/>
    <w:rsid w:val="001E29B9"/>
    <w:rsid w:val="001E3085"/>
    <w:rsid w:val="001E54A7"/>
    <w:rsid w:val="001E5752"/>
    <w:rsid w:val="001E60A4"/>
    <w:rsid w:val="001E6E9F"/>
    <w:rsid w:val="001F11D6"/>
    <w:rsid w:val="001F2638"/>
    <w:rsid w:val="001F31A5"/>
    <w:rsid w:val="001F353E"/>
    <w:rsid w:val="001F559F"/>
    <w:rsid w:val="001F5C4B"/>
    <w:rsid w:val="00200244"/>
    <w:rsid w:val="00203121"/>
    <w:rsid w:val="002034CA"/>
    <w:rsid w:val="0020470D"/>
    <w:rsid w:val="002100E4"/>
    <w:rsid w:val="00211006"/>
    <w:rsid w:val="00211C47"/>
    <w:rsid w:val="0021244F"/>
    <w:rsid w:val="00212780"/>
    <w:rsid w:val="00213181"/>
    <w:rsid w:val="002140C7"/>
    <w:rsid w:val="00215B20"/>
    <w:rsid w:val="00215BF1"/>
    <w:rsid w:val="002162B4"/>
    <w:rsid w:val="00221F60"/>
    <w:rsid w:val="00226062"/>
    <w:rsid w:val="00227EDA"/>
    <w:rsid w:val="00230026"/>
    <w:rsid w:val="0023260E"/>
    <w:rsid w:val="00233BC6"/>
    <w:rsid w:val="00234D50"/>
    <w:rsid w:val="00235334"/>
    <w:rsid w:val="00235843"/>
    <w:rsid w:val="0023644E"/>
    <w:rsid w:val="00236C80"/>
    <w:rsid w:val="002412D2"/>
    <w:rsid w:val="0024172A"/>
    <w:rsid w:val="002428A3"/>
    <w:rsid w:val="0024548E"/>
    <w:rsid w:val="002461D8"/>
    <w:rsid w:val="0024699E"/>
    <w:rsid w:val="00246B98"/>
    <w:rsid w:val="00247D54"/>
    <w:rsid w:val="00251E5F"/>
    <w:rsid w:val="00252905"/>
    <w:rsid w:val="0025359C"/>
    <w:rsid w:val="00253977"/>
    <w:rsid w:val="0025417D"/>
    <w:rsid w:val="00260024"/>
    <w:rsid w:val="00260816"/>
    <w:rsid w:val="002610BF"/>
    <w:rsid w:val="002628B3"/>
    <w:rsid w:val="00263394"/>
    <w:rsid w:val="00266B01"/>
    <w:rsid w:val="00270192"/>
    <w:rsid w:val="00270888"/>
    <w:rsid w:val="00273C99"/>
    <w:rsid w:val="00277251"/>
    <w:rsid w:val="00277DDD"/>
    <w:rsid w:val="00281750"/>
    <w:rsid w:val="00282F73"/>
    <w:rsid w:val="00285E38"/>
    <w:rsid w:val="00290EAA"/>
    <w:rsid w:val="00291778"/>
    <w:rsid w:val="00291CCF"/>
    <w:rsid w:val="00293E5D"/>
    <w:rsid w:val="00296D28"/>
    <w:rsid w:val="00297CD1"/>
    <w:rsid w:val="002A05A5"/>
    <w:rsid w:val="002A1337"/>
    <w:rsid w:val="002A4F2A"/>
    <w:rsid w:val="002A64D3"/>
    <w:rsid w:val="002A7CF3"/>
    <w:rsid w:val="002B0AEC"/>
    <w:rsid w:val="002B1E3A"/>
    <w:rsid w:val="002B3063"/>
    <w:rsid w:val="002B349C"/>
    <w:rsid w:val="002B37BD"/>
    <w:rsid w:val="002C0FF0"/>
    <w:rsid w:val="002C5D44"/>
    <w:rsid w:val="002C785B"/>
    <w:rsid w:val="002D0B6C"/>
    <w:rsid w:val="002D1C58"/>
    <w:rsid w:val="002D1FED"/>
    <w:rsid w:val="002D2764"/>
    <w:rsid w:val="002D3BB0"/>
    <w:rsid w:val="002D4A97"/>
    <w:rsid w:val="002D6529"/>
    <w:rsid w:val="002D6CD3"/>
    <w:rsid w:val="002E29F7"/>
    <w:rsid w:val="002E66C5"/>
    <w:rsid w:val="002F1833"/>
    <w:rsid w:val="002F3432"/>
    <w:rsid w:val="002F422E"/>
    <w:rsid w:val="002F496D"/>
    <w:rsid w:val="002F5A91"/>
    <w:rsid w:val="002F5B21"/>
    <w:rsid w:val="002F7188"/>
    <w:rsid w:val="002F726A"/>
    <w:rsid w:val="002F7988"/>
    <w:rsid w:val="00301CF5"/>
    <w:rsid w:val="00303CB2"/>
    <w:rsid w:val="00304376"/>
    <w:rsid w:val="0030459B"/>
    <w:rsid w:val="00305417"/>
    <w:rsid w:val="00305EF2"/>
    <w:rsid w:val="00307055"/>
    <w:rsid w:val="00313C11"/>
    <w:rsid w:val="00313CDF"/>
    <w:rsid w:val="00313FF3"/>
    <w:rsid w:val="00315FE7"/>
    <w:rsid w:val="00316432"/>
    <w:rsid w:val="0031658C"/>
    <w:rsid w:val="00320FFA"/>
    <w:rsid w:val="0032173B"/>
    <w:rsid w:val="00323A5C"/>
    <w:rsid w:val="00326593"/>
    <w:rsid w:val="003268D8"/>
    <w:rsid w:val="00326C39"/>
    <w:rsid w:val="00332FD3"/>
    <w:rsid w:val="00335C26"/>
    <w:rsid w:val="0034018F"/>
    <w:rsid w:val="0034105E"/>
    <w:rsid w:val="00341ADF"/>
    <w:rsid w:val="00343502"/>
    <w:rsid w:val="00343E25"/>
    <w:rsid w:val="00344C8D"/>
    <w:rsid w:val="00346889"/>
    <w:rsid w:val="00346E3A"/>
    <w:rsid w:val="00346FE0"/>
    <w:rsid w:val="00352B1F"/>
    <w:rsid w:val="00352D2A"/>
    <w:rsid w:val="00355612"/>
    <w:rsid w:val="00355B32"/>
    <w:rsid w:val="00355F40"/>
    <w:rsid w:val="003614B2"/>
    <w:rsid w:val="003629D4"/>
    <w:rsid w:val="00363DAC"/>
    <w:rsid w:val="0036463B"/>
    <w:rsid w:val="00364837"/>
    <w:rsid w:val="003657BF"/>
    <w:rsid w:val="003658DF"/>
    <w:rsid w:val="00365B48"/>
    <w:rsid w:val="00367760"/>
    <w:rsid w:val="003743F8"/>
    <w:rsid w:val="00374708"/>
    <w:rsid w:val="00376639"/>
    <w:rsid w:val="00380EB5"/>
    <w:rsid w:val="00382065"/>
    <w:rsid w:val="00382765"/>
    <w:rsid w:val="00383DE3"/>
    <w:rsid w:val="00386240"/>
    <w:rsid w:val="0038641C"/>
    <w:rsid w:val="00390110"/>
    <w:rsid w:val="00391FB2"/>
    <w:rsid w:val="00395296"/>
    <w:rsid w:val="0039691D"/>
    <w:rsid w:val="00397301"/>
    <w:rsid w:val="0039748C"/>
    <w:rsid w:val="00397674"/>
    <w:rsid w:val="003A164E"/>
    <w:rsid w:val="003A2364"/>
    <w:rsid w:val="003A2B5E"/>
    <w:rsid w:val="003A3691"/>
    <w:rsid w:val="003A3D04"/>
    <w:rsid w:val="003A4CDA"/>
    <w:rsid w:val="003A6445"/>
    <w:rsid w:val="003B150E"/>
    <w:rsid w:val="003B15E8"/>
    <w:rsid w:val="003B3DA4"/>
    <w:rsid w:val="003B4E36"/>
    <w:rsid w:val="003B67D7"/>
    <w:rsid w:val="003C10AD"/>
    <w:rsid w:val="003C21C4"/>
    <w:rsid w:val="003C4B3B"/>
    <w:rsid w:val="003C5720"/>
    <w:rsid w:val="003C59C5"/>
    <w:rsid w:val="003C6177"/>
    <w:rsid w:val="003C65B3"/>
    <w:rsid w:val="003C7135"/>
    <w:rsid w:val="003C7F40"/>
    <w:rsid w:val="003D0C38"/>
    <w:rsid w:val="003D2981"/>
    <w:rsid w:val="003D41F5"/>
    <w:rsid w:val="003D4453"/>
    <w:rsid w:val="003D7770"/>
    <w:rsid w:val="003E0EF9"/>
    <w:rsid w:val="003E20AF"/>
    <w:rsid w:val="003E26D2"/>
    <w:rsid w:val="003E3FD9"/>
    <w:rsid w:val="003E43DB"/>
    <w:rsid w:val="003E4F81"/>
    <w:rsid w:val="003E542F"/>
    <w:rsid w:val="003E6B6D"/>
    <w:rsid w:val="003F0A32"/>
    <w:rsid w:val="003F3FDA"/>
    <w:rsid w:val="003F4BBF"/>
    <w:rsid w:val="00400758"/>
    <w:rsid w:val="0040184F"/>
    <w:rsid w:val="00401877"/>
    <w:rsid w:val="00401BDC"/>
    <w:rsid w:val="00401F46"/>
    <w:rsid w:val="0040260C"/>
    <w:rsid w:val="00402F18"/>
    <w:rsid w:val="00403EF8"/>
    <w:rsid w:val="0040485A"/>
    <w:rsid w:val="00404D59"/>
    <w:rsid w:val="0040554B"/>
    <w:rsid w:val="004055AB"/>
    <w:rsid w:val="004077D0"/>
    <w:rsid w:val="004119A3"/>
    <w:rsid w:val="004160A4"/>
    <w:rsid w:val="004172F5"/>
    <w:rsid w:val="004229C8"/>
    <w:rsid w:val="00423990"/>
    <w:rsid w:val="00423A7E"/>
    <w:rsid w:val="00423D6D"/>
    <w:rsid w:val="004242E0"/>
    <w:rsid w:val="00425E4E"/>
    <w:rsid w:val="00427426"/>
    <w:rsid w:val="004278B4"/>
    <w:rsid w:val="0043080E"/>
    <w:rsid w:val="0043126B"/>
    <w:rsid w:val="004316C2"/>
    <w:rsid w:val="00431A22"/>
    <w:rsid w:val="00431C2C"/>
    <w:rsid w:val="00431C40"/>
    <w:rsid w:val="00431DDD"/>
    <w:rsid w:val="004325B0"/>
    <w:rsid w:val="00436099"/>
    <w:rsid w:val="00437B21"/>
    <w:rsid w:val="00437DAA"/>
    <w:rsid w:val="00442B5F"/>
    <w:rsid w:val="0045051A"/>
    <w:rsid w:val="00450668"/>
    <w:rsid w:val="004527C0"/>
    <w:rsid w:val="00453C95"/>
    <w:rsid w:val="00455E5A"/>
    <w:rsid w:val="00457204"/>
    <w:rsid w:val="00462131"/>
    <w:rsid w:val="00462E5D"/>
    <w:rsid w:val="00463351"/>
    <w:rsid w:val="00467727"/>
    <w:rsid w:val="00470267"/>
    <w:rsid w:val="004706B9"/>
    <w:rsid w:val="0047123C"/>
    <w:rsid w:val="00472765"/>
    <w:rsid w:val="0047320E"/>
    <w:rsid w:val="00474690"/>
    <w:rsid w:val="00474AB7"/>
    <w:rsid w:val="00475C23"/>
    <w:rsid w:val="004760EB"/>
    <w:rsid w:val="00476A84"/>
    <w:rsid w:val="00477683"/>
    <w:rsid w:val="00481B5A"/>
    <w:rsid w:val="0048398F"/>
    <w:rsid w:val="004845DA"/>
    <w:rsid w:val="00484F83"/>
    <w:rsid w:val="0048696D"/>
    <w:rsid w:val="00486E50"/>
    <w:rsid w:val="00487003"/>
    <w:rsid w:val="004871BC"/>
    <w:rsid w:val="004879FC"/>
    <w:rsid w:val="004935D4"/>
    <w:rsid w:val="004957A8"/>
    <w:rsid w:val="00497B01"/>
    <w:rsid w:val="004A0350"/>
    <w:rsid w:val="004A38CA"/>
    <w:rsid w:val="004A594D"/>
    <w:rsid w:val="004A608E"/>
    <w:rsid w:val="004A678D"/>
    <w:rsid w:val="004B2C7B"/>
    <w:rsid w:val="004B483E"/>
    <w:rsid w:val="004B4D2C"/>
    <w:rsid w:val="004B702F"/>
    <w:rsid w:val="004B7EE8"/>
    <w:rsid w:val="004C0C2A"/>
    <w:rsid w:val="004C0C7C"/>
    <w:rsid w:val="004C27DD"/>
    <w:rsid w:val="004C4B11"/>
    <w:rsid w:val="004C4E4F"/>
    <w:rsid w:val="004C5A56"/>
    <w:rsid w:val="004D0344"/>
    <w:rsid w:val="004D2DEA"/>
    <w:rsid w:val="004D39BC"/>
    <w:rsid w:val="004D5ABA"/>
    <w:rsid w:val="004D63AD"/>
    <w:rsid w:val="004E280B"/>
    <w:rsid w:val="004E2F10"/>
    <w:rsid w:val="004E4704"/>
    <w:rsid w:val="004E4A25"/>
    <w:rsid w:val="004E4DA3"/>
    <w:rsid w:val="004E76DC"/>
    <w:rsid w:val="004E7D9E"/>
    <w:rsid w:val="004F2D14"/>
    <w:rsid w:val="004F3665"/>
    <w:rsid w:val="004F3B27"/>
    <w:rsid w:val="004F3C83"/>
    <w:rsid w:val="004F41DD"/>
    <w:rsid w:val="004F4D4B"/>
    <w:rsid w:val="004F6518"/>
    <w:rsid w:val="00500334"/>
    <w:rsid w:val="005031F0"/>
    <w:rsid w:val="00503C3C"/>
    <w:rsid w:val="0050417A"/>
    <w:rsid w:val="00504D23"/>
    <w:rsid w:val="00505D8D"/>
    <w:rsid w:val="00506F58"/>
    <w:rsid w:val="005108A0"/>
    <w:rsid w:val="00511801"/>
    <w:rsid w:val="00516450"/>
    <w:rsid w:val="00517D67"/>
    <w:rsid w:val="00523101"/>
    <w:rsid w:val="00523DC8"/>
    <w:rsid w:val="00525B16"/>
    <w:rsid w:val="00530846"/>
    <w:rsid w:val="0053107C"/>
    <w:rsid w:val="00531C31"/>
    <w:rsid w:val="005322C9"/>
    <w:rsid w:val="005329E3"/>
    <w:rsid w:val="00532C78"/>
    <w:rsid w:val="00534732"/>
    <w:rsid w:val="00542489"/>
    <w:rsid w:val="005427A5"/>
    <w:rsid w:val="005428FD"/>
    <w:rsid w:val="00543E8F"/>
    <w:rsid w:val="00544753"/>
    <w:rsid w:val="00545629"/>
    <w:rsid w:val="00545EFA"/>
    <w:rsid w:val="00546991"/>
    <w:rsid w:val="0055039D"/>
    <w:rsid w:val="005513E8"/>
    <w:rsid w:val="00551FD8"/>
    <w:rsid w:val="005520A0"/>
    <w:rsid w:val="0055283F"/>
    <w:rsid w:val="00553222"/>
    <w:rsid w:val="0055367B"/>
    <w:rsid w:val="005538FA"/>
    <w:rsid w:val="00553928"/>
    <w:rsid w:val="00554403"/>
    <w:rsid w:val="0055596D"/>
    <w:rsid w:val="00556527"/>
    <w:rsid w:val="00564401"/>
    <w:rsid w:val="00564604"/>
    <w:rsid w:val="00565CD9"/>
    <w:rsid w:val="005700A6"/>
    <w:rsid w:val="005709ED"/>
    <w:rsid w:val="005723C8"/>
    <w:rsid w:val="0057471E"/>
    <w:rsid w:val="00576A4D"/>
    <w:rsid w:val="00577DB9"/>
    <w:rsid w:val="00581752"/>
    <w:rsid w:val="005831E4"/>
    <w:rsid w:val="0058637A"/>
    <w:rsid w:val="0058643E"/>
    <w:rsid w:val="00592A19"/>
    <w:rsid w:val="00592C40"/>
    <w:rsid w:val="00593215"/>
    <w:rsid w:val="00593EA2"/>
    <w:rsid w:val="00595070"/>
    <w:rsid w:val="0059539A"/>
    <w:rsid w:val="00595408"/>
    <w:rsid w:val="00595E58"/>
    <w:rsid w:val="00596937"/>
    <w:rsid w:val="005A2E8D"/>
    <w:rsid w:val="005A40C2"/>
    <w:rsid w:val="005A41DE"/>
    <w:rsid w:val="005B1B65"/>
    <w:rsid w:val="005B1B71"/>
    <w:rsid w:val="005B25E1"/>
    <w:rsid w:val="005B5347"/>
    <w:rsid w:val="005B55EC"/>
    <w:rsid w:val="005B6342"/>
    <w:rsid w:val="005B7CDA"/>
    <w:rsid w:val="005C02D5"/>
    <w:rsid w:val="005C18F8"/>
    <w:rsid w:val="005C2112"/>
    <w:rsid w:val="005C44AE"/>
    <w:rsid w:val="005C60F6"/>
    <w:rsid w:val="005C675E"/>
    <w:rsid w:val="005C6EDA"/>
    <w:rsid w:val="005C730F"/>
    <w:rsid w:val="005C74C1"/>
    <w:rsid w:val="005C7F19"/>
    <w:rsid w:val="005D01B1"/>
    <w:rsid w:val="005D0CDE"/>
    <w:rsid w:val="005D13AC"/>
    <w:rsid w:val="005D5108"/>
    <w:rsid w:val="005D6E0D"/>
    <w:rsid w:val="005E3A13"/>
    <w:rsid w:val="005E4EAA"/>
    <w:rsid w:val="005E510C"/>
    <w:rsid w:val="005E5809"/>
    <w:rsid w:val="005E5DEA"/>
    <w:rsid w:val="005E6242"/>
    <w:rsid w:val="005E6FFC"/>
    <w:rsid w:val="005E7A11"/>
    <w:rsid w:val="005F0C62"/>
    <w:rsid w:val="005F3B5E"/>
    <w:rsid w:val="005F6DF7"/>
    <w:rsid w:val="005F74B4"/>
    <w:rsid w:val="006002E0"/>
    <w:rsid w:val="00600933"/>
    <w:rsid w:val="00600C39"/>
    <w:rsid w:val="00601E9E"/>
    <w:rsid w:val="00615177"/>
    <w:rsid w:val="00616825"/>
    <w:rsid w:val="00620706"/>
    <w:rsid w:val="006208F7"/>
    <w:rsid w:val="00621ECC"/>
    <w:rsid w:val="00622CA6"/>
    <w:rsid w:val="00625517"/>
    <w:rsid w:val="006257CC"/>
    <w:rsid w:val="00625EF4"/>
    <w:rsid w:val="00627615"/>
    <w:rsid w:val="00630E2C"/>
    <w:rsid w:val="00632017"/>
    <w:rsid w:val="00633498"/>
    <w:rsid w:val="00634464"/>
    <w:rsid w:val="006358DC"/>
    <w:rsid w:val="00640937"/>
    <w:rsid w:val="0064369E"/>
    <w:rsid w:val="00643A7C"/>
    <w:rsid w:val="00643C14"/>
    <w:rsid w:val="006455E7"/>
    <w:rsid w:val="006464CF"/>
    <w:rsid w:val="00651315"/>
    <w:rsid w:val="00651CBF"/>
    <w:rsid w:val="00651D60"/>
    <w:rsid w:val="006524B6"/>
    <w:rsid w:val="0065361F"/>
    <w:rsid w:val="00653737"/>
    <w:rsid w:val="00654006"/>
    <w:rsid w:val="00654118"/>
    <w:rsid w:val="006558DE"/>
    <w:rsid w:val="006603B5"/>
    <w:rsid w:val="00660CEB"/>
    <w:rsid w:val="00660D90"/>
    <w:rsid w:val="006618FB"/>
    <w:rsid w:val="00664042"/>
    <w:rsid w:val="00664609"/>
    <w:rsid w:val="00665A48"/>
    <w:rsid w:val="006670D2"/>
    <w:rsid w:val="0066785D"/>
    <w:rsid w:val="00667A3D"/>
    <w:rsid w:val="006705B1"/>
    <w:rsid w:val="00671237"/>
    <w:rsid w:val="006713EF"/>
    <w:rsid w:val="0067222C"/>
    <w:rsid w:val="00672661"/>
    <w:rsid w:val="00672E66"/>
    <w:rsid w:val="006764F1"/>
    <w:rsid w:val="006769ED"/>
    <w:rsid w:val="00677759"/>
    <w:rsid w:val="00680D72"/>
    <w:rsid w:val="0068219D"/>
    <w:rsid w:val="00682D8D"/>
    <w:rsid w:val="00683663"/>
    <w:rsid w:val="006858C9"/>
    <w:rsid w:val="0068616D"/>
    <w:rsid w:val="006868A8"/>
    <w:rsid w:val="00686AFD"/>
    <w:rsid w:val="00691C85"/>
    <w:rsid w:val="00695570"/>
    <w:rsid w:val="00696B46"/>
    <w:rsid w:val="006A0604"/>
    <w:rsid w:val="006A2A4F"/>
    <w:rsid w:val="006A2F59"/>
    <w:rsid w:val="006A3953"/>
    <w:rsid w:val="006A45AD"/>
    <w:rsid w:val="006A555F"/>
    <w:rsid w:val="006B07CA"/>
    <w:rsid w:val="006B15F7"/>
    <w:rsid w:val="006B494F"/>
    <w:rsid w:val="006B4F77"/>
    <w:rsid w:val="006B7B8C"/>
    <w:rsid w:val="006C0850"/>
    <w:rsid w:val="006C0E80"/>
    <w:rsid w:val="006C14DD"/>
    <w:rsid w:val="006C1B0D"/>
    <w:rsid w:val="006C3325"/>
    <w:rsid w:val="006C4086"/>
    <w:rsid w:val="006C58B7"/>
    <w:rsid w:val="006C58B8"/>
    <w:rsid w:val="006C5ECE"/>
    <w:rsid w:val="006C6F62"/>
    <w:rsid w:val="006C7F04"/>
    <w:rsid w:val="006D20F2"/>
    <w:rsid w:val="006D2DA3"/>
    <w:rsid w:val="006D4DD4"/>
    <w:rsid w:val="006D5E56"/>
    <w:rsid w:val="006E03AB"/>
    <w:rsid w:val="006E1765"/>
    <w:rsid w:val="006E58FE"/>
    <w:rsid w:val="006E5CD5"/>
    <w:rsid w:val="006E7B88"/>
    <w:rsid w:val="006F29BE"/>
    <w:rsid w:val="006F44C3"/>
    <w:rsid w:val="006F5AAC"/>
    <w:rsid w:val="006F7D7D"/>
    <w:rsid w:val="00701DC9"/>
    <w:rsid w:val="0070222F"/>
    <w:rsid w:val="007028BB"/>
    <w:rsid w:val="00703CAA"/>
    <w:rsid w:val="00705151"/>
    <w:rsid w:val="00705866"/>
    <w:rsid w:val="0070717F"/>
    <w:rsid w:val="007072E1"/>
    <w:rsid w:val="00707874"/>
    <w:rsid w:val="0071015E"/>
    <w:rsid w:val="007121B7"/>
    <w:rsid w:val="00712D8C"/>
    <w:rsid w:val="00720B16"/>
    <w:rsid w:val="00721A1B"/>
    <w:rsid w:val="00721EE3"/>
    <w:rsid w:val="00721F70"/>
    <w:rsid w:val="00722776"/>
    <w:rsid w:val="00722C5E"/>
    <w:rsid w:val="00723E5D"/>
    <w:rsid w:val="007252FC"/>
    <w:rsid w:val="00734E0C"/>
    <w:rsid w:val="00736490"/>
    <w:rsid w:val="00737371"/>
    <w:rsid w:val="00740178"/>
    <w:rsid w:val="007417A0"/>
    <w:rsid w:val="0074202F"/>
    <w:rsid w:val="0074217A"/>
    <w:rsid w:val="00743482"/>
    <w:rsid w:val="007449A9"/>
    <w:rsid w:val="00744DB9"/>
    <w:rsid w:val="00745D07"/>
    <w:rsid w:val="00746CE7"/>
    <w:rsid w:val="00746FDC"/>
    <w:rsid w:val="00747D9F"/>
    <w:rsid w:val="007514B8"/>
    <w:rsid w:val="00752078"/>
    <w:rsid w:val="0075282A"/>
    <w:rsid w:val="00753726"/>
    <w:rsid w:val="00755273"/>
    <w:rsid w:val="00755782"/>
    <w:rsid w:val="007557A6"/>
    <w:rsid w:val="00757DBB"/>
    <w:rsid w:val="00760EA9"/>
    <w:rsid w:val="00762F5A"/>
    <w:rsid w:val="00763B8A"/>
    <w:rsid w:val="00765D3E"/>
    <w:rsid w:val="007679CE"/>
    <w:rsid w:val="00767AA6"/>
    <w:rsid w:val="00767B6F"/>
    <w:rsid w:val="007712D8"/>
    <w:rsid w:val="007718CC"/>
    <w:rsid w:val="007729E9"/>
    <w:rsid w:val="00772F31"/>
    <w:rsid w:val="00772F65"/>
    <w:rsid w:val="00773C16"/>
    <w:rsid w:val="00774822"/>
    <w:rsid w:val="00776CD9"/>
    <w:rsid w:val="007801AA"/>
    <w:rsid w:val="007809C2"/>
    <w:rsid w:val="00780B62"/>
    <w:rsid w:val="007825B1"/>
    <w:rsid w:val="00782FB4"/>
    <w:rsid w:val="0078358E"/>
    <w:rsid w:val="007837DF"/>
    <w:rsid w:val="00785E94"/>
    <w:rsid w:val="0078692A"/>
    <w:rsid w:val="00787C04"/>
    <w:rsid w:val="007924FA"/>
    <w:rsid w:val="00793DC3"/>
    <w:rsid w:val="007940F1"/>
    <w:rsid w:val="0079595D"/>
    <w:rsid w:val="00796912"/>
    <w:rsid w:val="007971CD"/>
    <w:rsid w:val="00797621"/>
    <w:rsid w:val="007A156D"/>
    <w:rsid w:val="007A2AEE"/>
    <w:rsid w:val="007A4798"/>
    <w:rsid w:val="007A4AD2"/>
    <w:rsid w:val="007A769E"/>
    <w:rsid w:val="007B0967"/>
    <w:rsid w:val="007B7FBA"/>
    <w:rsid w:val="007C0CEF"/>
    <w:rsid w:val="007C0F32"/>
    <w:rsid w:val="007C1AFA"/>
    <w:rsid w:val="007C30C8"/>
    <w:rsid w:val="007C329D"/>
    <w:rsid w:val="007D1532"/>
    <w:rsid w:val="007D4AFD"/>
    <w:rsid w:val="007E24E4"/>
    <w:rsid w:val="007E2B04"/>
    <w:rsid w:val="007E381B"/>
    <w:rsid w:val="007E4FFB"/>
    <w:rsid w:val="007E5881"/>
    <w:rsid w:val="007E7181"/>
    <w:rsid w:val="007E72D6"/>
    <w:rsid w:val="007E7C36"/>
    <w:rsid w:val="007E7C54"/>
    <w:rsid w:val="007F22CD"/>
    <w:rsid w:val="007F5358"/>
    <w:rsid w:val="0080056D"/>
    <w:rsid w:val="00800D7E"/>
    <w:rsid w:val="00801540"/>
    <w:rsid w:val="008019B8"/>
    <w:rsid w:val="00801D33"/>
    <w:rsid w:val="00802B03"/>
    <w:rsid w:val="00802B6F"/>
    <w:rsid w:val="008060B0"/>
    <w:rsid w:val="00807809"/>
    <w:rsid w:val="00807B31"/>
    <w:rsid w:val="008110E1"/>
    <w:rsid w:val="008128FA"/>
    <w:rsid w:val="008132C8"/>
    <w:rsid w:val="00814D20"/>
    <w:rsid w:val="00815885"/>
    <w:rsid w:val="00817014"/>
    <w:rsid w:val="008218F8"/>
    <w:rsid w:val="0082276D"/>
    <w:rsid w:val="008277F9"/>
    <w:rsid w:val="00830266"/>
    <w:rsid w:val="008317ED"/>
    <w:rsid w:val="00833BEE"/>
    <w:rsid w:val="0083565B"/>
    <w:rsid w:val="00837EBC"/>
    <w:rsid w:val="00841C97"/>
    <w:rsid w:val="0084296E"/>
    <w:rsid w:val="008456B9"/>
    <w:rsid w:val="008471E8"/>
    <w:rsid w:val="00850C76"/>
    <w:rsid w:val="0085173D"/>
    <w:rsid w:val="0085300D"/>
    <w:rsid w:val="00855559"/>
    <w:rsid w:val="00856F68"/>
    <w:rsid w:val="00857F76"/>
    <w:rsid w:val="00861FF9"/>
    <w:rsid w:val="00862934"/>
    <w:rsid w:val="00864797"/>
    <w:rsid w:val="0086602A"/>
    <w:rsid w:val="008661A3"/>
    <w:rsid w:val="00870823"/>
    <w:rsid w:val="00871D72"/>
    <w:rsid w:val="008724D0"/>
    <w:rsid w:val="00872D37"/>
    <w:rsid w:val="0087381F"/>
    <w:rsid w:val="008738CE"/>
    <w:rsid w:val="00874702"/>
    <w:rsid w:val="0087575D"/>
    <w:rsid w:val="00875EF2"/>
    <w:rsid w:val="00876E23"/>
    <w:rsid w:val="00880945"/>
    <w:rsid w:val="0088183E"/>
    <w:rsid w:val="00882D82"/>
    <w:rsid w:val="00885173"/>
    <w:rsid w:val="008853AD"/>
    <w:rsid w:val="00885D52"/>
    <w:rsid w:val="0089037B"/>
    <w:rsid w:val="008906EA"/>
    <w:rsid w:val="00891568"/>
    <w:rsid w:val="0089241E"/>
    <w:rsid w:val="00896ED9"/>
    <w:rsid w:val="008A1BBB"/>
    <w:rsid w:val="008A2C78"/>
    <w:rsid w:val="008A36C0"/>
    <w:rsid w:val="008A387A"/>
    <w:rsid w:val="008A58AE"/>
    <w:rsid w:val="008A590D"/>
    <w:rsid w:val="008B0A74"/>
    <w:rsid w:val="008B3359"/>
    <w:rsid w:val="008C17D3"/>
    <w:rsid w:val="008C3CD2"/>
    <w:rsid w:val="008C53A2"/>
    <w:rsid w:val="008C6A52"/>
    <w:rsid w:val="008C6F8D"/>
    <w:rsid w:val="008D0A05"/>
    <w:rsid w:val="008D1B93"/>
    <w:rsid w:val="008D2C97"/>
    <w:rsid w:val="008D599B"/>
    <w:rsid w:val="008D5BFF"/>
    <w:rsid w:val="008D6DDF"/>
    <w:rsid w:val="008E1765"/>
    <w:rsid w:val="008E6166"/>
    <w:rsid w:val="008E69FB"/>
    <w:rsid w:val="008E7A44"/>
    <w:rsid w:val="008F090C"/>
    <w:rsid w:val="008F0941"/>
    <w:rsid w:val="008F0E07"/>
    <w:rsid w:val="008F30A6"/>
    <w:rsid w:val="008F36C9"/>
    <w:rsid w:val="00901242"/>
    <w:rsid w:val="00902106"/>
    <w:rsid w:val="00903139"/>
    <w:rsid w:val="009039D5"/>
    <w:rsid w:val="00904BAF"/>
    <w:rsid w:val="00905D15"/>
    <w:rsid w:val="00907D4D"/>
    <w:rsid w:val="009101F9"/>
    <w:rsid w:val="00910263"/>
    <w:rsid w:val="0091275E"/>
    <w:rsid w:val="009129F1"/>
    <w:rsid w:val="00912D67"/>
    <w:rsid w:val="00915BEB"/>
    <w:rsid w:val="00916983"/>
    <w:rsid w:val="00922088"/>
    <w:rsid w:val="0092450B"/>
    <w:rsid w:val="00927084"/>
    <w:rsid w:val="0093038C"/>
    <w:rsid w:val="00930CBD"/>
    <w:rsid w:val="00932001"/>
    <w:rsid w:val="00934CF5"/>
    <w:rsid w:val="00934DBD"/>
    <w:rsid w:val="00935BB4"/>
    <w:rsid w:val="0093683D"/>
    <w:rsid w:val="00936A82"/>
    <w:rsid w:val="00936F03"/>
    <w:rsid w:val="009377D0"/>
    <w:rsid w:val="00937DA1"/>
    <w:rsid w:val="009402B7"/>
    <w:rsid w:val="009408E1"/>
    <w:rsid w:val="00941EFD"/>
    <w:rsid w:val="00943568"/>
    <w:rsid w:val="00943D29"/>
    <w:rsid w:val="00944303"/>
    <w:rsid w:val="00947E51"/>
    <w:rsid w:val="009527C6"/>
    <w:rsid w:val="00953586"/>
    <w:rsid w:val="00953ED3"/>
    <w:rsid w:val="00954DA8"/>
    <w:rsid w:val="00955A93"/>
    <w:rsid w:val="009572CC"/>
    <w:rsid w:val="00957C2A"/>
    <w:rsid w:val="00961070"/>
    <w:rsid w:val="00964068"/>
    <w:rsid w:val="00964A71"/>
    <w:rsid w:val="0096797B"/>
    <w:rsid w:val="0097391A"/>
    <w:rsid w:val="009742DB"/>
    <w:rsid w:val="0097665D"/>
    <w:rsid w:val="00976772"/>
    <w:rsid w:val="0098009A"/>
    <w:rsid w:val="00985F01"/>
    <w:rsid w:val="00985FB9"/>
    <w:rsid w:val="009860A2"/>
    <w:rsid w:val="0098661B"/>
    <w:rsid w:val="00986D66"/>
    <w:rsid w:val="00991A30"/>
    <w:rsid w:val="00992767"/>
    <w:rsid w:val="009933A6"/>
    <w:rsid w:val="00993672"/>
    <w:rsid w:val="00993CA9"/>
    <w:rsid w:val="00994F35"/>
    <w:rsid w:val="0099779F"/>
    <w:rsid w:val="00997BBE"/>
    <w:rsid w:val="009A0A15"/>
    <w:rsid w:val="009A141D"/>
    <w:rsid w:val="009A1628"/>
    <w:rsid w:val="009A24BE"/>
    <w:rsid w:val="009A2B28"/>
    <w:rsid w:val="009A2DEE"/>
    <w:rsid w:val="009A6DD1"/>
    <w:rsid w:val="009B1DE6"/>
    <w:rsid w:val="009B21C2"/>
    <w:rsid w:val="009B5C3A"/>
    <w:rsid w:val="009B6C79"/>
    <w:rsid w:val="009B6F5B"/>
    <w:rsid w:val="009C035A"/>
    <w:rsid w:val="009C1450"/>
    <w:rsid w:val="009C1BB2"/>
    <w:rsid w:val="009C2CB1"/>
    <w:rsid w:val="009C3146"/>
    <w:rsid w:val="009C3D6A"/>
    <w:rsid w:val="009C5712"/>
    <w:rsid w:val="009C5EE1"/>
    <w:rsid w:val="009C6F8C"/>
    <w:rsid w:val="009D0158"/>
    <w:rsid w:val="009D3EFC"/>
    <w:rsid w:val="009D5A79"/>
    <w:rsid w:val="009D625C"/>
    <w:rsid w:val="009D7B62"/>
    <w:rsid w:val="009E4106"/>
    <w:rsid w:val="009E437B"/>
    <w:rsid w:val="009E549E"/>
    <w:rsid w:val="009E5741"/>
    <w:rsid w:val="009E5B8D"/>
    <w:rsid w:val="009E669D"/>
    <w:rsid w:val="009E66E1"/>
    <w:rsid w:val="009F03A9"/>
    <w:rsid w:val="009F1785"/>
    <w:rsid w:val="00A00331"/>
    <w:rsid w:val="00A00FD7"/>
    <w:rsid w:val="00A02BCE"/>
    <w:rsid w:val="00A0385C"/>
    <w:rsid w:val="00A03C96"/>
    <w:rsid w:val="00A03D75"/>
    <w:rsid w:val="00A04884"/>
    <w:rsid w:val="00A10167"/>
    <w:rsid w:val="00A10DE4"/>
    <w:rsid w:val="00A139DB"/>
    <w:rsid w:val="00A14585"/>
    <w:rsid w:val="00A155E7"/>
    <w:rsid w:val="00A15C83"/>
    <w:rsid w:val="00A16098"/>
    <w:rsid w:val="00A160AD"/>
    <w:rsid w:val="00A1620F"/>
    <w:rsid w:val="00A16F20"/>
    <w:rsid w:val="00A17EB7"/>
    <w:rsid w:val="00A21D6D"/>
    <w:rsid w:val="00A21FD2"/>
    <w:rsid w:val="00A22999"/>
    <w:rsid w:val="00A25B0A"/>
    <w:rsid w:val="00A26497"/>
    <w:rsid w:val="00A2668F"/>
    <w:rsid w:val="00A26A01"/>
    <w:rsid w:val="00A276B6"/>
    <w:rsid w:val="00A30975"/>
    <w:rsid w:val="00A314E4"/>
    <w:rsid w:val="00A3248D"/>
    <w:rsid w:val="00A32E83"/>
    <w:rsid w:val="00A339C6"/>
    <w:rsid w:val="00A33EF4"/>
    <w:rsid w:val="00A34F9A"/>
    <w:rsid w:val="00A350C3"/>
    <w:rsid w:val="00A35236"/>
    <w:rsid w:val="00A366B0"/>
    <w:rsid w:val="00A43C1F"/>
    <w:rsid w:val="00A46241"/>
    <w:rsid w:val="00A5049C"/>
    <w:rsid w:val="00A510CB"/>
    <w:rsid w:val="00A5229F"/>
    <w:rsid w:val="00A52E52"/>
    <w:rsid w:val="00A52EBB"/>
    <w:rsid w:val="00A54AA2"/>
    <w:rsid w:val="00A557EB"/>
    <w:rsid w:val="00A5717A"/>
    <w:rsid w:val="00A639E6"/>
    <w:rsid w:val="00A63B85"/>
    <w:rsid w:val="00A63BD6"/>
    <w:rsid w:val="00A63CA5"/>
    <w:rsid w:val="00A63CBA"/>
    <w:rsid w:val="00A64806"/>
    <w:rsid w:val="00A65324"/>
    <w:rsid w:val="00A65FE8"/>
    <w:rsid w:val="00A67042"/>
    <w:rsid w:val="00A67A55"/>
    <w:rsid w:val="00A67B22"/>
    <w:rsid w:val="00A700D9"/>
    <w:rsid w:val="00A70679"/>
    <w:rsid w:val="00A709BF"/>
    <w:rsid w:val="00A723BE"/>
    <w:rsid w:val="00A73AF7"/>
    <w:rsid w:val="00A7445E"/>
    <w:rsid w:val="00A74645"/>
    <w:rsid w:val="00A746CA"/>
    <w:rsid w:val="00A75117"/>
    <w:rsid w:val="00A76092"/>
    <w:rsid w:val="00A76F03"/>
    <w:rsid w:val="00A77531"/>
    <w:rsid w:val="00A813EA"/>
    <w:rsid w:val="00A815E4"/>
    <w:rsid w:val="00A822E5"/>
    <w:rsid w:val="00A8256D"/>
    <w:rsid w:val="00A83371"/>
    <w:rsid w:val="00A83CE6"/>
    <w:rsid w:val="00A85E3E"/>
    <w:rsid w:val="00A86720"/>
    <w:rsid w:val="00A86869"/>
    <w:rsid w:val="00A90373"/>
    <w:rsid w:val="00A9233A"/>
    <w:rsid w:val="00A931D1"/>
    <w:rsid w:val="00A9575D"/>
    <w:rsid w:val="00A97300"/>
    <w:rsid w:val="00A97358"/>
    <w:rsid w:val="00AA05A0"/>
    <w:rsid w:val="00AA16B0"/>
    <w:rsid w:val="00AA1C6F"/>
    <w:rsid w:val="00AA207E"/>
    <w:rsid w:val="00AA3D6D"/>
    <w:rsid w:val="00AA6BE7"/>
    <w:rsid w:val="00AA711E"/>
    <w:rsid w:val="00AA72B8"/>
    <w:rsid w:val="00AB0CF2"/>
    <w:rsid w:val="00AB680E"/>
    <w:rsid w:val="00AB773F"/>
    <w:rsid w:val="00AC00A5"/>
    <w:rsid w:val="00AC2592"/>
    <w:rsid w:val="00AC624F"/>
    <w:rsid w:val="00AD0059"/>
    <w:rsid w:val="00AD08A2"/>
    <w:rsid w:val="00AD1780"/>
    <w:rsid w:val="00AD2A76"/>
    <w:rsid w:val="00AD2C19"/>
    <w:rsid w:val="00AD36CE"/>
    <w:rsid w:val="00AD527A"/>
    <w:rsid w:val="00AD5DBD"/>
    <w:rsid w:val="00AD6265"/>
    <w:rsid w:val="00AD6DD2"/>
    <w:rsid w:val="00AD6FE1"/>
    <w:rsid w:val="00AD702D"/>
    <w:rsid w:val="00AD784F"/>
    <w:rsid w:val="00AD795F"/>
    <w:rsid w:val="00AE0AB0"/>
    <w:rsid w:val="00AE384D"/>
    <w:rsid w:val="00AE5033"/>
    <w:rsid w:val="00AE5421"/>
    <w:rsid w:val="00AE5FF5"/>
    <w:rsid w:val="00AE695C"/>
    <w:rsid w:val="00AE73F4"/>
    <w:rsid w:val="00AF1A4E"/>
    <w:rsid w:val="00AF2C7E"/>
    <w:rsid w:val="00AF7720"/>
    <w:rsid w:val="00B0135B"/>
    <w:rsid w:val="00B01547"/>
    <w:rsid w:val="00B01F93"/>
    <w:rsid w:val="00B02C86"/>
    <w:rsid w:val="00B035C8"/>
    <w:rsid w:val="00B0411E"/>
    <w:rsid w:val="00B04CB1"/>
    <w:rsid w:val="00B05D62"/>
    <w:rsid w:val="00B05EAC"/>
    <w:rsid w:val="00B063B1"/>
    <w:rsid w:val="00B06E7E"/>
    <w:rsid w:val="00B11879"/>
    <w:rsid w:val="00B12EF8"/>
    <w:rsid w:val="00B13B58"/>
    <w:rsid w:val="00B1479A"/>
    <w:rsid w:val="00B15446"/>
    <w:rsid w:val="00B1558E"/>
    <w:rsid w:val="00B20AF4"/>
    <w:rsid w:val="00B20B7A"/>
    <w:rsid w:val="00B211D9"/>
    <w:rsid w:val="00B22DEE"/>
    <w:rsid w:val="00B244E1"/>
    <w:rsid w:val="00B24A53"/>
    <w:rsid w:val="00B257BD"/>
    <w:rsid w:val="00B30237"/>
    <w:rsid w:val="00B3064C"/>
    <w:rsid w:val="00B31121"/>
    <w:rsid w:val="00B3243A"/>
    <w:rsid w:val="00B32F48"/>
    <w:rsid w:val="00B35528"/>
    <w:rsid w:val="00B36662"/>
    <w:rsid w:val="00B366BA"/>
    <w:rsid w:val="00B402FC"/>
    <w:rsid w:val="00B40885"/>
    <w:rsid w:val="00B40BA1"/>
    <w:rsid w:val="00B43E2E"/>
    <w:rsid w:val="00B45A72"/>
    <w:rsid w:val="00B46A7D"/>
    <w:rsid w:val="00B46B5F"/>
    <w:rsid w:val="00B46DC5"/>
    <w:rsid w:val="00B52546"/>
    <w:rsid w:val="00B52A1C"/>
    <w:rsid w:val="00B52E94"/>
    <w:rsid w:val="00B53427"/>
    <w:rsid w:val="00B559E4"/>
    <w:rsid w:val="00B57B6E"/>
    <w:rsid w:val="00B57E81"/>
    <w:rsid w:val="00B6211C"/>
    <w:rsid w:val="00B63215"/>
    <w:rsid w:val="00B664E8"/>
    <w:rsid w:val="00B71E32"/>
    <w:rsid w:val="00B77A35"/>
    <w:rsid w:val="00B8019D"/>
    <w:rsid w:val="00B808EF"/>
    <w:rsid w:val="00B80BE9"/>
    <w:rsid w:val="00B81C5A"/>
    <w:rsid w:val="00B82E62"/>
    <w:rsid w:val="00B84AEC"/>
    <w:rsid w:val="00B92E99"/>
    <w:rsid w:val="00B941B2"/>
    <w:rsid w:val="00B94860"/>
    <w:rsid w:val="00B94C32"/>
    <w:rsid w:val="00B959B8"/>
    <w:rsid w:val="00B9665D"/>
    <w:rsid w:val="00B97DCF"/>
    <w:rsid w:val="00BA0614"/>
    <w:rsid w:val="00BA43C9"/>
    <w:rsid w:val="00BA4DCD"/>
    <w:rsid w:val="00BA5429"/>
    <w:rsid w:val="00BA6C1E"/>
    <w:rsid w:val="00BA7265"/>
    <w:rsid w:val="00BA7502"/>
    <w:rsid w:val="00BA7A30"/>
    <w:rsid w:val="00BA7C81"/>
    <w:rsid w:val="00BB02FD"/>
    <w:rsid w:val="00BB0EC0"/>
    <w:rsid w:val="00BB2BFA"/>
    <w:rsid w:val="00BB366E"/>
    <w:rsid w:val="00BB4560"/>
    <w:rsid w:val="00BB4916"/>
    <w:rsid w:val="00BB6EE0"/>
    <w:rsid w:val="00BC0F1F"/>
    <w:rsid w:val="00BC6B0F"/>
    <w:rsid w:val="00BD092B"/>
    <w:rsid w:val="00BD1EB3"/>
    <w:rsid w:val="00BD2895"/>
    <w:rsid w:val="00BD2B49"/>
    <w:rsid w:val="00BD6985"/>
    <w:rsid w:val="00BD73E9"/>
    <w:rsid w:val="00BD75AF"/>
    <w:rsid w:val="00BD7B0E"/>
    <w:rsid w:val="00BE0419"/>
    <w:rsid w:val="00BE0BC8"/>
    <w:rsid w:val="00BE4696"/>
    <w:rsid w:val="00BE4CAE"/>
    <w:rsid w:val="00BE54EF"/>
    <w:rsid w:val="00BE60BE"/>
    <w:rsid w:val="00BE6ED6"/>
    <w:rsid w:val="00BE740D"/>
    <w:rsid w:val="00BF0202"/>
    <w:rsid w:val="00BF07D3"/>
    <w:rsid w:val="00BF1D1A"/>
    <w:rsid w:val="00BF2941"/>
    <w:rsid w:val="00BF4FA4"/>
    <w:rsid w:val="00BF51B0"/>
    <w:rsid w:val="00BF59FB"/>
    <w:rsid w:val="00C00034"/>
    <w:rsid w:val="00C0047E"/>
    <w:rsid w:val="00C01F5E"/>
    <w:rsid w:val="00C01FED"/>
    <w:rsid w:val="00C0573E"/>
    <w:rsid w:val="00C05DE9"/>
    <w:rsid w:val="00C0634E"/>
    <w:rsid w:val="00C065E8"/>
    <w:rsid w:val="00C06F10"/>
    <w:rsid w:val="00C104F8"/>
    <w:rsid w:val="00C14012"/>
    <w:rsid w:val="00C1638F"/>
    <w:rsid w:val="00C16DCB"/>
    <w:rsid w:val="00C210F7"/>
    <w:rsid w:val="00C2388A"/>
    <w:rsid w:val="00C23E5F"/>
    <w:rsid w:val="00C25060"/>
    <w:rsid w:val="00C25349"/>
    <w:rsid w:val="00C30185"/>
    <w:rsid w:val="00C30593"/>
    <w:rsid w:val="00C313B2"/>
    <w:rsid w:val="00C33AE6"/>
    <w:rsid w:val="00C341D5"/>
    <w:rsid w:val="00C35403"/>
    <w:rsid w:val="00C4050D"/>
    <w:rsid w:val="00C44540"/>
    <w:rsid w:val="00C44E3C"/>
    <w:rsid w:val="00C45656"/>
    <w:rsid w:val="00C4661E"/>
    <w:rsid w:val="00C47035"/>
    <w:rsid w:val="00C51358"/>
    <w:rsid w:val="00C51E2F"/>
    <w:rsid w:val="00C52C57"/>
    <w:rsid w:val="00C52D36"/>
    <w:rsid w:val="00C53906"/>
    <w:rsid w:val="00C5468C"/>
    <w:rsid w:val="00C5568C"/>
    <w:rsid w:val="00C5576E"/>
    <w:rsid w:val="00C60A30"/>
    <w:rsid w:val="00C61C05"/>
    <w:rsid w:val="00C62765"/>
    <w:rsid w:val="00C6585F"/>
    <w:rsid w:val="00C67FCB"/>
    <w:rsid w:val="00C703CE"/>
    <w:rsid w:val="00C7242E"/>
    <w:rsid w:val="00C75811"/>
    <w:rsid w:val="00C76E20"/>
    <w:rsid w:val="00C77F9B"/>
    <w:rsid w:val="00C80098"/>
    <w:rsid w:val="00C81E5C"/>
    <w:rsid w:val="00C82871"/>
    <w:rsid w:val="00C865E7"/>
    <w:rsid w:val="00C867F5"/>
    <w:rsid w:val="00C925EF"/>
    <w:rsid w:val="00C92A0E"/>
    <w:rsid w:val="00C94605"/>
    <w:rsid w:val="00C9519E"/>
    <w:rsid w:val="00C95229"/>
    <w:rsid w:val="00CA05D7"/>
    <w:rsid w:val="00CA2ED6"/>
    <w:rsid w:val="00CA3724"/>
    <w:rsid w:val="00CA4175"/>
    <w:rsid w:val="00CB256B"/>
    <w:rsid w:val="00CB2976"/>
    <w:rsid w:val="00CB387E"/>
    <w:rsid w:val="00CB496C"/>
    <w:rsid w:val="00CC0F77"/>
    <w:rsid w:val="00CC7007"/>
    <w:rsid w:val="00CC78A9"/>
    <w:rsid w:val="00CD09EC"/>
    <w:rsid w:val="00CD3344"/>
    <w:rsid w:val="00CD430F"/>
    <w:rsid w:val="00CD4CB3"/>
    <w:rsid w:val="00CD4CB7"/>
    <w:rsid w:val="00CD6690"/>
    <w:rsid w:val="00CD6F36"/>
    <w:rsid w:val="00CE1086"/>
    <w:rsid w:val="00CE1C90"/>
    <w:rsid w:val="00CE2BA0"/>
    <w:rsid w:val="00CE3981"/>
    <w:rsid w:val="00CE3D5F"/>
    <w:rsid w:val="00CE52E5"/>
    <w:rsid w:val="00CE705F"/>
    <w:rsid w:val="00CF00FC"/>
    <w:rsid w:val="00CF03C0"/>
    <w:rsid w:val="00CF0ECC"/>
    <w:rsid w:val="00CF11EF"/>
    <w:rsid w:val="00CF1972"/>
    <w:rsid w:val="00CF2D40"/>
    <w:rsid w:val="00CF5728"/>
    <w:rsid w:val="00CF5A69"/>
    <w:rsid w:val="00CF5EC9"/>
    <w:rsid w:val="00CF6879"/>
    <w:rsid w:val="00CF6E5D"/>
    <w:rsid w:val="00CF7961"/>
    <w:rsid w:val="00D00490"/>
    <w:rsid w:val="00D0089D"/>
    <w:rsid w:val="00D028D5"/>
    <w:rsid w:val="00D03596"/>
    <w:rsid w:val="00D0391B"/>
    <w:rsid w:val="00D06864"/>
    <w:rsid w:val="00D1384D"/>
    <w:rsid w:val="00D1543F"/>
    <w:rsid w:val="00D1569E"/>
    <w:rsid w:val="00D17E53"/>
    <w:rsid w:val="00D2087E"/>
    <w:rsid w:val="00D20BCF"/>
    <w:rsid w:val="00D22C19"/>
    <w:rsid w:val="00D238F6"/>
    <w:rsid w:val="00D249E7"/>
    <w:rsid w:val="00D252B8"/>
    <w:rsid w:val="00D269F2"/>
    <w:rsid w:val="00D2771D"/>
    <w:rsid w:val="00D31C13"/>
    <w:rsid w:val="00D36516"/>
    <w:rsid w:val="00D36682"/>
    <w:rsid w:val="00D366EB"/>
    <w:rsid w:val="00D36CE7"/>
    <w:rsid w:val="00D41017"/>
    <w:rsid w:val="00D41387"/>
    <w:rsid w:val="00D414D0"/>
    <w:rsid w:val="00D414D1"/>
    <w:rsid w:val="00D41AB8"/>
    <w:rsid w:val="00D43335"/>
    <w:rsid w:val="00D464AA"/>
    <w:rsid w:val="00D50C7D"/>
    <w:rsid w:val="00D50E12"/>
    <w:rsid w:val="00D51D8C"/>
    <w:rsid w:val="00D5232E"/>
    <w:rsid w:val="00D5296E"/>
    <w:rsid w:val="00D52CB8"/>
    <w:rsid w:val="00D536B4"/>
    <w:rsid w:val="00D54A1A"/>
    <w:rsid w:val="00D605EC"/>
    <w:rsid w:val="00D65031"/>
    <w:rsid w:val="00D651D4"/>
    <w:rsid w:val="00D65220"/>
    <w:rsid w:val="00D653A2"/>
    <w:rsid w:val="00D722F4"/>
    <w:rsid w:val="00D73B5C"/>
    <w:rsid w:val="00D7420E"/>
    <w:rsid w:val="00D74963"/>
    <w:rsid w:val="00D76CDB"/>
    <w:rsid w:val="00D76F45"/>
    <w:rsid w:val="00D84FCE"/>
    <w:rsid w:val="00D85F69"/>
    <w:rsid w:val="00D8601C"/>
    <w:rsid w:val="00D86B21"/>
    <w:rsid w:val="00D87166"/>
    <w:rsid w:val="00D87556"/>
    <w:rsid w:val="00D91DFB"/>
    <w:rsid w:val="00D929A4"/>
    <w:rsid w:val="00D9346B"/>
    <w:rsid w:val="00D93D9D"/>
    <w:rsid w:val="00D95790"/>
    <w:rsid w:val="00D96063"/>
    <w:rsid w:val="00DA0BAF"/>
    <w:rsid w:val="00DA38A3"/>
    <w:rsid w:val="00DA64DA"/>
    <w:rsid w:val="00DB2645"/>
    <w:rsid w:val="00DB5648"/>
    <w:rsid w:val="00DB7C2F"/>
    <w:rsid w:val="00DB7E48"/>
    <w:rsid w:val="00DB7FBF"/>
    <w:rsid w:val="00DC0523"/>
    <w:rsid w:val="00DC1ABC"/>
    <w:rsid w:val="00DC5909"/>
    <w:rsid w:val="00DC7110"/>
    <w:rsid w:val="00DC750D"/>
    <w:rsid w:val="00DD0E9B"/>
    <w:rsid w:val="00DD125F"/>
    <w:rsid w:val="00DD2EB3"/>
    <w:rsid w:val="00DD3EBE"/>
    <w:rsid w:val="00DD3F03"/>
    <w:rsid w:val="00DD4D0D"/>
    <w:rsid w:val="00DD4FB0"/>
    <w:rsid w:val="00DD5552"/>
    <w:rsid w:val="00DD6F86"/>
    <w:rsid w:val="00DD7E29"/>
    <w:rsid w:val="00DE0113"/>
    <w:rsid w:val="00DE0245"/>
    <w:rsid w:val="00DE0437"/>
    <w:rsid w:val="00DE43C3"/>
    <w:rsid w:val="00DE5904"/>
    <w:rsid w:val="00DE5FF2"/>
    <w:rsid w:val="00DF1D68"/>
    <w:rsid w:val="00DF231C"/>
    <w:rsid w:val="00DF6273"/>
    <w:rsid w:val="00DF6881"/>
    <w:rsid w:val="00DF7CB1"/>
    <w:rsid w:val="00E05D67"/>
    <w:rsid w:val="00E0735E"/>
    <w:rsid w:val="00E10B49"/>
    <w:rsid w:val="00E11476"/>
    <w:rsid w:val="00E12705"/>
    <w:rsid w:val="00E16433"/>
    <w:rsid w:val="00E16C4C"/>
    <w:rsid w:val="00E17168"/>
    <w:rsid w:val="00E17CE8"/>
    <w:rsid w:val="00E20080"/>
    <w:rsid w:val="00E2139A"/>
    <w:rsid w:val="00E21B96"/>
    <w:rsid w:val="00E23033"/>
    <w:rsid w:val="00E23872"/>
    <w:rsid w:val="00E23CAA"/>
    <w:rsid w:val="00E245A1"/>
    <w:rsid w:val="00E25A1F"/>
    <w:rsid w:val="00E275B3"/>
    <w:rsid w:val="00E30EA9"/>
    <w:rsid w:val="00E35072"/>
    <w:rsid w:val="00E43815"/>
    <w:rsid w:val="00E43905"/>
    <w:rsid w:val="00E43E0A"/>
    <w:rsid w:val="00E44514"/>
    <w:rsid w:val="00E4633F"/>
    <w:rsid w:val="00E46694"/>
    <w:rsid w:val="00E471D5"/>
    <w:rsid w:val="00E478B3"/>
    <w:rsid w:val="00E47961"/>
    <w:rsid w:val="00E50B57"/>
    <w:rsid w:val="00E51B7C"/>
    <w:rsid w:val="00E52EF1"/>
    <w:rsid w:val="00E537D5"/>
    <w:rsid w:val="00E555D4"/>
    <w:rsid w:val="00E57E7F"/>
    <w:rsid w:val="00E61588"/>
    <w:rsid w:val="00E6230B"/>
    <w:rsid w:val="00E62582"/>
    <w:rsid w:val="00E63977"/>
    <w:rsid w:val="00E643A8"/>
    <w:rsid w:val="00E64C5C"/>
    <w:rsid w:val="00E67680"/>
    <w:rsid w:val="00E7106D"/>
    <w:rsid w:val="00E71786"/>
    <w:rsid w:val="00E71A3E"/>
    <w:rsid w:val="00E72F3D"/>
    <w:rsid w:val="00E73117"/>
    <w:rsid w:val="00E73352"/>
    <w:rsid w:val="00E73547"/>
    <w:rsid w:val="00E75E69"/>
    <w:rsid w:val="00E76FB3"/>
    <w:rsid w:val="00E7730A"/>
    <w:rsid w:val="00E81258"/>
    <w:rsid w:val="00E82912"/>
    <w:rsid w:val="00E83BAA"/>
    <w:rsid w:val="00E8458C"/>
    <w:rsid w:val="00E85A43"/>
    <w:rsid w:val="00E866F5"/>
    <w:rsid w:val="00E90B39"/>
    <w:rsid w:val="00E917F0"/>
    <w:rsid w:val="00E918EC"/>
    <w:rsid w:val="00E91D6E"/>
    <w:rsid w:val="00E93B58"/>
    <w:rsid w:val="00E93DFD"/>
    <w:rsid w:val="00E9436F"/>
    <w:rsid w:val="00E96B4C"/>
    <w:rsid w:val="00E96F3C"/>
    <w:rsid w:val="00E970F9"/>
    <w:rsid w:val="00EA3184"/>
    <w:rsid w:val="00EA3529"/>
    <w:rsid w:val="00EA5A09"/>
    <w:rsid w:val="00EA7775"/>
    <w:rsid w:val="00EB1C06"/>
    <w:rsid w:val="00EB1D90"/>
    <w:rsid w:val="00EB2230"/>
    <w:rsid w:val="00EB2398"/>
    <w:rsid w:val="00EB2A95"/>
    <w:rsid w:val="00EB4D19"/>
    <w:rsid w:val="00EC245B"/>
    <w:rsid w:val="00EC53B9"/>
    <w:rsid w:val="00EC68F6"/>
    <w:rsid w:val="00EC7CDA"/>
    <w:rsid w:val="00ED2077"/>
    <w:rsid w:val="00ED458E"/>
    <w:rsid w:val="00ED4C3A"/>
    <w:rsid w:val="00ED5EB7"/>
    <w:rsid w:val="00ED60A5"/>
    <w:rsid w:val="00ED6875"/>
    <w:rsid w:val="00ED68D2"/>
    <w:rsid w:val="00ED7855"/>
    <w:rsid w:val="00EE234F"/>
    <w:rsid w:val="00EE3948"/>
    <w:rsid w:val="00EE46BB"/>
    <w:rsid w:val="00EE6C6F"/>
    <w:rsid w:val="00EF051F"/>
    <w:rsid w:val="00EF060D"/>
    <w:rsid w:val="00EF0CA1"/>
    <w:rsid w:val="00EF4D9F"/>
    <w:rsid w:val="00EF552E"/>
    <w:rsid w:val="00EF597D"/>
    <w:rsid w:val="00EF5BAA"/>
    <w:rsid w:val="00EF69E9"/>
    <w:rsid w:val="00EF7AA4"/>
    <w:rsid w:val="00EF7D44"/>
    <w:rsid w:val="00F00565"/>
    <w:rsid w:val="00F006B0"/>
    <w:rsid w:val="00F006F6"/>
    <w:rsid w:val="00F025DB"/>
    <w:rsid w:val="00F034B5"/>
    <w:rsid w:val="00F035B1"/>
    <w:rsid w:val="00F0568B"/>
    <w:rsid w:val="00F06638"/>
    <w:rsid w:val="00F06A04"/>
    <w:rsid w:val="00F06FA2"/>
    <w:rsid w:val="00F07023"/>
    <w:rsid w:val="00F0763C"/>
    <w:rsid w:val="00F078BC"/>
    <w:rsid w:val="00F126BB"/>
    <w:rsid w:val="00F1455A"/>
    <w:rsid w:val="00F15B29"/>
    <w:rsid w:val="00F223B4"/>
    <w:rsid w:val="00F239BD"/>
    <w:rsid w:val="00F23D70"/>
    <w:rsid w:val="00F2471D"/>
    <w:rsid w:val="00F25498"/>
    <w:rsid w:val="00F3062E"/>
    <w:rsid w:val="00F31201"/>
    <w:rsid w:val="00F31371"/>
    <w:rsid w:val="00F3146A"/>
    <w:rsid w:val="00F32A1C"/>
    <w:rsid w:val="00F32C9B"/>
    <w:rsid w:val="00F407E0"/>
    <w:rsid w:val="00F40F0B"/>
    <w:rsid w:val="00F43520"/>
    <w:rsid w:val="00F4384A"/>
    <w:rsid w:val="00F43BD1"/>
    <w:rsid w:val="00F44744"/>
    <w:rsid w:val="00F45590"/>
    <w:rsid w:val="00F45599"/>
    <w:rsid w:val="00F45987"/>
    <w:rsid w:val="00F47C3B"/>
    <w:rsid w:val="00F50060"/>
    <w:rsid w:val="00F502B3"/>
    <w:rsid w:val="00F51820"/>
    <w:rsid w:val="00F51C1C"/>
    <w:rsid w:val="00F5393D"/>
    <w:rsid w:val="00F55293"/>
    <w:rsid w:val="00F568C1"/>
    <w:rsid w:val="00F56B8D"/>
    <w:rsid w:val="00F572D3"/>
    <w:rsid w:val="00F57914"/>
    <w:rsid w:val="00F57AAB"/>
    <w:rsid w:val="00F57AC0"/>
    <w:rsid w:val="00F57F42"/>
    <w:rsid w:val="00F62300"/>
    <w:rsid w:val="00F63BA6"/>
    <w:rsid w:val="00F642DE"/>
    <w:rsid w:val="00F65367"/>
    <w:rsid w:val="00F70775"/>
    <w:rsid w:val="00F71C98"/>
    <w:rsid w:val="00F72211"/>
    <w:rsid w:val="00F7311B"/>
    <w:rsid w:val="00F7539D"/>
    <w:rsid w:val="00F764D0"/>
    <w:rsid w:val="00F76FF4"/>
    <w:rsid w:val="00F7755C"/>
    <w:rsid w:val="00F80229"/>
    <w:rsid w:val="00F8084D"/>
    <w:rsid w:val="00F8089D"/>
    <w:rsid w:val="00F80B18"/>
    <w:rsid w:val="00F80E6D"/>
    <w:rsid w:val="00F81302"/>
    <w:rsid w:val="00F817CD"/>
    <w:rsid w:val="00F82A22"/>
    <w:rsid w:val="00F91055"/>
    <w:rsid w:val="00F927F4"/>
    <w:rsid w:val="00F931A5"/>
    <w:rsid w:val="00F931BE"/>
    <w:rsid w:val="00F932C2"/>
    <w:rsid w:val="00F9465A"/>
    <w:rsid w:val="00F953EC"/>
    <w:rsid w:val="00F9747A"/>
    <w:rsid w:val="00FA1ED7"/>
    <w:rsid w:val="00FA33E8"/>
    <w:rsid w:val="00FA3661"/>
    <w:rsid w:val="00FB0E59"/>
    <w:rsid w:val="00FB1186"/>
    <w:rsid w:val="00FB27BB"/>
    <w:rsid w:val="00FB2E8E"/>
    <w:rsid w:val="00FB3971"/>
    <w:rsid w:val="00FB4631"/>
    <w:rsid w:val="00FB475F"/>
    <w:rsid w:val="00FB5642"/>
    <w:rsid w:val="00FC1B08"/>
    <w:rsid w:val="00FC32D7"/>
    <w:rsid w:val="00FC372B"/>
    <w:rsid w:val="00FC50AC"/>
    <w:rsid w:val="00FC57DC"/>
    <w:rsid w:val="00FC5AAE"/>
    <w:rsid w:val="00FC651A"/>
    <w:rsid w:val="00FC6DD5"/>
    <w:rsid w:val="00FD1ED5"/>
    <w:rsid w:val="00FD32BB"/>
    <w:rsid w:val="00FD36D6"/>
    <w:rsid w:val="00FD7BE9"/>
    <w:rsid w:val="00FE09A6"/>
    <w:rsid w:val="00FE1646"/>
    <w:rsid w:val="00FE19D4"/>
    <w:rsid w:val="00FE1AF1"/>
    <w:rsid w:val="00FE1E8F"/>
    <w:rsid w:val="00FE3D21"/>
    <w:rsid w:val="00FE7911"/>
    <w:rsid w:val="00FE7C80"/>
    <w:rsid w:val="00FF1DD2"/>
    <w:rsid w:val="00FF2E18"/>
    <w:rsid w:val="00FF5529"/>
    <w:rsid w:val="00FF56C5"/>
    <w:rsid w:val="00FF7259"/>
    <w:rsid w:val="00FF7C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62570"/>
  <w15:docId w15:val="{6FE952DC-6728-4109-99D3-2A0FF36B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Arial" w:hAnsi="Arial" w:cs="Arial"/>
    </w:rPr>
  </w:style>
  <w:style w:type="paragraph" w:styleId="Heading1">
    <w:name w:val="heading 1"/>
    <w:basedOn w:val="Normal"/>
    <w:next w:val="Text"/>
    <w:link w:val="Heading1Char"/>
    <w:uiPriority w:val="9"/>
    <w:qFormat/>
    <w:rsid w:val="00CB23B3"/>
    <w:pPr>
      <w:keepNext/>
      <w:numPr>
        <w:numId w:val="58"/>
      </w:numPr>
      <w:spacing w:before="240" w:after="60"/>
      <w:outlineLvl w:val="0"/>
    </w:pPr>
    <w:rPr>
      <w:rFonts w:eastAsiaTheme="majorEastAsia"/>
      <w:b/>
      <w:bCs/>
      <w:kern w:val="32"/>
      <w:szCs w:val="28"/>
    </w:rPr>
  </w:style>
  <w:style w:type="paragraph" w:styleId="Heading2">
    <w:name w:val="heading 2"/>
    <w:basedOn w:val="Normal"/>
    <w:next w:val="Text"/>
    <w:link w:val="Heading2Char"/>
    <w:uiPriority w:val="9"/>
    <w:semiHidden/>
    <w:unhideWhenUsed/>
    <w:qFormat/>
    <w:rsid w:val="00CB23B3"/>
    <w:pPr>
      <w:keepNext/>
      <w:numPr>
        <w:ilvl w:val="1"/>
        <w:numId w:val="58"/>
      </w:numPr>
      <w:spacing w:before="240" w:after="60"/>
      <w:outlineLvl w:val="1"/>
    </w:pPr>
    <w:rPr>
      <w:rFonts w:eastAsiaTheme="majorEastAsia"/>
      <w:b/>
      <w:bCs/>
      <w:i/>
      <w:szCs w:val="26"/>
    </w:rPr>
  </w:style>
  <w:style w:type="paragraph" w:styleId="Heading3">
    <w:name w:val="heading 3"/>
    <w:basedOn w:val="Normal"/>
    <w:next w:val="Text"/>
    <w:link w:val="Heading3Char"/>
    <w:uiPriority w:val="9"/>
    <w:semiHidden/>
    <w:unhideWhenUsed/>
    <w:qFormat/>
    <w:rsid w:val="00CB23B3"/>
    <w:pPr>
      <w:keepNext/>
      <w:numPr>
        <w:ilvl w:val="2"/>
        <w:numId w:val="58"/>
      </w:numPr>
      <w:spacing w:before="240" w:after="60"/>
      <w:outlineLvl w:val="2"/>
    </w:pPr>
    <w:rPr>
      <w:rFonts w:eastAsiaTheme="majorEastAsia"/>
      <w:b/>
      <w:bCs/>
    </w:rPr>
  </w:style>
  <w:style w:type="paragraph" w:styleId="Heading4">
    <w:name w:val="heading 4"/>
    <w:basedOn w:val="Normal"/>
    <w:next w:val="Text"/>
    <w:link w:val="Heading4Char"/>
    <w:uiPriority w:val="9"/>
    <w:semiHidden/>
    <w:unhideWhenUsed/>
    <w:qFormat/>
    <w:rsid w:val="00CB23B3"/>
    <w:pPr>
      <w:keepNext/>
      <w:numPr>
        <w:ilvl w:val="3"/>
        <w:numId w:val="58"/>
      </w:numPr>
      <w:spacing w:before="240" w:after="60"/>
      <w:outlineLvl w:val="3"/>
    </w:pPr>
    <w:rPr>
      <w:rFonts w:eastAsiaTheme="majorEastAsia"/>
      <w:b/>
      <w:bCs/>
      <w:i/>
      <w:iCs/>
    </w:rPr>
  </w:style>
  <w:style w:type="paragraph" w:styleId="Heading5">
    <w:name w:val="heading 5"/>
    <w:basedOn w:val="Normal"/>
    <w:next w:val="Normal"/>
    <w:link w:val="Heading5Char"/>
    <w:uiPriority w:val="9"/>
    <w:semiHidden/>
    <w:unhideWhenUsed/>
    <w:qFormat/>
    <w:rsid w:val="00635B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35B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35B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35B4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35B4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57BF"/>
    <w:rPr>
      <w:color w:val="0000FF"/>
      <w:u w:val="single"/>
    </w:rPr>
  </w:style>
  <w:style w:type="character" w:styleId="CommentReference">
    <w:name w:val="annotation reference"/>
    <w:basedOn w:val="DefaultParagraphFont"/>
    <w:uiPriority w:val="99"/>
    <w:semiHidden/>
    <w:unhideWhenUsed/>
    <w:rsid w:val="001440A4"/>
    <w:rPr>
      <w:sz w:val="16"/>
      <w:szCs w:val="16"/>
    </w:rPr>
  </w:style>
  <w:style w:type="paragraph" w:styleId="Revision">
    <w:name w:val="Revision"/>
    <w:hidden/>
    <w:uiPriority w:val="99"/>
    <w:semiHidden/>
    <w:rsid w:val="00C6585F"/>
    <w:pPr>
      <w:spacing w:after="0" w:line="240" w:lineRule="auto"/>
    </w:pPr>
    <w:rPr>
      <w:rFonts w:ascii="Arial" w:hAnsi="Arial" w:cs="Arial"/>
    </w:rPr>
  </w:style>
  <w:style w:type="table" w:styleId="TableGrid">
    <w:name w:val="Table Grid"/>
    <w:basedOn w:val="TableNormal"/>
    <w:uiPriority w:val="59"/>
    <w:rsid w:val="00941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mark">
    <w:name w:val="wordmark"/>
    <w:basedOn w:val="DefaultParagraphFont"/>
    <w:rsid w:val="004A608E"/>
  </w:style>
  <w:style w:type="character" w:customStyle="1" w:styleId="NummerierungStufe1Zchn">
    <w:name w:val="Nummerierung (Stufe 1) Zchn"/>
    <w:rsid w:val="00FB1186"/>
    <w:rPr>
      <w:rFonts w:ascii="Arial" w:hAnsi="Arial" w:cs="Arial"/>
      <w:sz w:val="22"/>
      <w:szCs w:val="24"/>
      <w:lang w:val="fr-FR" w:eastAsia="de-DE" w:bidi="ar-SA"/>
    </w:rPr>
  </w:style>
  <w:style w:type="paragraph" w:customStyle="1" w:styleId="Formatvorlage1">
    <w:name w:val="Formatvorlage1"/>
    <w:basedOn w:val="Text"/>
    <w:qFormat/>
    <w:rsid w:val="004D5ABA"/>
    <w:rPr>
      <w:b/>
    </w:rPr>
  </w:style>
  <w:style w:type="character" w:styleId="FollowedHyperlink">
    <w:name w:val="FollowedHyperlink"/>
    <w:basedOn w:val="DefaultParagraphFont"/>
    <w:uiPriority w:val="99"/>
    <w:semiHidden/>
    <w:unhideWhenUsed/>
    <w:rsid w:val="00F931A5"/>
    <w:rPr>
      <w:color w:val="800080" w:themeColor="followedHyperlink"/>
      <w:u w:val="single"/>
    </w:rPr>
  </w:style>
  <w:style w:type="paragraph" w:styleId="TableofFigures">
    <w:name w:val="table of figures"/>
    <w:basedOn w:val="Normal"/>
    <w:next w:val="Normal"/>
    <w:uiPriority w:val="99"/>
    <w:semiHidden/>
    <w:unhideWhenUsed/>
    <w:rsid w:val="00635B49"/>
    <w:pPr>
      <w:spacing w:after="0"/>
    </w:pPr>
  </w:style>
  <w:style w:type="paragraph" w:styleId="Salutation">
    <w:name w:val="Salutation"/>
    <w:basedOn w:val="Normal"/>
    <w:next w:val="Normal"/>
    <w:link w:val="SalutationChar"/>
    <w:uiPriority w:val="99"/>
    <w:semiHidden/>
    <w:unhideWhenUsed/>
    <w:rsid w:val="00635B49"/>
  </w:style>
  <w:style w:type="character" w:customStyle="1" w:styleId="SalutationChar">
    <w:name w:val="Salutation Char"/>
    <w:basedOn w:val="DefaultParagraphFont"/>
    <w:link w:val="Salutation"/>
    <w:uiPriority w:val="99"/>
    <w:semiHidden/>
    <w:rsid w:val="00635B49"/>
    <w:rPr>
      <w:rFonts w:ascii="Arial" w:hAnsi="Arial" w:cs="Arial"/>
    </w:rPr>
  </w:style>
  <w:style w:type="paragraph" w:styleId="ListBullet">
    <w:name w:val="List Bullet"/>
    <w:basedOn w:val="Normal"/>
    <w:uiPriority w:val="99"/>
    <w:semiHidden/>
    <w:unhideWhenUsed/>
    <w:rsid w:val="00635B49"/>
    <w:pPr>
      <w:numPr>
        <w:numId w:val="3"/>
      </w:numPr>
      <w:contextualSpacing/>
    </w:pPr>
  </w:style>
  <w:style w:type="paragraph" w:styleId="ListBullet2">
    <w:name w:val="List Bullet 2"/>
    <w:basedOn w:val="Normal"/>
    <w:uiPriority w:val="99"/>
    <w:semiHidden/>
    <w:unhideWhenUsed/>
    <w:rsid w:val="00635B49"/>
    <w:pPr>
      <w:numPr>
        <w:numId w:val="4"/>
      </w:numPr>
      <w:contextualSpacing/>
    </w:pPr>
  </w:style>
  <w:style w:type="paragraph" w:styleId="ListBullet3">
    <w:name w:val="List Bullet 3"/>
    <w:basedOn w:val="Normal"/>
    <w:uiPriority w:val="99"/>
    <w:semiHidden/>
    <w:unhideWhenUsed/>
    <w:rsid w:val="00635B49"/>
    <w:pPr>
      <w:numPr>
        <w:numId w:val="5"/>
      </w:numPr>
      <w:contextualSpacing/>
    </w:pPr>
  </w:style>
  <w:style w:type="paragraph" w:styleId="ListBullet4">
    <w:name w:val="List Bullet 4"/>
    <w:basedOn w:val="Normal"/>
    <w:uiPriority w:val="99"/>
    <w:semiHidden/>
    <w:unhideWhenUsed/>
    <w:rsid w:val="00635B49"/>
    <w:pPr>
      <w:numPr>
        <w:numId w:val="6"/>
      </w:numPr>
      <w:contextualSpacing/>
    </w:pPr>
  </w:style>
  <w:style w:type="paragraph" w:styleId="ListBullet5">
    <w:name w:val="List Bullet 5"/>
    <w:basedOn w:val="Normal"/>
    <w:uiPriority w:val="99"/>
    <w:semiHidden/>
    <w:unhideWhenUsed/>
    <w:rsid w:val="00635B49"/>
    <w:pPr>
      <w:numPr>
        <w:numId w:val="7"/>
      </w:numPr>
      <w:contextualSpacing/>
    </w:pPr>
  </w:style>
  <w:style w:type="paragraph" w:styleId="Caption">
    <w:name w:val="caption"/>
    <w:basedOn w:val="Normal"/>
    <w:next w:val="Normal"/>
    <w:uiPriority w:val="35"/>
    <w:semiHidden/>
    <w:unhideWhenUsed/>
    <w:qFormat/>
    <w:rsid w:val="00635B49"/>
    <w:pPr>
      <w:spacing w:before="0" w:after="200"/>
    </w:pPr>
    <w:rPr>
      <w:i/>
      <w:iCs/>
      <w:color w:val="1F497D" w:themeColor="text2"/>
      <w:sz w:val="18"/>
      <w:szCs w:val="18"/>
    </w:rPr>
  </w:style>
  <w:style w:type="paragraph" w:styleId="BlockText">
    <w:name w:val="Block Text"/>
    <w:basedOn w:val="Normal"/>
    <w:uiPriority w:val="99"/>
    <w:semiHidden/>
    <w:unhideWhenUsed/>
    <w:rsid w:val="00635B4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e">
    <w:name w:val="Date"/>
    <w:basedOn w:val="Normal"/>
    <w:next w:val="Normal"/>
    <w:link w:val="DateChar"/>
    <w:uiPriority w:val="99"/>
    <w:semiHidden/>
    <w:unhideWhenUsed/>
    <w:rsid w:val="00635B49"/>
  </w:style>
  <w:style w:type="character" w:customStyle="1" w:styleId="DateChar">
    <w:name w:val="Date Char"/>
    <w:basedOn w:val="DefaultParagraphFont"/>
    <w:link w:val="Date"/>
    <w:uiPriority w:val="99"/>
    <w:semiHidden/>
    <w:rsid w:val="00635B49"/>
    <w:rPr>
      <w:rFonts w:ascii="Arial" w:hAnsi="Arial" w:cs="Arial"/>
    </w:rPr>
  </w:style>
  <w:style w:type="paragraph" w:styleId="DocumentMap">
    <w:name w:val="Document Map"/>
    <w:basedOn w:val="Normal"/>
    <w:link w:val="DocumentMapChar"/>
    <w:uiPriority w:val="99"/>
    <w:semiHidden/>
    <w:unhideWhenUsed/>
    <w:rsid w:val="00635B49"/>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35B49"/>
    <w:rPr>
      <w:rFonts w:ascii="Segoe UI" w:hAnsi="Segoe UI" w:cs="Segoe UI"/>
      <w:sz w:val="16"/>
      <w:szCs w:val="16"/>
    </w:rPr>
  </w:style>
  <w:style w:type="paragraph" w:styleId="E-mailSignature">
    <w:name w:val="E-mail Signature"/>
    <w:basedOn w:val="Normal"/>
    <w:link w:val="E-mailSignatureChar"/>
    <w:uiPriority w:val="99"/>
    <w:semiHidden/>
    <w:unhideWhenUsed/>
    <w:rsid w:val="00635B49"/>
    <w:pPr>
      <w:spacing w:before="0" w:after="0"/>
    </w:pPr>
  </w:style>
  <w:style w:type="character" w:customStyle="1" w:styleId="E-mailSignatureChar">
    <w:name w:val="E-mail Signature Char"/>
    <w:basedOn w:val="DefaultParagraphFont"/>
    <w:link w:val="E-mailSignature"/>
    <w:uiPriority w:val="99"/>
    <w:semiHidden/>
    <w:rsid w:val="00635B49"/>
    <w:rPr>
      <w:rFonts w:ascii="Arial" w:hAnsi="Arial" w:cs="Arial"/>
    </w:rPr>
  </w:style>
  <w:style w:type="paragraph" w:styleId="EndnoteText">
    <w:name w:val="endnote text"/>
    <w:basedOn w:val="Normal"/>
    <w:link w:val="EndnoteTextChar"/>
    <w:uiPriority w:val="99"/>
    <w:semiHidden/>
    <w:unhideWhenUsed/>
    <w:rsid w:val="00635B49"/>
    <w:pPr>
      <w:spacing w:before="0" w:after="0"/>
    </w:pPr>
    <w:rPr>
      <w:sz w:val="20"/>
      <w:szCs w:val="20"/>
    </w:rPr>
  </w:style>
  <w:style w:type="character" w:customStyle="1" w:styleId="EndnoteTextChar">
    <w:name w:val="Endnote Text Char"/>
    <w:basedOn w:val="DefaultParagraphFont"/>
    <w:link w:val="EndnoteText"/>
    <w:uiPriority w:val="99"/>
    <w:semiHidden/>
    <w:rsid w:val="00635B49"/>
    <w:rPr>
      <w:rFonts w:ascii="Arial" w:hAnsi="Arial" w:cs="Arial"/>
      <w:sz w:val="20"/>
      <w:szCs w:val="20"/>
    </w:rPr>
  </w:style>
  <w:style w:type="paragraph" w:styleId="NoteHeading">
    <w:name w:val="Note Heading"/>
    <w:basedOn w:val="Normal"/>
    <w:next w:val="Normal"/>
    <w:link w:val="NoteHeadingChar"/>
    <w:uiPriority w:val="99"/>
    <w:semiHidden/>
    <w:unhideWhenUsed/>
    <w:rsid w:val="00635B49"/>
    <w:pPr>
      <w:spacing w:before="0" w:after="0"/>
    </w:pPr>
  </w:style>
  <w:style w:type="character" w:customStyle="1" w:styleId="NoteHeadingChar">
    <w:name w:val="Note Heading Char"/>
    <w:basedOn w:val="DefaultParagraphFont"/>
    <w:link w:val="NoteHeading"/>
    <w:uiPriority w:val="99"/>
    <w:semiHidden/>
    <w:rsid w:val="00635B49"/>
    <w:rPr>
      <w:rFonts w:ascii="Arial" w:hAnsi="Arial" w:cs="Arial"/>
    </w:rPr>
  </w:style>
  <w:style w:type="paragraph" w:styleId="Closing">
    <w:name w:val="Closing"/>
    <w:basedOn w:val="Normal"/>
    <w:link w:val="ClosingChar"/>
    <w:uiPriority w:val="99"/>
    <w:semiHidden/>
    <w:unhideWhenUsed/>
    <w:rsid w:val="00635B49"/>
    <w:pPr>
      <w:spacing w:before="0" w:after="0"/>
      <w:ind w:left="4252"/>
    </w:pPr>
  </w:style>
  <w:style w:type="character" w:customStyle="1" w:styleId="ClosingChar">
    <w:name w:val="Closing Char"/>
    <w:basedOn w:val="DefaultParagraphFont"/>
    <w:link w:val="Closing"/>
    <w:uiPriority w:val="99"/>
    <w:semiHidden/>
    <w:rsid w:val="00635B49"/>
    <w:rPr>
      <w:rFonts w:ascii="Arial" w:hAnsi="Arial" w:cs="Arial"/>
    </w:rPr>
  </w:style>
  <w:style w:type="paragraph" w:styleId="HTMLAddress">
    <w:name w:val="HTML Address"/>
    <w:basedOn w:val="Normal"/>
    <w:link w:val="HTMLAddressChar"/>
    <w:uiPriority w:val="99"/>
    <w:semiHidden/>
    <w:unhideWhenUsed/>
    <w:rsid w:val="00635B49"/>
    <w:pPr>
      <w:spacing w:before="0" w:after="0"/>
    </w:pPr>
    <w:rPr>
      <w:i/>
      <w:iCs/>
    </w:rPr>
  </w:style>
  <w:style w:type="character" w:customStyle="1" w:styleId="HTMLAddressChar">
    <w:name w:val="HTML Address Char"/>
    <w:basedOn w:val="DefaultParagraphFont"/>
    <w:link w:val="HTMLAddress"/>
    <w:uiPriority w:val="99"/>
    <w:semiHidden/>
    <w:rsid w:val="00635B49"/>
    <w:rPr>
      <w:rFonts w:ascii="Arial" w:hAnsi="Arial" w:cs="Arial"/>
      <w:i/>
      <w:iCs/>
    </w:rPr>
  </w:style>
  <w:style w:type="paragraph" w:styleId="HTMLPreformatted">
    <w:name w:val="HTML Preformatted"/>
    <w:basedOn w:val="Normal"/>
    <w:link w:val="HTMLPreformattedChar"/>
    <w:uiPriority w:val="99"/>
    <w:semiHidden/>
    <w:unhideWhenUsed/>
    <w:rsid w:val="00635B49"/>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35B49"/>
    <w:rPr>
      <w:rFonts w:ascii="Consolas" w:hAnsi="Consolas" w:cs="Arial"/>
      <w:sz w:val="20"/>
      <w:szCs w:val="20"/>
    </w:rPr>
  </w:style>
  <w:style w:type="paragraph" w:styleId="Index1">
    <w:name w:val="index 1"/>
    <w:basedOn w:val="Normal"/>
    <w:next w:val="Normal"/>
    <w:autoRedefine/>
    <w:uiPriority w:val="99"/>
    <w:semiHidden/>
    <w:unhideWhenUsed/>
    <w:rsid w:val="00635B49"/>
    <w:pPr>
      <w:spacing w:before="0" w:after="0"/>
      <w:ind w:left="220" w:hanging="220"/>
    </w:pPr>
  </w:style>
  <w:style w:type="paragraph" w:styleId="Index2">
    <w:name w:val="index 2"/>
    <w:basedOn w:val="Normal"/>
    <w:next w:val="Normal"/>
    <w:autoRedefine/>
    <w:uiPriority w:val="99"/>
    <w:semiHidden/>
    <w:unhideWhenUsed/>
    <w:rsid w:val="00635B49"/>
    <w:pPr>
      <w:spacing w:before="0" w:after="0"/>
      <w:ind w:left="440" w:hanging="220"/>
    </w:pPr>
  </w:style>
  <w:style w:type="paragraph" w:styleId="Index3">
    <w:name w:val="index 3"/>
    <w:basedOn w:val="Normal"/>
    <w:next w:val="Normal"/>
    <w:autoRedefine/>
    <w:uiPriority w:val="99"/>
    <w:semiHidden/>
    <w:unhideWhenUsed/>
    <w:rsid w:val="00635B49"/>
    <w:pPr>
      <w:spacing w:before="0" w:after="0"/>
      <w:ind w:left="660" w:hanging="220"/>
    </w:pPr>
  </w:style>
  <w:style w:type="paragraph" w:styleId="Index4">
    <w:name w:val="index 4"/>
    <w:basedOn w:val="Normal"/>
    <w:next w:val="Normal"/>
    <w:autoRedefine/>
    <w:uiPriority w:val="99"/>
    <w:semiHidden/>
    <w:unhideWhenUsed/>
    <w:rsid w:val="00635B49"/>
    <w:pPr>
      <w:spacing w:before="0" w:after="0"/>
      <w:ind w:left="880" w:hanging="220"/>
    </w:pPr>
  </w:style>
  <w:style w:type="paragraph" w:styleId="Index5">
    <w:name w:val="index 5"/>
    <w:basedOn w:val="Normal"/>
    <w:next w:val="Normal"/>
    <w:autoRedefine/>
    <w:uiPriority w:val="99"/>
    <w:semiHidden/>
    <w:unhideWhenUsed/>
    <w:rsid w:val="00635B49"/>
    <w:pPr>
      <w:spacing w:before="0" w:after="0"/>
      <w:ind w:left="1100" w:hanging="220"/>
    </w:pPr>
  </w:style>
  <w:style w:type="paragraph" w:styleId="Index6">
    <w:name w:val="index 6"/>
    <w:basedOn w:val="Normal"/>
    <w:next w:val="Normal"/>
    <w:autoRedefine/>
    <w:uiPriority w:val="99"/>
    <w:semiHidden/>
    <w:unhideWhenUsed/>
    <w:rsid w:val="00635B49"/>
    <w:pPr>
      <w:spacing w:before="0" w:after="0"/>
      <w:ind w:left="1320" w:hanging="220"/>
    </w:pPr>
  </w:style>
  <w:style w:type="paragraph" w:styleId="Index7">
    <w:name w:val="index 7"/>
    <w:basedOn w:val="Normal"/>
    <w:next w:val="Normal"/>
    <w:autoRedefine/>
    <w:uiPriority w:val="99"/>
    <w:semiHidden/>
    <w:unhideWhenUsed/>
    <w:rsid w:val="00635B49"/>
    <w:pPr>
      <w:spacing w:before="0" w:after="0"/>
      <w:ind w:left="1540" w:hanging="220"/>
    </w:pPr>
  </w:style>
  <w:style w:type="paragraph" w:styleId="Index8">
    <w:name w:val="index 8"/>
    <w:basedOn w:val="Normal"/>
    <w:next w:val="Normal"/>
    <w:autoRedefine/>
    <w:uiPriority w:val="99"/>
    <w:semiHidden/>
    <w:unhideWhenUsed/>
    <w:rsid w:val="00635B49"/>
    <w:pPr>
      <w:spacing w:before="0" w:after="0"/>
      <w:ind w:left="1760" w:hanging="220"/>
    </w:pPr>
  </w:style>
  <w:style w:type="paragraph" w:styleId="Index9">
    <w:name w:val="index 9"/>
    <w:basedOn w:val="Normal"/>
    <w:next w:val="Normal"/>
    <w:autoRedefine/>
    <w:uiPriority w:val="99"/>
    <w:semiHidden/>
    <w:unhideWhenUsed/>
    <w:rsid w:val="00635B49"/>
    <w:pPr>
      <w:spacing w:before="0" w:after="0"/>
      <w:ind w:left="1980" w:hanging="220"/>
    </w:pPr>
  </w:style>
  <w:style w:type="paragraph" w:styleId="IndexHeading">
    <w:name w:val="index heading"/>
    <w:basedOn w:val="Normal"/>
    <w:next w:val="Index1"/>
    <w:uiPriority w:val="99"/>
    <w:semiHidden/>
    <w:unhideWhenUsed/>
    <w:rsid w:val="00635B49"/>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635B49"/>
    <w:pPr>
      <w:keepLines/>
      <w:numPr>
        <w:numId w:val="0"/>
      </w:numPr>
      <w:tabs>
        <w:tab w:val="num" w:pos="1492"/>
      </w:tabs>
      <w:spacing w:after="0"/>
      <w:ind w:left="1492" w:hanging="360"/>
      <w:outlineLvl w:val="9"/>
    </w:pPr>
    <w:rPr>
      <w:rFonts w:asciiTheme="majorHAnsi" w:hAnsiTheme="majorHAnsi" w:cstheme="majorBidi"/>
      <w:b w:val="0"/>
      <w:bCs w:val="0"/>
      <w:color w:val="365F91" w:themeColor="accent1" w:themeShade="BF"/>
      <w:kern w:val="0"/>
      <w:sz w:val="32"/>
      <w:szCs w:val="32"/>
    </w:rPr>
  </w:style>
  <w:style w:type="paragraph" w:styleId="IntenseQuote">
    <w:name w:val="Intense Quote"/>
    <w:basedOn w:val="Normal"/>
    <w:next w:val="Normal"/>
    <w:link w:val="IntenseQuoteChar"/>
    <w:uiPriority w:val="30"/>
    <w:qFormat/>
    <w:rsid w:val="00635B4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35B49"/>
    <w:rPr>
      <w:rFonts w:ascii="Arial" w:hAnsi="Arial" w:cs="Arial"/>
      <w:i/>
      <w:iCs/>
      <w:color w:val="4F81BD" w:themeColor="accent1"/>
    </w:rPr>
  </w:style>
  <w:style w:type="paragraph" w:styleId="NoSpacing">
    <w:name w:val="No Spacing"/>
    <w:uiPriority w:val="1"/>
    <w:qFormat/>
    <w:rsid w:val="00635B49"/>
    <w:pPr>
      <w:spacing w:after="0" w:line="240" w:lineRule="auto"/>
      <w:jc w:val="both"/>
    </w:pPr>
    <w:rPr>
      <w:rFonts w:ascii="Arial" w:hAnsi="Arial" w:cs="Arial"/>
    </w:rPr>
  </w:style>
  <w:style w:type="paragraph" w:styleId="CommentText">
    <w:name w:val="annotation text"/>
    <w:basedOn w:val="Normal"/>
    <w:link w:val="CommentTextChar"/>
    <w:uiPriority w:val="99"/>
    <w:unhideWhenUsed/>
    <w:rsid w:val="00635B49"/>
    <w:rPr>
      <w:sz w:val="20"/>
      <w:szCs w:val="20"/>
    </w:rPr>
  </w:style>
  <w:style w:type="character" w:customStyle="1" w:styleId="CommentTextChar">
    <w:name w:val="Comment Text Char"/>
    <w:basedOn w:val="DefaultParagraphFont"/>
    <w:link w:val="CommentText"/>
    <w:uiPriority w:val="99"/>
    <w:rsid w:val="00635B4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35B49"/>
    <w:rPr>
      <w:b/>
      <w:bCs/>
    </w:rPr>
  </w:style>
  <w:style w:type="character" w:customStyle="1" w:styleId="CommentSubjectChar">
    <w:name w:val="Comment Subject Char"/>
    <w:basedOn w:val="CommentTextChar"/>
    <w:link w:val="CommentSubject"/>
    <w:uiPriority w:val="99"/>
    <w:semiHidden/>
    <w:rsid w:val="00635B49"/>
    <w:rPr>
      <w:rFonts w:ascii="Arial" w:hAnsi="Arial" w:cs="Arial"/>
      <w:b/>
      <w:bCs/>
      <w:sz w:val="20"/>
      <w:szCs w:val="20"/>
    </w:rPr>
  </w:style>
  <w:style w:type="paragraph" w:styleId="List">
    <w:name w:val="List"/>
    <w:basedOn w:val="Normal"/>
    <w:uiPriority w:val="99"/>
    <w:semiHidden/>
    <w:unhideWhenUsed/>
    <w:rsid w:val="00635B49"/>
    <w:pPr>
      <w:ind w:left="283" w:hanging="283"/>
      <w:contextualSpacing/>
    </w:pPr>
  </w:style>
  <w:style w:type="paragraph" w:styleId="List2">
    <w:name w:val="List 2"/>
    <w:basedOn w:val="Normal"/>
    <w:uiPriority w:val="99"/>
    <w:semiHidden/>
    <w:unhideWhenUsed/>
    <w:rsid w:val="00635B49"/>
    <w:pPr>
      <w:ind w:left="566" w:hanging="283"/>
      <w:contextualSpacing/>
    </w:pPr>
  </w:style>
  <w:style w:type="paragraph" w:styleId="List3">
    <w:name w:val="List 3"/>
    <w:basedOn w:val="Normal"/>
    <w:uiPriority w:val="99"/>
    <w:semiHidden/>
    <w:unhideWhenUsed/>
    <w:rsid w:val="00635B49"/>
    <w:pPr>
      <w:ind w:left="849" w:hanging="283"/>
      <w:contextualSpacing/>
    </w:pPr>
  </w:style>
  <w:style w:type="paragraph" w:styleId="List4">
    <w:name w:val="List 4"/>
    <w:basedOn w:val="Normal"/>
    <w:uiPriority w:val="99"/>
    <w:semiHidden/>
    <w:unhideWhenUsed/>
    <w:rsid w:val="00635B49"/>
    <w:pPr>
      <w:ind w:left="1132" w:hanging="283"/>
      <w:contextualSpacing/>
    </w:pPr>
  </w:style>
  <w:style w:type="paragraph" w:styleId="List5">
    <w:name w:val="List 5"/>
    <w:basedOn w:val="Normal"/>
    <w:uiPriority w:val="99"/>
    <w:semiHidden/>
    <w:unhideWhenUsed/>
    <w:rsid w:val="00635B49"/>
    <w:pPr>
      <w:ind w:left="1415" w:hanging="283"/>
      <w:contextualSpacing/>
    </w:pPr>
  </w:style>
  <w:style w:type="paragraph" w:styleId="ListParagraph">
    <w:name w:val="List Paragraph"/>
    <w:basedOn w:val="Normal"/>
    <w:uiPriority w:val="34"/>
    <w:qFormat/>
    <w:rsid w:val="00635B49"/>
    <w:pPr>
      <w:ind w:left="720"/>
      <w:contextualSpacing/>
    </w:pPr>
  </w:style>
  <w:style w:type="paragraph" w:styleId="ListContinue">
    <w:name w:val="List Continue"/>
    <w:basedOn w:val="Normal"/>
    <w:uiPriority w:val="99"/>
    <w:semiHidden/>
    <w:unhideWhenUsed/>
    <w:rsid w:val="00635B49"/>
    <w:pPr>
      <w:ind w:left="283"/>
      <w:contextualSpacing/>
    </w:pPr>
  </w:style>
  <w:style w:type="paragraph" w:styleId="ListContinue2">
    <w:name w:val="List Continue 2"/>
    <w:basedOn w:val="Normal"/>
    <w:uiPriority w:val="99"/>
    <w:semiHidden/>
    <w:unhideWhenUsed/>
    <w:rsid w:val="00635B49"/>
    <w:pPr>
      <w:ind w:left="566"/>
      <w:contextualSpacing/>
    </w:pPr>
  </w:style>
  <w:style w:type="paragraph" w:styleId="ListContinue3">
    <w:name w:val="List Continue 3"/>
    <w:basedOn w:val="Normal"/>
    <w:uiPriority w:val="99"/>
    <w:semiHidden/>
    <w:unhideWhenUsed/>
    <w:rsid w:val="00635B49"/>
    <w:pPr>
      <w:ind w:left="849"/>
      <w:contextualSpacing/>
    </w:pPr>
  </w:style>
  <w:style w:type="paragraph" w:styleId="ListContinue4">
    <w:name w:val="List Continue 4"/>
    <w:basedOn w:val="Normal"/>
    <w:uiPriority w:val="99"/>
    <w:semiHidden/>
    <w:unhideWhenUsed/>
    <w:rsid w:val="00635B49"/>
    <w:pPr>
      <w:ind w:left="1132"/>
      <w:contextualSpacing/>
    </w:pPr>
  </w:style>
  <w:style w:type="paragraph" w:styleId="ListContinue5">
    <w:name w:val="List Continue 5"/>
    <w:basedOn w:val="Normal"/>
    <w:uiPriority w:val="99"/>
    <w:semiHidden/>
    <w:unhideWhenUsed/>
    <w:rsid w:val="00635B49"/>
    <w:pPr>
      <w:ind w:left="1415"/>
      <w:contextualSpacing/>
    </w:pPr>
  </w:style>
  <w:style w:type="paragraph" w:styleId="ListNumber">
    <w:name w:val="List Number"/>
    <w:basedOn w:val="Normal"/>
    <w:uiPriority w:val="99"/>
    <w:semiHidden/>
    <w:unhideWhenUsed/>
    <w:rsid w:val="00635B49"/>
    <w:pPr>
      <w:numPr>
        <w:numId w:val="8"/>
      </w:numPr>
      <w:contextualSpacing/>
    </w:pPr>
  </w:style>
  <w:style w:type="paragraph" w:styleId="ListNumber2">
    <w:name w:val="List Number 2"/>
    <w:basedOn w:val="Normal"/>
    <w:uiPriority w:val="99"/>
    <w:semiHidden/>
    <w:unhideWhenUsed/>
    <w:rsid w:val="00635B49"/>
    <w:pPr>
      <w:numPr>
        <w:numId w:val="9"/>
      </w:numPr>
      <w:contextualSpacing/>
    </w:pPr>
  </w:style>
  <w:style w:type="paragraph" w:styleId="ListNumber3">
    <w:name w:val="List Number 3"/>
    <w:basedOn w:val="Normal"/>
    <w:uiPriority w:val="99"/>
    <w:semiHidden/>
    <w:unhideWhenUsed/>
    <w:rsid w:val="00635B49"/>
    <w:pPr>
      <w:numPr>
        <w:numId w:val="10"/>
      </w:numPr>
      <w:contextualSpacing/>
    </w:pPr>
  </w:style>
  <w:style w:type="paragraph" w:styleId="ListNumber4">
    <w:name w:val="List Number 4"/>
    <w:basedOn w:val="Normal"/>
    <w:uiPriority w:val="99"/>
    <w:semiHidden/>
    <w:unhideWhenUsed/>
    <w:rsid w:val="00635B49"/>
    <w:pPr>
      <w:numPr>
        <w:numId w:val="11"/>
      </w:numPr>
      <w:contextualSpacing/>
    </w:pPr>
  </w:style>
  <w:style w:type="paragraph" w:styleId="ListNumber5">
    <w:name w:val="List Number 5"/>
    <w:basedOn w:val="Normal"/>
    <w:uiPriority w:val="99"/>
    <w:semiHidden/>
    <w:unhideWhenUsed/>
    <w:rsid w:val="00635B49"/>
    <w:pPr>
      <w:numPr>
        <w:numId w:val="12"/>
      </w:numPr>
      <w:contextualSpacing/>
    </w:pPr>
  </w:style>
  <w:style w:type="paragraph" w:styleId="Bibliography">
    <w:name w:val="Bibliography"/>
    <w:basedOn w:val="Normal"/>
    <w:next w:val="Normal"/>
    <w:uiPriority w:val="37"/>
    <w:semiHidden/>
    <w:unhideWhenUsed/>
    <w:rsid w:val="00635B49"/>
  </w:style>
  <w:style w:type="paragraph" w:styleId="MacroText">
    <w:name w:val="macro"/>
    <w:link w:val="MacroTextChar"/>
    <w:uiPriority w:val="99"/>
    <w:semiHidden/>
    <w:unhideWhenUsed/>
    <w:rsid w:val="00635B49"/>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hAnsi="Consolas" w:cs="Arial"/>
      <w:sz w:val="20"/>
      <w:szCs w:val="20"/>
    </w:rPr>
  </w:style>
  <w:style w:type="character" w:customStyle="1" w:styleId="MacroTextChar">
    <w:name w:val="Macro Text Char"/>
    <w:basedOn w:val="DefaultParagraphFont"/>
    <w:link w:val="MacroText"/>
    <w:uiPriority w:val="99"/>
    <w:semiHidden/>
    <w:rsid w:val="00635B49"/>
    <w:rPr>
      <w:rFonts w:ascii="Consolas" w:hAnsi="Consolas" w:cs="Arial"/>
      <w:sz w:val="20"/>
      <w:szCs w:val="20"/>
    </w:rPr>
  </w:style>
  <w:style w:type="paragraph" w:styleId="MessageHeader">
    <w:name w:val="Message Header"/>
    <w:basedOn w:val="Normal"/>
    <w:link w:val="MessageHeaderChar"/>
    <w:uiPriority w:val="99"/>
    <w:semiHidden/>
    <w:unhideWhenUsed/>
    <w:rsid w:val="00635B4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35B49"/>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635B49"/>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635B49"/>
    <w:rPr>
      <w:rFonts w:ascii="Consolas" w:hAnsi="Consolas" w:cs="Arial"/>
      <w:sz w:val="21"/>
      <w:szCs w:val="21"/>
    </w:rPr>
  </w:style>
  <w:style w:type="paragraph" w:styleId="TableofAuthorities">
    <w:name w:val="table of authorities"/>
    <w:basedOn w:val="Normal"/>
    <w:next w:val="Normal"/>
    <w:uiPriority w:val="99"/>
    <w:semiHidden/>
    <w:unhideWhenUsed/>
    <w:rsid w:val="00635B49"/>
    <w:pPr>
      <w:spacing w:after="0"/>
      <w:ind w:left="220" w:hanging="220"/>
    </w:pPr>
  </w:style>
  <w:style w:type="paragraph" w:styleId="TOAHeading">
    <w:name w:val="toa heading"/>
    <w:basedOn w:val="Normal"/>
    <w:next w:val="Normal"/>
    <w:uiPriority w:val="99"/>
    <w:semiHidden/>
    <w:unhideWhenUsed/>
    <w:rsid w:val="00635B49"/>
    <w:rPr>
      <w:rFonts w:asciiTheme="majorHAnsi" w:eastAsiaTheme="majorEastAsia" w:hAnsiTheme="majorHAnsi" w:cstheme="majorBidi"/>
      <w:b/>
      <w:bCs/>
      <w:sz w:val="24"/>
      <w:szCs w:val="24"/>
    </w:rPr>
  </w:style>
  <w:style w:type="paragraph" w:styleId="BalloonText">
    <w:name w:val="Balloon Text"/>
    <w:basedOn w:val="Normal"/>
    <w:link w:val="BalloonTextChar"/>
    <w:uiPriority w:val="99"/>
    <w:semiHidden/>
    <w:unhideWhenUsed/>
    <w:rsid w:val="00635B4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B49"/>
    <w:rPr>
      <w:rFonts w:ascii="Segoe UI" w:hAnsi="Segoe UI" w:cs="Segoe UI"/>
      <w:sz w:val="18"/>
      <w:szCs w:val="18"/>
    </w:rPr>
  </w:style>
  <w:style w:type="paragraph" w:styleId="NormalWeb">
    <w:name w:val="Normal (Web)"/>
    <w:basedOn w:val="Normal"/>
    <w:uiPriority w:val="99"/>
    <w:unhideWhenUsed/>
    <w:rsid w:val="00635B49"/>
    <w:rPr>
      <w:rFonts w:ascii="Times New Roman" w:hAnsi="Times New Roman" w:cs="Times New Roman"/>
      <w:sz w:val="24"/>
      <w:szCs w:val="24"/>
    </w:rPr>
  </w:style>
  <w:style w:type="paragraph" w:styleId="NormalIndent">
    <w:name w:val="Normal Indent"/>
    <w:basedOn w:val="Normal"/>
    <w:uiPriority w:val="99"/>
    <w:semiHidden/>
    <w:unhideWhenUsed/>
    <w:rsid w:val="00635B49"/>
    <w:pPr>
      <w:ind w:left="708"/>
    </w:pPr>
  </w:style>
  <w:style w:type="paragraph" w:styleId="BodyText">
    <w:name w:val="Body Text"/>
    <w:basedOn w:val="Normal"/>
    <w:link w:val="BodyTextChar"/>
    <w:uiPriority w:val="99"/>
    <w:semiHidden/>
    <w:unhideWhenUsed/>
    <w:rsid w:val="00635B49"/>
  </w:style>
  <w:style w:type="character" w:customStyle="1" w:styleId="BodyTextChar">
    <w:name w:val="Body Text Char"/>
    <w:basedOn w:val="DefaultParagraphFont"/>
    <w:link w:val="BodyText"/>
    <w:uiPriority w:val="99"/>
    <w:semiHidden/>
    <w:rsid w:val="00635B49"/>
    <w:rPr>
      <w:rFonts w:ascii="Arial" w:hAnsi="Arial" w:cs="Arial"/>
    </w:rPr>
  </w:style>
  <w:style w:type="paragraph" w:styleId="BodyText2">
    <w:name w:val="Body Text 2"/>
    <w:basedOn w:val="Normal"/>
    <w:link w:val="BodyText2Char"/>
    <w:uiPriority w:val="99"/>
    <w:semiHidden/>
    <w:unhideWhenUsed/>
    <w:rsid w:val="00635B49"/>
    <w:pPr>
      <w:spacing w:line="480" w:lineRule="auto"/>
    </w:pPr>
  </w:style>
  <w:style w:type="character" w:customStyle="1" w:styleId="BodyText2Char">
    <w:name w:val="Body Text 2 Char"/>
    <w:basedOn w:val="DefaultParagraphFont"/>
    <w:link w:val="BodyText2"/>
    <w:uiPriority w:val="99"/>
    <w:semiHidden/>
    <w:rsid w:val="00635B49"/>
    <w:rPr>
      <w:rFonts w:ascii="Arial" w:hAnsi="Arial" w:cs="Arial"/>
    </w:rPr>
  </w:style>
  <w:style w:type="paragraph" w:styleId="BodyText3">
    <w:name w:val="Body Text 3"/>
    <w:basedOn w:val="Normal"/>
    <w:link w:val="BodyText3Char"/>
    <w:uiPriority w:val="99"/>
    <w:semiHidden/>
    <w:unhideWhenUsed/>
    <w:rsid w:val="00635B49"/>
    <w:rPr>
      <w:sz w:val="16"/>
      <w:szCs w:val="16"/>
    </w:rPr>
  </w:style>
  <w:style w:type="character" w:customStyle="1" w:styleId="BodyText3Char">
    <w:name w:val="Body Text 3 Char"/>
    <w:basedOn w:val="DefaultParagraphFont"/>
    <w:link w:val="BodyText3"/>
    <w:uiPriority w:val="99"/>
    <w:semiHidden/>
    <w:rsid w:val="00635B49"/>
    <w:rPr>
      <w:rFonts w:ascii="Arial" w:hAnsi="Arial" w:cs="Arial"/>
      <w:sz w:val="16"/>
      <w:szCs w:val="16"/>
    </w:rPr>
  </w:style>
  <w:style w:type="paragraph" w:styleId="BodyTextIndent2">
    <w:name w:val="Body Text Indent 2"/>
    <w:basedOn w:val="Normal"/>
    <w:link w:val="BodyTextIndent2Char"/>
    <w:uiPriority w:val="99"/>
    <w:semiHidden/>
    <w:unhideWhenUsed/>
    <w:rsid w:val="00635B49"/>
    <w:pPr>
      <w:spacing w:line="480" w:lineRule="auto"/>
      <w:ind w:left="283"/>
    </w:pPr>
  </w:style>
  <w:style w:type="character" w:customStyle="1" w:styleId="BodyTextIndent2Char">
    <w:name w:val="Body Text Indent 2 Char"/>
    <w:basedOn w:val="DefaultParagraphFont"/>
    <w:link w:val="BodyTextIndent2"/>
    <w:uiPriority w:val="99"/>
    <w:semiHidden/>
    <w:rsid w:val="00635B49"/>
    <w:rPr>
      <w:rFonts w:ascii="Arial" w:hAnsi="Arial" w:cs="Arial"/>
    </w:rPr>
  </w:style>
  <w:style w:type="paragraph" w:styleId="BodyTextIndent3">
    <w:name w:val="Body Text Indent 3"/>
    <w:basedOn w:val="Normal"/>
    <w:link w:val="BodyTextIndent3Char"/>
    <w:uiPriority w:val="99"/>
    <w:semiHidden/>
    <w:unhideWhenUsed/>
    <w:rsid w:val="00635B49"/>
    <w:pPr>
      <w:ind w:left="283"/>
    </w:pPr>
    <w:rPr>
      <w:sz w:val="16"/>
      <w:szCs w:val="16"/>
    </w:rPr>
  </w:style>
  <w:style w:type="character" w:customStyle="1" w:styleId="BodyTextIndent3Char">
    <w:name w:val="Body Text Indent 3 Char"/>
    <w:basedOn w:val="DefaultParagraphFont"/>
    <w:link w:val="BodyTextIndent3"/>
    <w:uiPriority w:val="99"/>
    <w:semiHidden/>
    <w:rsid w:val="00635B49"/>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635B49"/>
    <w:pPr>
      <w:ind w:firstLine="360"/>
    </w:pPr>
  </w:style>
  <w:style w:type="character" w:customStyle="1" w:styleId="BodyTextFirstIndentChar">
    <w:name w:val="Body Text First Indent Char"/>
    <w:basedOn w:val="BodyTextChar"/>
    <w:link w:val="BodyTextFirstIndent"/>
    <w:uiPriority w:val="99"/>
    <w:semiHidden/>
    <w:rsid w:val="00635B49"/>
    <w:rPr>
      <w:rFonts w:ascii="Arial" w:hAnsi="Arial" w:cs="Arial"/>
    </w:rPr>
  </w:style>
  <w:style w:type="paragraph" w:styleId="BodyTextIndent">
    <w:name w:val="Body Text Indent"/>
    <w:basedOn w:val="Normal"/>
    <w:link w:val="BodyTextIndentChar"/>
    <w:uiPriority w:val="99"/>
    <w:semiHidden/>
    <w:unhideWhenUsed/>
    <w:rsid w:val="00635B49"/>
    <w:pPr>
      <w:ind w:left="283"/>
    </w:pPr>
  </w:style>
  <w:style w:type="character" w:customStyle="1" w:styleId="BodyTextIndentChar">
    <w:name w:val="Body Text Indent Char"/>
    <w:basedOn w:val="DefaultParagraphFont"/>
    <w:link w:val="BodyTextIndent"/>
    <w:uiPriority w:val="99"/>
    <w:semiHidden/>
    <w:rsid w:val="00635B49"/>
    <w:rPr>
      <w:rFonts w:ascii="Arial" w:hAnsi="Arial" w:cs="Arial"/>
    </w:rPr>
  </w:style>
  <w:style w:type="paragraph" w:styleId="BodyTextFirstIndent2">
    <w:name w:val="Body Text First Indent 2"/>
    <w:basedOn w:val="BodyTextIndent"/>
    <w:link w:val="BodyTextFirstIndent2Char"/>
    <w:uiPriority w:val="99"/>
    <w:semiHidden/>
    <w:unhideWhenUsed/>
    <w:rsid w:val="00635B49"/>
    <w:pPr>
      <w:ind w:left="360" w:firstLine="360"/>
    </w:pPr>
  </w:style>
  <w:style w:type="character" w:customStyle="1" w:styleId="BodyTextFirstIndent2Char">
    <w:name w:val="Body Text First Indent 2 Char"/>
    <w:basedOn w:val="BodyTextIndentChar"/>
    <w:link w:val="BodyTextFirstIndent2"/>
    <w:uiPriority w:val="99"/>
    <w:semiHidden/>
    <w:rsid w:val="00635B49"/>
    <w:rPr>
      <w:rFonts w:ascii="Arial" w:hAnsi="Arial" w:cs="Arial"/>
    </w:rPr>
  </w:style>
  <w:style w:type="paragraph" w:styleId="Title">
    <w:name w:val="Title"/>
    <w:basedOn w:val="Normal"/>
    <w:next w:val="Normal"/>
    <w:link w:val="TitleChar"/>
    <w:uiPriority w:val="10"/>
    <w:qFormat/>
    <w:rsid w:val="00635B49"/>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B49"/>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semiHidden/>
    <w:rsid w:val="00635B4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35B4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35B4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35B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35B49"/>
    <w:rPr>
      <w:rFonts w:asciiTheme="majorHAnsi" w:eastAsiaTheme="majorEastAsia" w:hAnsiTheme="majorHAnsi" w:cstheme="majorBidi"/>
      <w:i/>
      <w:iCs/>
      <w:color w:val="272727" w:themeColor="text1" w:themeTint="D8"/>
      <w:sz w:val="21"/>
      <w:szCs w:val="21"/>
    </w:rPr>
  </w:style>
  <w:style w:type="paragraph" w:styleId="EnvelopeReturn">
    <w:name w:val="envelope return"/>
    <w:basedOn w:val="Normal"/>
    <w:uiPriority w:val="99"/>
    <w:semiHidden/>
    <w:unhideWhenUsed/>
    <w:rsid w:val="00635B49"/>
    <w:pPr>
      <w:spacing w:before="0" w:after="0"/>
    </w:pPr>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635B49"/>
    <w:pPr>
      <w:framePr w:w="4320" w:h="2160" w:hRule="exact" w:hSpace="141" w:wrap="auto" w:hAnchor="page" w:xAlign="center" w:yAlign="bottom"/>
      <w:spacing w:before="0" w:after="0"/>
      <w:ind w:left="1"/>
    </w:pPr>
    <w:rPr>
      <w:rFonts w:asciiTheme="majorHAnsi" w:eastAsiaTheme="majorEastAsia" w:hAnsiTheme="majorHAnsi" w:cstheme="majorBidi"/>
      <w:sz w:val="24"/>
      <w:szCs w:val="24"/>
    </w:rPr>
  </w:style>
  <w:style w:type="paragraph" w:styleId="Signature">
    <w:name w:val="Signature"/>
    <w:basedOn w:val="Normal"/>
    <w:link w:val="SignatureChar"/>
    <w:uiPriority w:val="99"/>
    <w:semiHidden/>
    <w:unhideWhenUsed/>
    <w:rsid w:val="00635B49"/>
    <w:pPr>
      <w:spacing w:before="0" w:after="0"/>
      <w:ind w:left="4252"/>
    </w:pPr>
  </w:style>
  <w:style w:type="character" w:customStyle="1" w:styleId="SignatureChar">
    <w:name w:val="Signature Char"/>
    <w:basedOn w:val="DefaultParagraphFont"/>
    <w:link w:val="Signature"/>
    <w:uiPriority w:val="99"/>
    <w:semiHidden/>
    <w:rsid w:val="00635B49"/>
    <w:rPr>
      <w:rFonts w:ascii="Arial" w:hAnsi="Arial" w:cs="Arial"/>
    </w:rPr>
  </w:style>
  <w:style w:type="paragraph" w:styleId="Subtitle">
    <w:name w:val="Subtitle"/>
    <w:basedOn w:val="Normal"/>
    <w:next w:val="Normal"/>
    <w:link w:val="SubtitleChar"/>
    <w:uiPriority w:val="11"/>
    <w:qFormat/>
    <w:rsid w:val="00635B4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35B49"/>
    <w:rPr>
      <w:rFonts w:eastAsiaTheme="minorEastAsia"/>
      <w:color w:val="5A5A5A" w:themeColor="text1" w:themeTint="A5"/>
      <w:spacing w:val="15"/>
    </w:rPr>
  </w:style>
  <w:style w:type="paragraph" w:styleId="Quote">
    <w:name w:val="Quote"/>
    <w:basedOn w:val="Normal"/>
    <w:next w:val="Normal"/>
    <w:link w:val="QuoteChar"/>
    <w:uiPriority w:val="29"/>
    <w:qFormat/>
    <w:rsid w:val="00635B4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35B49"/>
    <w:rPr>
      <w:rFonts w:ascii="Arial" w:hAnsi="Arial" w:cs="Arial"/>
      <w:i/>
      <w:iCs/>
      <w:color w:val="404040" w:themeColor="text1" w:themeTint="BF"/>
    </w:rPr>
  </w:style>
  <w:style w:type="character" w:customStyle="1" w:styleId="markedcontent">
    <w:name w:val="markedcontent"/>
    <w:basedOn w:val="DefaultParagraphFont"/>
    <w:rsid w:val="009D3EFC"/>
  </w:style>
  <w:style w:type="character" w:customStyle="1" w:styleId="highlight">
    <w:name w:val="highlight"/>
    <w:basedOn w:val="DefaultParagraphFont"/>
    <w:rsid w:val="009D3EFC"/>
  </w:style>
  <w:style w:type="paragraph" w:styleId="FootnoteText">
    <w:name w:val="footnote text"/>
    <w:basedOn w:val="Normal"/>
    <w:link w:val="FootnoteTextChar"/>
    <w:uiPriority w:val="99"/>
    <w:semiHidden/>
    <w:unhideWhenUsed/>
    <w:rsid w:val="00CB23B3"/>
    <w:pPr>
      <w:spacing w:before="0" w:after="0"/>
      <w:ind w:left="720" w:hanging="720"/>
    </w:pPr>
    <w:rPr>
      <w:sz w:val="18"/>
      <w:szCs w:val="20"/>
    </w:rPr>
  </w:style>
  <w:style w:type="character" w:customStyle="1" w:styleId="FootnoteTextChar">
    <w:name w:val="Footnote Text Char"/>
    <w:basedOn w:val="DefaultParagraphFont"/>
    <w:link w:val="FootnoteText"/>
    <w:uiPriority w:val="99"/>
    <w:semiHidden/>
    <w:rsid w:val="00CB23B3"/>
    <w:rPr>
      <w:rFonts w:ascii="Arial" w:hAnsi="Arial" w:cs="Arial"/>
      <w:sz w:val="18"/>
      <w:szCs w:val="20"/>
    </w:rPr>
  </w:style>
  <w:style w:type="paragraph" w:styleId="Footer">
    <w:name w:val="footer"/>
    <w:basedOn w:val="Normal"/>
    <w:link w:val="FooterChar"/>
    <w:uiPriority w:val="99"/>
    <w:unhideWhenUsed/>
    <w:rsid w:val="00CB23B3"/>
    <w:pPr>
      <w:tabs>
        <w:tab w:val="center" w:pos="4394"/>
        <w:tab w:val="right" w:pos="8787"/>
      </w:tabs>
      <w:spacing w:before="360" w:after="0"/>
      <w:jc w:val="left"/>
    </w:pPr>
  </w:style>
  <w:style w:type="character" w:customStyle="1" w:styleId="FooterChar">
    <w:name w:val="Footer Char"/>
    <w:basedOn w:val="DefaultParagraphFont"/>
    <w:link w:val="Footer"/>
    <w:uiPriority w:val="99"/>
    <w:rsid w:val="00CB23B3"/>
    <w:rPr>
      <w:rFonts w:ascii="Arial" w:hAnsi="Arial" w:cs="Arial"/>
    </w:rPr>
  </w:style>
  <w:style w:type="paragraph" w:styleId="TOC2">
    <w:name w:val="toc 2"/>
    <w:basedOn w:val="Normal"/>
    <w:next w:val="Normal"/>
    <w:uiPriority w:val="39"/>
    <w:semiHidden/>
    <w:unhideWhenUsed/>
    <w:rsid w:val="00CB23B3"/>
    <w:pPr>
      <w:keepNext/>
      <w:spacing w:before="240" w:line="360" w:lineRule="auto"/>
      <w:jc w:val="center"/>
    </w:pPr>
  </w:style>
  <w:style w:type="paragraph" w:styleId="TOC3">
    <w:name w:val="toc 3"/>
    <w:basedOn w:val="Normal"/>
    <w:next w:val="Normal"/>
    <w:uiPriority w:val="39"/>
    <w:semiHidden/>
    <w:unhideWhenUsed/>
    <w:rsid w:val="00CB23B3"/>
    <w:pPr>
      <w:keepNext/>
      <w:spacing w:before="240" w:line="360" w:lineRule="auto"/>
      <w:jc w:val="center"/>
    </w:pPr>
    <w:rPr>
      <w:b/>
      <w:spacing w:val="60"/>
      <w:sz w:val="18"/>
    </w:rPr>
  </w:style>
  <w:style w:type="paragraph" w:styleId="TOC4">
    <w:name w:val="toc 4"/>
    <w:basedOn w:val="Normal"/>
    <w:next w:val="Normal"/>
    <w:uiPriority w:val="39"/>
    <w:semiHidden/>
    <w:unhideWhenUsed/>
    <w:rsid w:val="00CB23B3"/>
    <w:pPr>
      <w:keepNext/>
      <w:spacing w:before="240" w:line="360" w:lineRule="auto"/>
      <w:jc w:val="center"/>
    </w:pPr>
    <w:rPr>
      <w:b/>
      <w:sz w:val="18"/>
    </w:rPr>
  </w:style>
  <w:style w:type="paragraph" w:styleId="TOC5">
    <w:name w:val="toc 5"/>
    <w:basedOn w:val="Normal"/>
    <w:next w:val="Normal"/>
    <w:uiPriority w:val="39"/>
    <w:semiHidden/>
    <w:unhideWhenUsed/>
    <w:rsid w:val="00CB23B3"/>
    <w:pPr>
      <w:keepNext/>
      <w:spacing w:before="240" w:line="360" w:lineRule="auto"/>
      <w:jc w:val="center"/>
    </w:pPr>
    <w:rPr>
      <w:spacing w:val="60"/>
      <w:sz w:val="18"/>
    </w:rPr>
  </w:style>
  <w:style w:type="paragraph" w:styleId="TOC6">
    <w:name w:val="toc 6"/>
    <w:basedOn w:val="Normal"/>
    <w:next w:val="Normal"/>
    <w:uiPriority w:val="39"/>
    <w:semiHidden/>
    <w:unhideWhenUsed/>
    <w:rsid w:val="00CB23B3"/>
    <w:pPr>
      <w:keepNext/>
      <w:spacing w:before="240" w:line="360" w:lineRule="auto"/>
      <w:jc w:val="center"/>
    </w:pPr>
    <w:rPr>
      <w:sz w:val="18"/>
    </w:rPr>
  </w:style>
  <w:style w:type="paragraph" w:styleId="TOC7">
    <w:name w:val="toc 7"/>
    <w:basedOn w:val="Normal"/>
    <w:next w:val="Normal"/>
    <w:uiPriority w:val="39"/>
    <w:semiHidden/>
    <w:unhideWhenUsed/>
    <w:rsid w:val="00CB23B3"/>
    <w:pPr>
      <w:keepNext/>
      <w:spacing w:before="240" w:line="360" w:lineRule="auto"/>
      <w:jc w:val="center"/>
    </w:pPr>
    <w:rPr>
      <w:b/>
      <w:spacing w:val="60"/>
      <w:sz w:val="16"/>
    </w:rPr>
  </w:style>
  <w:style w:type="paragraph" w:styleId="TOC8">
    <w:name w:val="toc 8"/>
    <w:basedOn w:val="Normal"/>
    <w:next w:val="Normal"/>
    <w:uiPriority w:val="39"/>
    <w:semiHidden/>
    <w:unhideWhenUsed/>
    <w:rsid w:val="00CB23B3"/>
    <w:pPr>
      <w:keepNext/>
      <w:spacing w:before="240" w:line="360" w:lineRule="auto"/>
      <w:jc w:val="center"/>
    </w:pPr>
    <w:rPr>
      <w:b/>
      <w:sz w:val="16"/>
    </w:rPr>
  </w:style>
  <w:style w:type="paragraph" w:customStyle="1" w:styleId="Formel">
    <w:name w:val="Formel"/>
    <w:basedOn w:val="Normal"/>
    <w:rsid w:val="00CB23B3"/>
    <w:pPr>
      <w:spacing w:before="240" w:after="240"/>
      <w:jc w:val="center"/>
    </w:pPr>
  </w:style>
  <w:style w:type="paragraph" w:customStyle="1" w:styleId="Grafik">
    <w:name w:val="Grafik"/>
    <w:basedOn w:val="Normal"/>
    <w:next w:val="GrafikTitel"/>
    <w:rsid w:val="00CB23B3"/>
    <w:pPr>
      <w:spacing w:before="240" w:after="240"/>
      <w:jc w:val="center"/>
    </w:pPr>
  </w:style>
  <w:style w:type="paragraph" w:customStyle="1" w:styleId="Text">
    <w:name w:val="Text"/>
    <w:basedOn w:val="Normal"/>
    <w:rsid w:val="00CB23B3"/>
  </w:style>
  <w:style w:type="paragraph" w:customStyle="1" w:styleId="GrafikTitel">
    <w:name w:val="Grafik Titel"/>
    <w:basedOn w:val="Normal"/>
    <w:next w:val="Grafik"/>
    <w:rsid w:val="00CB23B3"/>
    <w:pPr>
      <w:spacing w:before="0"/>
      <w:jc w:val="center"/>
    </w:pPr>
    <w:rPr>
      <w:i/>
      <w:sz w:val="18"/>
    </w:rPr>
  </w:style>
  <w:style w:type="paragraph" w:customStyle="1" w:styleId="TabelleTitel">
    <w:name w:val="Tabelle Titel"/>
    <w:basedOn w:val="Normal"/>
    <w:rsid w:val="00CB23B3"/>
    <w:pPr>
      <w:spacing w:before="240"/>
      <w:jc w:val="center"/>
    </w:pPr>
  </w:style>
  <w:style w:type="paragraph" w:customStyle="1" w:styleId="Tabelleberschrift">
    <w:name w:val="Tabelle Überschrift"/>
    <w:basedOn w:val="Normal"/>
    <w:next w:val="TabelleText"/>
    <w:rsid w:val="00CB23B3"/>
    <w:pPr>
      <w:spacing w:before="60" w:after="60"/>
    </w:pPr>
    <w:rPr>
      <w:b/>
      <w:sz w:val="18"/>
    </w:rPr>
  </w:style>
  <w:style w:type="paragraph" w:customStyle="1" w:styleId="TabelleText">
    <w:name w:val="Tabelle Text"/>
    <w:basedOn w:val="Normal"/>
    <w:rsid w:val="00CB23B3"/>
    <w:pPr>
      <w:spacing w:before="60" w:after="60"/>
    </w:pPr>
    <w:rPr>
      <w:sz w:val="18"/>
    </w:rPr>
  </w:style>
  <w:style w:type="paragraph" w:customStyle="1" w:styleId="TabelleAufzhlung">
    <w:name w:val="Tabelle Aufzählung"/>
    <w:basedOn w:val="Normal"/>
    <w:rsid w:val="00CB23B3"/>
    <w:pPr>
      <w:numPr>
        <w:numId w:val="54"/>
      </w:numPr>
      <w:spacing w:before="60" w:after="60"/>
    </w:pPr>
    <w:rPr>
      <w:sz w:val="18"/>
    </w:rPr>
  </w:style>
  <w:style w:type="paragraph" w:customStyle="1" w:styleId="TabelleListe">
    <w:name w:val="Tabelle Liste"/>
    <w:basedOn w:val="Normal"/>
    <w:rsid w:val="00CB23B3"/>
    <w:pPr>
      <w:numPr>
        <w:numId w:val="55"/>
      </w:numPr>
      <w:spacing w:before="60" w:after="60"/>
    </w:pPr>
    <w:rPr>
      <w:sz w:val="18"/>
    </w:rPr>
  </w:style>
  <w:style w:type="character" w:customStyle="1" w:styleId="Binnenverweis">
    <w:name w:val="Binnenverweis"/>
    <w:basedOn w:val="DefaultParagraphFont"/>
    <w:rsid w:val="00CB23B3"/>
    <w:rPr>
      <w:noProof/>
      <w:u w:val="none"/>
      <w:shd w:val="clear" w:color="auto" w:fill="E0E0E0"/>
    </w:rPr>
  </w:style>
  <w:style w:type="character" w:customStyle="1" w:styleId="Einzelverweisziel">
    <w:name w:val="Einzelverweisziel"/>
    <w:basedOn w:val="DefaultParagraphFont"/>
    <w:rsid w:val="00CB23B3"/>
    <w:rPr>
      <w:shd w:val="clear" w:color="auto" w:fill="F3F3F3"/>
    </w:rPr>
  </w:style>
  <w:style w:type="character" w:customStyle="1" w:styleId="Verweis">
    <w:name w:val="Verweis"/>
    <w:basedOn w:val="DefaultParagraphFont"/>
    <w:rsid w:val="00CB23B3"/>
    <w:rPr>
      <w:color w:val="000080"/>
      <w:shd w:val="clear" w:color="auto" w:fill="auto"/>
    </w:rPr>
  </w:style>
  <w:style w:type="character" w:customStyle="1" w:styleId="VerweisBezugsstelle">
    <w:name w:val="Verweis Bezugsstelle"/>
    <w:basedOn w:val="DefaultParagraphFont"/>
    <w:rsid w:val="00CB23B3"/>
    <w:rPr>
      <w:color w:val="000080"/>
      <w:shd w:val="clear" w:color="auto" w:fill="auto"/>
    </w:rPr>
  </w:style>
  <w:style w:type="paragraph" w:customStyle="1" w:styleId="VerweisBegrndung">
    <w:name w:val="Verweis Begründung"/>
    <w:basedOn w:val="Normal"/>
    <w:next w:val="Text"/>
    <w:rsid w:val="00CB23B3"/>
    <w:pPr>
      <w:keepNext/>
      <w:jc w:val="left"/>
      <w:outlineLvl w:val="2"/>
    </w:pPr>
    <w:rPr>
      <w:b/>
      <w:noProof/>
    </w:rPr>
  </w:style>
  <w:style w:type="paragraph" w:customStyle="1" w:styleId="ListeStufe1">
    <w:name w:val="Liste (Stufe 1)"/>
    <w:basedOn w:val="Normal"/>
    <w:rsid w:val="00CB23B3"/>
    <w:pPr>
      <w:numPr>
        <w:numId w:val="53"/>
      </w:numPr>
      <w:tabs>
        <w:tab w:val="left" w:pos="0"/>
      </w:tabs>
    </w:pPr>
  </w:style>
  <w:style w:type="paragraph" w:customStyle="1" w:styleId="ListeFolgeabsatzStufe1">
    <w:name w:val="Liste Folgeabsatz (Stufe 1)"/>
    <w:basedOn w:val="Normal"/>
    <w:rsid w:val="00CB23B3"/>
    <w:pPr>
      <w:numPr>
        <w:ilvl w:val="1"/>
        <w:numId w:val="53"/>
      </w:numPr>
    </w:pPr>
  </w:style>
  <w:style w:type="paragraph" w:customStyle="1" w:styleId="ListeStufe2">
    <w:name w:val="Liste (Stufe 2)"/>
    <w:basedOn w:val="Normal"/>
    <w:rsid w:val="00CB23B3"/>
    <w:pPr>
      <w:numPr>
        <w:ilvl w:val="2"/>
        <w:numId w:val="53"/>
      </w:numPr>
    </w:pPr>
  </w:style>
  <w:style w:type="paragraph" w:customStyle="1" w:styleId="ListeFolgeabsatzStufe2">
    <w:name w:val="Liste Folgeabsatz (Stufe 2)"/>
    <w:basedOn w:val="Normal"/>
    <w:rsid w:val="00CB23B3"/>
    <w:pPr>
      <w:numPr>
        <w:ilvl w:val="3"/>
        <w:numId w:val="53"/>
      </w:numPr>
    </w:pPr>
  </w:style>
  <w:style w:type="paragraph" w:customStyle="1" w:styleId="ListeStufe3">
    <w:name w:val="Liste (Stufe 3)"/>
    <w:basedOn w:val="Normal"/>
    <w:rsid w:val="00CB23B3"/>
    <w:pPr>
      <w:numPr>
        <w:ilvl w:val="4"/>
        <w:numId w:val="53"/>
      </w:numPr>
    </w:pPr>
  </w:style>
  <w:style w:type="paragraph" w:customStyle="1" w:styleId="ListeFolgeabsatzStufe3">
    <w:name w:val="Liste Folgeabsatz (Stufe 3)"/>
    <w:basedOn w:val="Normal"/>
    <w:rsid w:val="00CB23B3"/>
    <w:pPr>
      <w:numPr>
        <w:ilvl w:val="5"/>
        <w:numId w:val="53"/>
      </w:numPr>
    </w:pPr>
  </w:style>
  <w:style w:type="paragraph" w:customStyle="1" w:styleId="ListeStufe4">
    <w:name w:val="Liste (Stufe 4)"/>
    <w:basedOn w:val="Normal"/>
    <w:rsid w:val="00CB23B3"/>
    <w:pPr>
      <w:numPr>
        <w:ilvl w:val="6"/>
        <w:numId w:val="53"/>
      </w:numPr>
    </w:pPr>
  </w:style>
  <w:style w:type="paragraph" w:customStyle="1" w:styleId="ListeFolgeabsatzStufe4">
    <w:name w:val="Liste Folgeabsatz (Stufe 4)"/>
    <w:basedOn w:val="Normal"/>
    <w:rsid w:val="00CB23B3"/>
    <w:pPr>
      <w:numPr>
        <w:ilvl w:val="7"/>
        <w:numId w:val="53"/>
      </w:numPr>
    </w:pPr>
  </w:style>
  <w:style w:type="paragraph" w:customStyle="1" w:styleId="ListeStufe1manuell">
    <w:name w:val="Liste (Stufe 1) (manuell)"/>
    <w:basedOn w:val="Normal"/>
    <w:rsid w:val="00CB23B3"/>
    <w:pPr>
      <w:tabs>
        <w:tab w:val="left" w:pos="425"/>
      </w:tabs>
      <w:ind w:left="425" w:hanging="425"/>
    </w:pPr>
  </w:style>
  <w:style w:type="paragraph" w:customStyle="1" w:styleId="ListeStufe2manuell">
    <w:name w:val="Liste (Stufe 2) (manuell)"/>
    <w:basedOn w:val="Normal"/>
    <w:rsid w:val="00CB23B3"/>
    <w:pPr>
      <w:tabs>
        <w:tab w:val="left" w:pos="850"/>
      </w:tabs>
      <w:ind w:left="850" w:hanging="425"/>
    </w:pPr>
  </w:style>
  <w:style w:type="paragraph" w:customStyle="1" w:styleId="ListeStufe3manuell">
    <w:name w:val="Liste (Stufe 3) (manuell)"/>
    <w:basedOn w:val="Normal"/>
    <w:rsid w:val="00CB23B3"/>
    <w:pPr>
      <w:tabs>
        <w:tab w:val="left" w:pos="1276"/>
      </w:tabs>
      <w:ind w:left="1276" w:hanging="425"/>
    </w:pPr>
  </w:style>
  <w:style w:type="paragraph" w:customStyle="1" w:styleId="ListeStufe4manuell">
    <w:name w:val="Liste (Stufe 4) (manuell)"/>
    <w:basedOn w:val="Normal"/>
    <w:next w:val="ListeStufe1manuell"/>
    <w:rsid w:val="00CB23B3"/>
    <w:pPr>
      <w:tabs>
        <w:tab w:val="left" w:pos="1984"/>
      </w:tabs>
      <w:ind w:left="1984" w:hanging="709"/>
    </w:pPr>
  </w:style>
  <w:style w:type="paragraph" w:customStyle="1" w:styleId="AufzhlungStufe1">
    <w:name w:val="Aufzählung (Stufe 1)"/>
    <w:basedOn w:val="Normal"/>
    <w:rsid w:val="00CB23B3"/>
    <w:pPr>
      <w:numPr>
        <w:numId w:val="48"/>
      </w:numPr>
      <w:tabs>
        <w:tab w:val="left" w:pos="0"/>
      </w:tabs>
    </w:pPr>
  </w:style>
  <w:style w:type="paragraph" w:customStyle="1" w:styleId="AufzhlungFolgeabsatzStufe1">
    <w:name w:val="Aufzählung Folgeabsatz (Stufe 1)"/>
    <w:basedOn w:val="Normal"/>
    <w:rsid w:val="00CB23B3"/>
    <w:pPr>
      <w:tabs>
        <w:tab w:val="left" w:pos="425"/>
      </w:tabs>
      <w:ind w:left="425"/>
    </w:pPr>
  </w:style>
  <w:style w:type="paragraph" w:customStyle="1" w:styleId="AufzhlungStufe2">
    <w:name w:val="Aufzählung (Stufe 2)"/>
    <w:basedOn w:val="Normal"/>
    <w:rsid w:val="00CB23B3"/>
    <w:pPr>
      <w:numPr>
        <w:numId w:val="49"/>
      </w:numPr>
      <w:tabs>
        <w:tab w:val="left" w:pos="425"/>
      </w:tabs>
    </w:pPr>
  </w:style>
  <w:style w:type="paragraph" w:customStyle="1" w:styleId="AufzhlungFolgeabsatzStufe2">
    <w:name w:val="Aufzählung Folgeabsatz (Stufe 2)"/>
    <w:basedOn w:val="Normal"/>
    <w:rsid w:val="00CB23B3"/>
    <w:pPr>
      <w:tabs>
        <w:tab w:val="left" w:pos="794"/>
      </w:tabs>
      <w:ind w:left="850"/>
    </w:pPr>
  </w:style>
  <w:style w:type="paragraph" w:customStyle="1" w:styleId="AufzhlungStufe3">
    <w:name w:val="Aufzählung (Stufe 3)"/>
    <w:basedOn w:val="Normal"/>
    <w:rsid w:val="00CB23B3"/>
    <w:pPr>
      <w:numPr>
        <w:numId w:val="50"/>
      </w:numPr>
      <w:tabs>
        <w:tab w:val="left" w:pos="850"/>
      </w:tabs>
    </w:pPr>
  </w:style>
  <w:style w:type="paragraph" w:customStyle="1" w:styleId="AufzhlungFolgeabsatzStufe3">
    <w:name w:val="Aufzählung Folgeabsatz (Stufe 3)"/>
    <w:basedOn w:val="Normal"/>
    <w:rsid w:val="00CB23B3"/>
    <w:pPr>
      <w:tabs>
        <w:tab w:val="left" w:pos="1276"/>
      </w:tabs>
      <w:ind w:left="1276"/>
    </w:pPr>
  </w:style>
  <w:style w:type="paragraph" w:customStyle="1" w:styleId="AufzhlungStufe4">
    <w:name w:val="Aufzählung (Stufe 4)"/>
    <w:basedOn w:val="Normal"/>
    <w:rsid w:val="00CB23B3"/>
    <w:pPr>
      <w:numPr>
        <w:numId w:val="51"/>
      </w:numPr>
      <w:tabs>
        <w:tab w:val="left" w:pos="1276"/>
      </w:tabs>
    </w:pPr>
  </w:style>
  <w:style w:type="paragraph" w:customStyle="1" w:styleId="AufzhlungFolgeabsatzStufe4">
    <w:name w:val="Aufzählung Folgeabsatz (Stufe 4)"/>
    <w:basedOn w:val="Normal"/>
    <w:rsid w:val="00CB23B3"/>
    <w:pPr>
      <w:tabs>
        <w:tab w:val="left" w:pos="1701"/>
      </w:tabs>
      <w:ind w:left="1701"/>
    </w:pPr>
  </w:style>
  <w:style w:type="paragraph" w:customStyle="1" w:styleId="AufzhlungStufe5">
    <w:name w:val="Aufzählung (Stufe 5)"/>
    <w:basedOn w:val="Normal"/>
    <w:rsid w:val="00CB23B3"/>
    <w:pPr>
      <w:numPr>
        <w:numId w:val="52"/>
      </w:numPr>
      <w:tabs>
        <w:tab w:val="left" w:pos="1701"/>
      </w:tabs>
    </w:pPr>
  </w:style>
  <w:style w:type="paragraph" w:customStyle="1" w:styleId="AufzhlungFolgeabsatzStufe5">
    <w:name w:val="Aufzählung Folgeabsatz (Stufe 5)"/>
    <w:basedOn w:val="Normal"/>
    <w:rsid w:val="00CB23B3"/>
    <w:pPr>
      <w:tabs>
        <w:tab w:val="left" w:pos="2126"/>
      </w:tabs>
      <w:ind w:left="2126"/>
    </w:pPr>
  </w:style>
  <w:style w:type="character" w:styleId="FootnoteReference">
    <w:name w:val="footnote reference"/>
    <w:basedOn w:val="DefaultParagraphFont"/>
    <w:uiPriority w:val="99"/>
    <w:unhideWhenUsed/>
    <w:rsid w:val="00CB23B3"/>
    <w:rPr>
      <w:shd w:val="clear" w:color="auto" w:fill="auto"/>
      <w:vertAlign w:val="superscript"/>
    </w:rPr>
  </w:style>
  <w:style w:type="paragraph" w:styleId="Header">
    <w:name w:val="header"/>
    <w:basedOn w:val="Normal"/>
    <w:link w:val="HeaderChar"/>
    <w:uiPriority w:val="99"/>
    <w:unhideWhenUsed/>
    <w:rsid w:val="00CB23B3"/>
    <w:pPr>
      <w:tabs>
        <w:tab w:val="center" w:pos="4394"/>
        <w:tab w:val="right" w:pos="8787"/>
      </w:tabs>
      <w:spacing w:before="0" w:after="0"/>
    </w:pPr>
  </w:style>
  <w:style w:type="character" w:customStyle="1" w:styleId="HeaderChar">
    <w:name w:val="Header Char"/>
    <w:basedOn w:val="DefaultParagraphFont"/>
    <w:link w:val="Header"/>
    <w:uiPriority w:val="99"/>
    <w:rsid w:val="00CB23B3"/>
    <w:rPr>
      <w:rFonts w:ascii="Arial" w:hAnsi="Arial" w:cs="Arial"/>
    </w:rPr>
  </w:style>
  <w:style w:type="character" w:customStyle="1" w:styleId="Marker">
    <w:name w:val="Marker"/>
    <w:basedOn w:val="DefaultParagraphFont"/>
    <w:rsid w:val="00CB23B3"/>
    <w:rPr>
      <w:color w:val="0000FF"/>
      <w:shd w:val="clear" w:color="auto" w:fill="auto"/>
    </w:rPr>
  </w:style>
  <w:style w:type="character" w:customStyle="1" w:styleId="Marker1">
    <w:name w:val="Marker1"/>
    <w:basedOn w:val="DefaultParagraphFont"/>
    <w:rsid w:val="00CB23B3"/>
    <w:rPr>
      <w:color w:val="008000"/>
      <w:shd w:val="clear" w:color="auto" w:fill="auto"/>
    </w:rPr>
  </w:style>
  <w:style w:type="character" w:customStyle="1" w:styleId="Marker2">
    <w:name w:val="Marker2"/>
    <w:basedOn w:val="DefaultParagraphFont"/>
    <w:rsid w:val="00CB23B3"/>
    <w:rPr>
      <w:color w:val="FF0000"/>
      <w:shd w:val="clear" w:color="auto" w:fill="auto"/>
    </w:rPr>
  </w:style>
  <w:style w:type="paragraph" w:customStyle="1" w:styleId="Hinweistext">
    <w:name w:val="Hinweistext"/>
    <w:basedOn w:val="Normal"/>
    <w:next w:val="Text"/>
    <w:rsid w:val="00CB23B3"/>
    <w:rPr>
      <w:color w:val="008000"/>
    </w:rPr>
  </w:style>
  <w:style w:type="paragraph" w:customStyle="1" w:styleId="NummerierungStufe1">
    <w:name w:val="Nummerierung (Stufe 1)"/>
    <w:basedOn w:val="Normal"/>
    <w:rsid w:val="00CB23B3"/>
    <w:pPr>
      <w:numPr>
        <w:ilvl w:val="3"/>
        <w:numId w:val="68"/>
      </w:numPr>
      <w:outlineLvl w:val="5"/>
    </w:pPr>
  </w:style>
  <w:style w:type="paragraph" w:customStyle="1" w:styleId="NummerierungStufe2">
    <w:name w:val="Nummerierung (Stufe 2)"/>
    <w:basedOn w:val="Normal"/>
    <w:rsid w:val="00CB23B3"/>
    <w:pPr>
      <w:numPr>
        <w:ilvl w:val="4"/>
        <w:numId w:val="68"/>
      </w:numPr>
    </w:pPr>
  </w:style>
  <w:style w:type="paragraph" w:customStyle="1" w:styleId="NummerierungStufe3">
    <w:name w:val="Nummerierung (Stufe 3)"/>
    <w:basedOn w:val="Normal"/>
    <w:rsid w:val="00CB23B3"/>
    <w:pPr>
      <w:numPr>
        <w:ilvl w:val="5"/>
        <w:numId w:val="68"/>
      </w:numPr>
    </w:pPr>
  </w:style>
  <w:style w:type="paragraph" w:customStyle="1" w:styleId="NummerierungStufe4">
    <w:name w:val="Nummerierung (Stufe 4)"/>
    <w:basedOn w:val="Normal"/>
    <w:rsid w:val="00CB23B3"/>
    <w:pPr>
      <w:numPr>
        <w:ilvl w:val="6"/>
        <w:numId w:val="68"/>
      </w:numPr>
    </w:pPr>
  </w:style>
  <w:style w:type="paragraph" w:customStyle="1" w:styleId="NummerierungFolgeabsatzStufe1">
    <w:name w:val="Nummerierung Folgeabsatz (Stufe 1)"/>
    <w:basedOn w:val="Normal"/>
    <w:rsid w:val="00CB23B3"/>
    <w:pPr>
      <w:tabs>
        <w:tab w:val="left" w:pos="425"/>
      </w:tabs>
      <w:ind w:left="425"/>
    </w:pPr>
  </w:style>
  <w:style w:type="paragraph" w:customStyle="1" w:styleId="NummerierungFolgeabsatzStufe2">
    <w:name w:val="Nummerierung Folgeabsatz (Stufe 2)"/>
    <w:basedOn w:val="Normal"/>
    <w:rsid w:val="00CB23B3"/>
    <w:pPr>
      <w:tabs>
        <w:tab w:val="left" w:pos="850"/>
      </w:tabs>
      <w:ind w:left="850"/>
    </w:pPr>
  </w:style>
  <w:style w:type="paragraph" w:customStyle="1" w:styleId="NummerierungFolgeabsatzStufe3">
    <w:name w:val="Nummerierung Folgeabsatz (Stufe 3)"/>
    <w:basedOn w:val="Normal"/>
    <w:rsid w:val="00CB23B3"/>
    <w:pPr>
      <w:tabs>
        <w:tab w:val="left" w:pos="1276"/>
      </w:tabs>
      <w:ind w:left="1276"/>
    </w:pPr>
  </w:style>
  <w:style w:type="paragraph" w:customStyle="1" w:styleId="NummerierungFolgeabsatzStufe4">
    <w:name w:val="Nummerierung Folgeabsatz (Stufe 4)"/>
    <w:basedOn w:val="Normal"/>
    <w:rsid w:val="00CB23B3"/>
    <w:pPr>
      <w:tabs>
        <w:tab w:val="left" w:pos="1984"/>
      </w:tabs>
      <w:ind w:left="1984"/>
    </w:pPr>
  </w:style>
  <w:style w:type="paragraph" w:customStyle="1" w:styleId="NummerierungStufe1manuell">
    <w:name w:val="Nummerierung (Stufe 1) (manuell)"/>
    <w:basedOn w:val="Normal"/>
    <w:rsid w:val="00CB23B3"/>
    <w:pPr>
      <w:tabs>
        <w:tab w:val="left" w:pos="425"/>
      </w:tabs>
      <w:ind w:left="425" w:hanging="425"/>
    </w:pPr>
  </w:style>
  <w:style w:type="paragraph" w:customStyle="1" w:styleId="NummerierungStufe2manuell">
    <w:name w:val="Nummerierung (Stufe 2) (manuell)"/>
    <w:basedOn w:val="Normal"/>
    <w:rsid w:val="00CB23B3"/>
    <w:pPr>
      <w:tabs>
        <w:tab w:val="left" w:pos="850"/>
      </w:tabs>
      <w:ind w:left="850" w:hanging="425"/>
    </w:pPr>
  </w:style>
  <w:style w:type="paragraph" w:customStyle="1" w:styleId="NummerierungStufe3manuell">
    <w:name w:val="Nummerierung (Stufe 3) (manuell)"/>
    <w:basedOn w:val="Normal"/>
    <w:rsid w:val="00CB23B3"/>
    <w:pPr>
      <w:tabs>
        <w:tab w:val="left" w:pos="1276"/>
      </w:tabs>
      <w:ind w:left="1276" w:hanging="425"/>
    </w:pPr>
  </w:style>
  <w:style w:type="paragraph" w:customStyle="1" w:styleId="NummerierungStufe4manuell">
    <w:name w:val="Nummerierung (Stufe 4) (manuell)"/>
    <w:basedOn w:val="Normal"/>
    <w:rsid w:val="00CB23B3"/>
    <w:pPr>
      <w:tabs>
        <w:tab w:val="left" w:pos="1984"/>
      </w:tabs>
      <w:ind w:left="1984" w:hanging="709"/>
    </w:pPr>
  </w:style>
  <w:style w:type="paragraph" w:customStyle="1" w:styleId="AnlageBezeichnernummeriert">
    <w:name w:val="Anlage Bezeichner (nummeriert)"/>
    <w:basedOn w:val="Normal"/>
    <w:next w:val="AnlageVerweis"/>
    <w:rsid w:val="00CB23B3"/>
    <w:pPr>
      <w:numPr>
        <w:numId w:val="56"/>
      </w:numPr>
      <w:spacing w:before="240"/>
      <w:jc w:val="right"/>
      <w:outlineLvl w:val="2"/>
    </w:pPr>
    <w:rPr>
      <w:b/>
      <w:sz w:val="26"/>
    </w:rPr>
  </w:style>
  <w:style w:type="paragraph" w:customStyle="1" w:styleId="AnlageBezeichnernichtnummeriert">
    <w:name w:val="Anlage Bezeichner (nicht nummeriert)"/>
    <w:basedOn w:val="Normal"/>
    <w:next w:val="AnlageVerweis"/>
    <w:rsid w:val="00CB23B3"/>
    <w:pPr>
      <w:numPr>
        <w:numId w:val="57"/>
      </w:numPr>
      <w:spacing w:before="240"/>
      <w:jc w:val="right"/>
      <w:outlineLvl w:val="2"/>
    </w:pPr>
    <w:rPr>
      <w:b/>
      <w:sz w:val="26"/>
    </w:rPr>
  </w:style>
  <w:style w:type="paragraph" w:customStyle="1" w:styleId="Anlageberschrift">
    <w:name w:val="Anlage Überschrift"/>
    <w:basedOn w:val="Normal"/>
    <w:next w:val="Text"/>
    <w:rsid w:val="00CB23B3"/>
    <w:pPr>
      <w:jc w:val="center"/>
    </w:pPr>
    <w:rPr>
      <w:b/>
      <w:sz w:val="26"/>
    </w:rPr>
  </w:style>
  <w:style w:type="paragraph" w:customStyle="1" w:styleId="AnlageVerzeichnisTitel">
    <w:name w:val="Anlage Verzeichnis Titel"/>
    <w:basedOn w:val="Normal"/>
    <w:next w:val="AnlageVerzeichnis1"/>
    <w:rsid w:val="00CB23B3"/>
    <w:pPr>
      <w:jc w:val="center"/>
    </w:pPr>
    <w:rPr>
      <w:b/>
      <w:sz w:val="26"/>
    </w:rPr>
  </w:style>
  <w:style w:type="paragraph" w:customStyle="1" w:styleId="AnlageVerzeichnis1">
    <w:name w:val="Anlage Verzeichnis 1"/>
    <w:basedOn w:val="Normal"/>
    <w:rsid w:val="00CB23B3"/>
    <w:pPr>
      <w:jc w:val="center"/>
    </w:pPr>
    <w:rPr>
      <w:b/>
      <w:sz w:val="24"/>
    </w:rPr>
  </w:style>
  <w:style w:type="paragraph" w:customStyle="1" w:styleId="AnlageVerzeichnis2">
    <w:name w:val="Anlage Verzeichnis 2"/>
    <w:basedOn w:val="Normal"/>
    <w:rsid w:val="00CB23B3"/>
    <w:pPr>
      <w:jc w:val="center"/>
    </w:pPr>
    <w:rPr>
      <w:b/>
      <w:i/>
      <w:sz w:val="24"/>
    </w:rPr>
  </w:style>
  <w:style w:type="paragraph" w:customStyle="1" w:styleId="AnlageVerzeichnis3">
    <w:name w:val="Anlage Verzeichnis 3"/>
    <w:basedOn w:val="Normal"/>
    <w:rsid w:val="00CB23B3"/>
    <w:pPr>
      <w:jc w:val="center"/>
    </w:pPr>
    <w:rPr>
      <w:b/>
    </w:rPr>
  </w:style>
  <w:style w:type="paragraph" w:customStyle="1" w:styleId="AnlageVerzeichnis4">
    <w:name w:val="Anlage Verzeichnis 4"/>
    <w:basedOn w:val="Normal"/>
    <w:rsid w:val="00CB23B3"/>
    <w:pPr>
      <w:jc w:val="center"/>
    </w:pPr>
    <w:rPr>
      <w:b/>
      <w:i/>
    </w:rPr>
  </w:style>
  <w:style w:type="paragraph" w:customStyle="1" w:styleId="AnlageBezeichnermanuell">
    <w:name w:val="Anlage Bezeichner (manuell)"/>
    <w:basedOn w:val="Normal"/>
    <w:next w:val="AnlageVerweis"/>
    <w:rsid w:val="00CB23B3"/>
    <w:pPr>
      <w:spacing w:before="240"/>
      <w:jc w:val="right"/>
      <w:outlineLvl w:val="2"/>
    </w:pPr>
    <w:rPr>
      <w:b/>
      <w:sz w:val="26"/>
    </w:rPr>
  </w:style>
  <w:style w:type="paragraph" w:customStyle="1" w:styleId="AnlageVerweis">
    <w:name w:val="Anlage Verweis"/>
    <w:basedOn w:val="Normal"/>
    <w:next w:val="Anlageberschrift"/>
    <w:rsid w:val="00CB23B3"/>
    <w:pPr>
      <w:spacing w:before="0"/>
      <w:jc w:val="right"/>
    </w:pPr>
  </w:style>
  <w:style w:type="character" w:customStyle="1" w:styleId="Heading1Char">
    <w:name w:val="Heading 1 Char"/>
    <w:basedOn w:val="DefaultParagraphFont"/>
    <w:link w:val="Heading1"/>
    <w:uiPriority w:val="9"/>
    <w:rsid w:val="00CB23B3"/>
    <w:rPr>
      <w:rFonts w:ascii="Arial" w:eastAsiaTheme="majorEastAsia" w:hAnsi="Arial" w:cs="Arial"/>
      <w:b/>
      <w:bCs/>
      <w:kern w:val="32"/>
      <w:szCs w:val="28"/>
    </w:rPr>
  </w:style>
  <w:style w:type="character" w:customStyle="1" w:styleId="Heading2Char">
    <w:name w:val="Heading 2 Char"/>
    <w:basedOn w:val="DefaultParagraphFont"/>
    <w:link w:val="Heading2"/>
    <w:uiPriority w:val="9"/>
    <w:semiHidden/>
    <w:rsid w:val="00CB23B3"/>
    <w:rPr>
      <w:rFonts w:ascii="Arial" w:eastAsiaTheme="majorEastAsia" w:hAnsi="Arial" w:cs="Arial"/>
      <w:b/>
      <w:bCs/>
      <w:i/>
      <w:szCs w:val="26"/>
    </w:rPr>
  </w:style>
  <w:style w:type="character" w:customStyle="1" w:styleId="Heading3Char">
    <w:name w:val="Heading 3 Char"/>
    <w:basedOn w:val="DefaultParagraphFont"/>
    <w:link w:val="Heading3"/>
    <w:uiPriority w:val="9"/>
    <w:semiHidden/>
    <w:rsid w:val="00CB23B3"/>
    <w:rPr>
      <w:rFonts w:ascii="Arial" w:eastAsiaTheme="majorEastAsia" w:hAnsi="Arial" w:cs="Arial"/>
      <w:b/>
      <w:bCs/>
    </w:rPr>
  </w:style>
  <w:style w:type="character" w:customStyle="1" w:styleId="Heading4Char">
    <w:name w:val="Heading 4 Char"/>
    <w:basedOn w:val="DefaultParagraphFont"/>
    <w:link w:val="Heading4"/>
    <w:uiPriority w:val="9"/>
    <w:semiHidden/>
    <w:rsid w:val="00CB23B3"/>
    <w:rPr>
      <w:rFonts w:ascii="Arial" w:eastAsiaTheme="majorEastAsia" w:hAnsi="Arial" w:cs="Arial"/>
      <w:b/>
      <w:bCs/>
      <w:i/>
      <w:iCs/>
    </w:rPr>
  </w:style>
  <w:style w:type="paragraph" w:customStyle="1" w:styleId="Sonderelementberschriftlinks">
    <w:name w:val="Sonderelement Überschrift (links)"/>
    <w:basedOn w:val="Normal"/>
    <w:next w:val="Normal"/>
    <w:rsid w:val="00CB23B3"/>
    <w:pPr>
      <w:keepNext/>
    </w:pPr>
  </w:style>
  <w:style w:type="paragraph" w:customStyle="1" w:styleId="Sonderelementberschriftrechts">
    <w:name w:val="Sonderelement Überschrift (rechts)"/>
    <w:basedOn w:val="Normal"/>
    <w:next w:val="Normal"/>
    <w:rsid w:val="00CB23B3"/>
    <w:pPr>
      <w:keepNext/>
    </w:pPr>
  </w:style>
  <w:style w:type="paragraph" w:customStyle="1" w:styleId="Synopsentabelleberschriftlinks">
    <w:name w:val="Synopsentabelle Überschrift (links)"/>
    <w:basedOn w:val="Normal"/>
    <w:next w:val="Normal"/>
    <w:rsid w:val="00CB23B3"/>
    <w:pPr>
      <w:spacing w:before="160" w:after="160"/>
      <w:jc w:val="center"/>
    </w:pPr>
    <w:rPr>
      <w:b/>
    </w:rPr>
  </w:style>
  <w:style w:type="paragraph" w:customStyle="1" w:styleId="Synopsentabelleberschriftrechts">
    <w:name w:val="Synopsentabelle Überschrift (rechts)"/>
    <w:basedOn w:val="Normal"/>
    <w:next w:val="Normal"/>
    <w:rsid w:val="00CB23B3"/>
    <w:pPr>
      <w:spacing w:before="160" w:after="160"/>
      <w:jc w:val="center"/>
    </w:pPr>
    <w:rPr>
      <w:b/>
    </w:rPr>
  </w:style>
  <w:style w:type="paragraph" w:customStyle="1" w:styleId="BezeichnungStammdokument">
    <w:name w:val="Bezeichnung (Stammdokument)"/>
    <w:basedOn w:val="Normal"/>
    <w:next w:val="Kurzbezeichnung-AbkrzungStammdokument"/>
    <w:rsid w:val="00CB23B3"/>
    <w:pPr>
      <w:jc w:val="center"/>
      <w:outlineLvl w:val="1"/>
    </w:pPr>
    <w:rPr>
      <w:b/>
      <w:sz w:val="28"/>
    </w:rPr>
  </w:style>
  <w:style w:type="paragraph" w:customStyle="1" w:styleId="Kurzbezeichnung-AbkrzungStammdokument">
    <w:name w:val="Kurzbezeichnung - Abkürzung (Stammdokument)"/>
    <w:basedOn w:val="Normal"/>
    <w:next w:val="ParagraphBezeichner"/>
    <w:rsid w:val="00CB23B3"/>
    <w:pPr>
      <w:jc w:val="center"/>
    </w:pPr>
    <w:rPr>
      <w:b/>
      <w:sz w:val="28"/>
    </w:rPr>
  </w:style>
  <w:style w:type="paragraph" w:customStyle="1" w:styleId="AusfertigungsdatumStammdokument">
    <w:name w:val="Ausfertigungsdatum (Stammdokument)"/>
    <w:basedOn w:val="Normal"/>
    <w:next w:val="EingangsformelStandardStammdokument"/>
    <w:rsid w:val="00CB23B3"/>
    <w:pPr>
      <w:jc w:val="center"/>
    </w:pPr>
    <w:rPr>
      <w:b/>
    </w:rPr>
  </w:style>
  <w:style w:type="paragraph" w:customStyle="1" w:styleId="EingangsformelStandardStammdokument">
    <w:name w:val="Eingangsformel Standard (Stammdokument)"/>
    <w:basedOn w:val="Normal"/>
    <w:next w:val="EingangsformelAufzhlungStammdokument"/>
    <w:rsid w:val="00CB23B3"/>
    <w:pPr>
      <w:ind w:firstLine="425"/>
    </w:pPr>
  </w:style>
  <w:style w:type="paragraph" w:customStyle="1" w:styleId="EingangsformelAufzhlungStammdokument">
    <w:name w:val="Eingangsformel Aufzählung (Stammdokument)"/>
    <w:basedOn w:val="Normal"/>
    <w:rsid w:val="00CB23B3"/>
    <w:pPr>
      <w:numPr>
        <w:numId w:val="69"/>
      </w:numPr>
    </w:pPr>
  </w:style>
  <w:style w:type="paragraph" w:customStyle="1" w:styleId="EingangsformelFolgeabsatzStammdokument">
    <w:name w:val="Eingangsformel Folgeabsatz (Stammdokument)"/>
    <w:basedOn w:val="Normal"/>
    <w:rsid w:val="00CB23B3"/>
  </w:style>
  <w:style w:type="paragraph" w:styleId="TOC9">
    <w:name w:val="toc 9"/>
    <w:basedOn w:val="Normal"/>
    <w:next w:val="Normal"/>
    <w:uiPriority w:val="39"/>
    <w:semiHidden/>
    <w:unhideWhenUsed/>
    <w:rsid w:val="00CB23B3"/>
    <w:pPr>
      <w:tabs>
        <w:tab w:val="left" w:pos="624"/>
      </w:tabs>
      <w:ind w:left="624" w:hanging="624"/>
    </w:pPr>
    <w:rPr>
      <w:sz w:val="16"/>
    </w:rPr>
  </w:style>
  <w:style w:type="paragraph" w:customStyle="1" w:styleId="VerzeichnisTitelStammdokument">
    <w:name w:val="Verzeichnis Titel (Stammdokument)"/>
    <w:basedOn w:val="Normal"/>
    <w:rsid w:val="00CB23B3"/>
    <w:pPr>
      <w:jc w:val="center"/>
    </w:pPr>
  </w:style>
  <w:style w:type="paragraph" w:customStyle="1" w:styleId="ParagraphBezeichner">
    <w:name w:val="Paragraph Bezeichner"/>
    <w:basedOn w:val="Normal"/>
    <w:next w:val="Paragraphberschrift"/>
    <w:rsid w:val="00CB23B3"/>
    <w:pPr>
      <w:keepNext/>
      <w:numPr>
        <w:ilvl w:val="1"/>
        <w:numId w:val="68"/>
      </w:numPr>
      <w:spacing w:before="480"/>
      <w:jc w:val="center"/>
      <w:outlineLvl w:val="3"/>
    </w:pPr>
  </w:style>
  <w:style w:type="paragraph" w:customStyle="1" w:styleId="Paragraphberschrift">
    <w:name w:val="Paragraph Überschrift"/>
    <w:basedOn w:val="Normal"/>
    <w:next w:val="JuristischerAbsatznummeriert"/>
    <w:rsid w:val="00CB23B3"/>
    <w:pPr>
      <w:keepNext/>
      <w:jc w:val="center"/>
      <w:outlineLvl w:val="3"/>
    </w:pPr>
    <w:rPr>
      <w:b/>
    </w:rPr>
  </w:style>
  <w:style w:type="paragraph" w:customStyle="1" w:styleId="JuristischerAbsatznummeriert">
    <w:name w:val="Juristischer Absatz (nummeriert)"/>
    <w:basedOn w:val="Normal"/>
    <w:rsid w:val="00CB23B3"/>
    <w:pPr>
      <w:numPr>
        <w:ilvl w:val="2"/>
        <w:numId w:val="68"/>
      </w:numPr>
      <w:outlineLvl w:val="4"/>
    </w:pPr>
  </w:style>
  <w:style w:type="paragraph" w:customStyle="1" w:styleId="JuristischerAbsatznichtnummeriert">
    <w:name w:val="Juristischer Absatz (nicht nummeriert)"/>
    <w:basedOn w:val="Normal"/>
    <w:next w:val="NummerierungStufe1"/>
    <w:rsid w:val="00CB23B3"/>
    <w:pPr>
      <w:ind w:firstLine="425"/>
      <w:outlineLvl w:val="4"/>
    </w:pPr>
  </w:style>
  <w:style w:type="paragraph" w:customStyle="1" w:styleId="JuristischerAbsatzFolgeabsatz">
    <w:name w:val="Juristischer Absatz Folgeabsatz"/>
    <w:basedOn w:val="Normal"/>
    <w:rsid w:val="00CB23B3"/>
    <w:pPr>
      <w:tabs>
        <w:tab w:val="left" w:pos="0"/>
      </w:tabs>
    </w:pPr>
  </w:style>
  <w:style w:type="paragraph" w:customStyle="1" w:styleId="BuchBezeichner">
    <w:name w:val="Buch Bezeichner"/>
    <w:basedOn w:val="Normal"/>
    <w:next w:val="Buchberschrift"/>
    <w:rsid w:val="00CB23B3"/>
    <w:pPr>
      <w:keepNext/>
      <w:numPr>
        <w:numId w:val="70"/>
      </w:numPr>
      <w:spacing w:before="480"/>
      <w:jc w:val="center"/>
      <w:outlineLvl w:val="2"/>
    </w:pPr>
    <w:rPr>
      <w:b/>
      <w:sz w:val="26"/>
    </w:rPr>
  </w:style>
  <w:style w:type="paragraph" w:customStyle="1" w:styleId="Buchberschrift">
    <w:name w:val="Buch Überschrift"/>
    <w:basedOn w:val="Normal"/>
    <w:next w:val="ParagraphBezeichner"/>
    <w:rsid w:val="00CB23B3"/>
    <w:pPr>
      <w:keepNext/>
      <w:numPr>
        <w:numId w:val="71"/>
      </w:numPr>
      <w:spacing w:after="240"/>
      <w:jc w:val="center"/>
      <w:outlineLvl w:val="2"/>
    </w:pPr>
    <w:rPr>
      <w:b/>
      <w:sz w:val="26"/>
    </w:rPr>
  </w:style>
  <w:style w:type="paragraph" w:customStyle="1" w:styleId="TeilBezeichner">
    <w:name w:val="Teil Bezeichner"/>
    <w:basedOn w:val="Normal"/>
    <w:next w:val="Teilberschrift"/>
    <w:rsid w:val="00CB23B3"/>
    <w:pPr>
      <w:keepNext/>
      <w:numPr>
        <w:ilvl w:val="1"/>
        <w:numId w:val="70"/>
      </w:numPr>
      <w:spacing w:before="480"/>
      <w:jc w:val="center"/>
      <w:outlineLvl w:val="2"/>
    </w:pPr>
    <w:rPr>
      <w:spacing w:val="60"/>
      <w:sz w:val="26"/>
    </w:rPr>
  </w:style>
  <w:style w:type="paragraph" w:customStyle="1" w:styleId="Teilberschrift">
    <w:name w:val="Teil Überschrift"/>
    <w:basedOn w:val="Normal"/>
    <w:next w:val="ParagraphBezeichner"/>
    <w:rsid w:val="00CB23B3"/>
    <w:pPr>
      <w:keepNext/>
      <w:numPr>
        <w:ilvl w:val="1"/>
        <w:numId w:val="71"/>
      </w:numPr>
      <w:spacing w:after="240"/>
      <w:jc w:val="center"/>
      <w:outlineLvl w:val="2"/>
    </w:pPr>
    <w:rPr>
      <w:spacing w:val="60"/>
      <w:sz w:val="26"/>
    </w:rPr>
  </w:style>
  <w:style w:type="paragraph" w:customStyle="1" w:styleId="KapitelBezeichner">
    <w:name w:val="Kapitel Bezeichner"/>
    <w:basedOn w:val="Normal"/>
    <w:next w:val="Kapitelberschrift"/>
    <w:rsid w:val="00CB23B3"/>
    <w:pPr>
      <w:keepNext/>
      <w:numPr>
        <w:ilvl w:val="2"/>
        <w:numId w:val="70"/>
      </w:numPr>
      <w:spacing w:before="480"/>
      <w:jc w:val="center"/>
      <w:outlineLvl w:val="2"/>
    </w:pPr>
    <w:rPr>
      <w:sz w:val="26"/>
    </w:rPr>
  </w:style>
  <w:style w:type="paragraph" w:customStyle="1" w:styleId="Kapitelberschrift">
    <w:name w:val="Kapitel Überschrift"/>
    <w:basedOn w:val="Normal"/>
    <w:next w:val="ParagraphBezeichner"/>
    <w:rsid w:val="00CB23B3"/>
    <w:pPr>
      <w:keepNext/>
      <w:numPr>
        <w:ilvl w:val="2"/>
        <w:numId w:val="71"/>
      </w:numPr>
      <w:spacing w:after="240"/>
      <w:jc w:val="center"/>
      <w:outlineLvl w:val="2"/>
    </w:pPr>
    <w:rPr>
      <w:sz w:val="26"/>
    </w:rPr>
  </w:style>
  <w:style w:type="paragraph" w:customStyle="1" w:styleId="AbschnittBezeichner">
    <w:name w:val="Abschnitt Bezeichner"/>
    <w:basedOn w:val="Normal"/>
    <w:next w:val="Abschnittberschrift"/>
    <w:rsid w:val="00CB23B3"/>
    <w:pPr>
      <w:keepNext/>
      <w:numPr>
        <w:ilvl w:val="3"/>
        <w:numId w:val="70"/>
      </w:numPr>
      <w:spacing w:before="480"/>
      <w:jc w:val="center"/>
      <w:outlineLvl w:val="2"/>
    </w:pPr>
    <w:rPr>
      <w:b/>
      <w:spacing w:val="60"/>
    </w:rPr>
  </w:style>
  <w:style w:type="paragraph" w:customStyle="1" w:styleId="Abschnittberschrift">
    <w:name w:val="Abschnitt Überschrift"/>
    <w:basedOn w:val="Normal"/>
    <w:next w:val="ParagraphBezeichner"/>
    <w:rsid w:val="00CB23B3"/>
    <w:pPr>
      <w:keepNext/>
      <w:numPr>
        <w:ilvl w:val="3"/>
        <w:numId w:val="71"/>
      </w:numPr>
      <w:spacing w:after="240"/>
      <w:jc w:val="center"/>
      <w:outlineLvl w:val="2"/>
    </w:pPr>
    <w:rPr>
      <w:b/>
      <w:spacing w:val="60"/>
    </w:rPr>
  </w:style>
  <w:style w:type="paragraph" w:customStyle="1" w:styleId="UnterabschnittBezeichner">
    <w:name w:val="Unterabschnitt Bezeichner"/>
    <w:basedOn w:val="Normal"/>
    <w:next w:val="Unterabschnittberschrift"/>
    <w:rsid w:val="00CB23B3"/>
    <w:pPr>
      <w:keepNext/>
      <w:numPr>
        <w:ilvl w:val="4"/>
        <w:numId w:val="70"/>
      </w:numPr>
      <w:spacing w:before="480"/>
      <w:jc w:val="center"/>
      <w:outlineLvl w:val="2"/>
    </w:pPr>
  </w:style>
  <w:style w:type="paragraph" w:customStyle="1" w:styleId="Unterabschnittberschrift">
    <w:name w:val="Unterabschnitt Überschrift"/>
    <w:basedOn w:val="Normal"/>
    <w:next w:val="ParagraphBezeichner"/>
    <w:rsid w:val="00CB23B3"/>
    <w:pPr>
      <w:keepNext/>
      <w:numPr>
        <w:ilvl w:val="4"/>
        <w:numId w:val="71"/>
      </w:numPr>
      <w:spacing w:after="240"/>
      <w:jc w:val="center"/>
      <w:outlineLvl w:val="2"/>
    </w:pPr>
  </w:style>
  <w:style w:type="paragraph" w:customStyle="1" w:styleId="TitelBezeichner">
    <w:name w:val="Titel Bezeichner"/>
    <w:basedOn w:val="Normal"/>
    <w:next w:val="Titelberschrift"/>
    <w:rsid w:val="00CB23B3"/>
    <w:pPr>
      <w:keepNext/>
      <w:numPr>
        <w:ilvl w:val="5"/>
        <w:numId w:val="70"/>
      </w:numPr>
      <w:spacing w:before="480"/>
      <w:jc w:val="center"/>
      <w:outlineLvl w:val="2"/>
    </w:pPr>
    <w:rPr>
      <w:spacing w:val="60"/>
    </w:rPr>
  </w:style>
  <w:style w:type="paragraph" w:customStyle="1" w:styleId="Titelberschrift">
    <w:name w:val="Titel Überschrift"/>
    <w:basedOn w:val="Normal"/>
    <w:next w:val="ParagraphBezeichner"/>
    <w:rsid w:val="00CB23B3"/>
    <w:pPr>
      <w:keepNext/>
      <w:numPr>
        <w:ilvl w:val="5"/>
        <w:numId w:val="71"/>
      </w:numPr>
      <w:spacing w:after="240"/>
      <w:jc w:val="center"/>
      <w:outlineLvl w:val="2"/>
    </w:pPr>
    <w:rPr>
      <w:spacing w:val="60"/>
    </w:rPr>
  </w:style>
  <w:style w:type="paragraph" w:customStyle="1" w:styleId="UntertitelBezeichner">
    <w:name w:val="Untertitel Bezeichner"/>
    <w:basedOn w:val="Normal"/>
    <w:next w:val="Untertitelberschrift"/>
    <w:rsid w:val="00CB23B3"/>
    <w:pPr>
      <w:keepNext/>
      <w:numPr>
        <w:ilvl w:val="6"/>
        <w:numId w:val="70"/>
      </w:numPr>
      <w:spacing w:before="480"/>
      <w:jc w:val="center"/>
      <w:outlineLvl w:val="2"/>
    </w:pPr>
    <w:rPr>
      <w:b/>
    </w:rPr>
  </w:style>
  <w:style w:type="paragraph" w:customStyle="1" w:styleId="Untertitelberschrift">
    <w:name w:val="Untertitel Überschrift"/>
    <w:basedOn w:val="Normal"/>
    <w:next w:val="ParagraphBezeichner"/>
    <w:rsid w:val="00CB23B3"/>
    <w:pPr>
      <w:keepNext/>
      <w:numPr>
        <w:ilvl w:val="6"/>
        <w:numId w:val="71"/>
      </w:numPr>
      <w:spacing w:after="240"/>
      <w:jc w:val="center"/>
      <w:outlineLvl w:val="2"/>
    </w:pPr>
    <w:rPr>
      <w:b/>
    </w:rPr>
  </w:style>
  <w:style w:type="paragraph" w:customStyle="1" w:styleId="ParagraphBezeichnermanuell">
    <w:name w:val="Paragraph Bezeichner (manuell)"/>
    <w:basedOn w:val="Normal"/>
    <w:rsid w:val="00CB23B3"/>
    <w:pPr>
      <w:keepNext/>
      <w:spacing w:before="480"/>
      <w:jc w:val="center"/>
    </w:pPr>
  </w:style>
  <w:style w:type="paragraph" w:customStyle="1" w:styleId="JuristischerAbsatzmanuell">
    <w:name w:val="Juristischer Absatz (manuell)"/>
    <w:basedOn w:val="Normal"/>
    <w:rsid w:val="00CB23B3"/>
    <w:pPr>
      <w:tabs>
        <w:tab w:val="left" w:pos="850"/>
      </w:tabs>
      <w:ind w:firstLine="425"/>
      <w:outlineLvl w:val="4"/>
    </w:pPr>
  </w:style>
  <w:style w:type="paragraph" w:customStyle="1" w:styleId="BuchBezeichnermanuell">
    <w:name w:val="Buch Bezeichner (manuell)"/>
    <w:basedOn w:val="Normal"/>
    <w:rsid w:val="00CB23B3"/>
    <w:pPr>
      <w:keepNext/>
      <w:spacing w:before="480"/>
      <w:jc w:val="center"/>
    </w:pPr>
    <w:rPr>
      <w:b/>
      <w:sz w:val="26"/>
    </w:rPr>
  </w:style>
  <w:style w:type="paragraph" w:customStyle="1" w:styleId="TeilBezeichnermanuell">
    <w:name w:val="Teil Bezeichner (manuell)"/>
    <w:basedOn w:val="Normal"/>
    <w:rsid w:val="00CB23B3"/>
    <w:pPr>
      <w:keepNext/>
      <w:spacing w:before="480"/>
      <w:jc w:val="center"/>
    </w:pPr>
    <w:rPr>
      <w:spacing w:val="60"/>
      <w:sz w:val="26"/>
    </w:rPr>
  </w:style>
  <w:style w:type="paragraph" w:customStyle="1" w:styleId="KapitelBezeichnermanuell">
    <w:name w:val="Kapitel Bezeichner (manuell)"/>
    <w:basedOn w:val="Normal"/>
    <w:rsid w:val="00CB23B3"/>
    <w:pPr>
      <w:keepNext/>
      <w:spacing w:before="480"/>
      <w:jc w:val="center"/>
    </w:pPr>
    <w:rPr>
      <w:sz w:val="26"/>
    </w:rPr>
  </w:style>
  <w:style w:type="paragraph" w:customStyle="1" w:styleId="AbschnittBezeichnermanuell">
    <w:name w:val="Abschnitt Bezeichner (manuell)"/>
    <w:basedOn w:val="Normal"/>
    <w:rsid w:val="00CB23B3"/>
    <w:pPr>
      <w:keepNext/>
      <w:spacing w:before="480"/>
      <w:jc w:val="center"/>
    </w:pPr>
    <w:rPr>
      <w:b/>
      <w:spacing w:val="60"/>
    </w:rPr>
  </w:style>
  <w:style w:type="paragraph" w:customStyle="1" w:styleId="UnterabschnittBezeichnermanuell">
    <w:name w:val="Unterabschnitt Bezeichner (manuell)"/>
    <w:basedOn w:val="Normal"/>
    <w:rsid w:val="00CB23B3"/>
    <w:pPr>
      <w:keepNext/>
      <w:spacing w:before="480"/>
      <w:jc w:val="center"/>
    </w:pPr>
  </w:style>
  <w:style w:type="paragraph" w:customStyle="1" w:styleId="TitelBezeichnermanuell">
    <w:name w:val="Titel Bezeichner (manuell)"/>
    <w:basedOn w:val="Normal"/>
    <w:rsid w:val="00CB23B3"/>
    <w:pPr>
      <w:keepNext/>
      <w:spacing w:before="480"/>
      <w:jc w:val="center"/>
    </w:pPr>
    <w:rPr>
      <w:spacing w:val="60"/>
    </w:rPr>
  </w:style>
  <w:style w:type="paragraph" w:customStyle="1" w:styleId="UntertitelBezeichnermanuell">
    <w:name w:val="Untertitel Bezeichner (manuell)"/>
    <w:basedOn w:val="Normal"/>
    <w:rsid w:val="00CB23B3"/>
    <w:pPr>
      <w:keepNext/>
      <w:spacing w:before="480"/>
      <w:jc w:val="center"/>
    </w:pPr>
    <w:rPr>
      <w:b/>
    </w:rPr>
  </w:style>
  <w:style w:type="paragraph" w:customStyle="1" w:styleId="Schlussformel">
    <w:name w:val="Schlussformel"/>
    <w:basedOn w:val="Normal"/>
    <w:next w:val="OrtDatum"/>
    <w:rsid w:val="00CB23B3"/>
    <w:pPr>
      <w:spacing w:before="240"/>
      <w:jc w:val="left"/>
    </w:pPr>
  </w:style>
  <w:style w:type="paragraph" w:customStyle="1" w:styleId="Dokumentstatus">
    <w:name w:val="Dokumentstatus"/>
    <w:basedOn w:val="Normal"/>
    <w:rsid w:val="00CB23B3"/>
    <w:rPr>
      <w:b/>
      <w:sz w:val="30"/>
    </w:rPr>
  </w:style>
  <w:style w:type="paragraph" w:customStyle="1" w:styleId="Organisation">
    <w:name w:val="Organisation"/>
    <w:basedOn w:val="Normal"/>
    <w:next w:val="Person"/>
    <w:rsid w:val="00CB23B3"/>
    <w:pPr>
      <w:jc w:val="center"/>
    </w:pPr>
    <w:rPr>
      <w:spacing w:val="60"/>
    </w:rPr>
  </w:style>
  <w:style w:type="paragraph" w:customStyle="1" w:styleId="Vertretung">
    <w:name w:val="Vertretung"/>
    <w:basedOn w:val="Normal"/>
    <w:next w:val="Person"/>
    <w:rsid w:val="00CB23B3"/>
    <w:pPr>
      <w:jc w:val="center"/>
    </w:pPr>
    <w:rPr>
      <w:spacing w:val="60"/>
    </w:rPr>
  </w:style>
  <w:style w:type="paragraph" w:customStyle="1" w:styleId="OrtDatum">
    <w:name w:val="Ort/Datum"/>
    <w:basedOn w:val="Normal"/>
    <w:next w:val="Organisation"/>
    <w:rsid w:val="00CB23B3"/>
    <w:pPr>
      <w:jc w:val="right"/>
    </w:pPr>
  </w:style>
  <w:style w:type="paragraph" w:customStyle="1" w:styleId="Person">
    <w:name w:val="Person"/>
    <w:basedOn w:val="Normal"/>
    <w:next w:val="Organisation"/>
    <w:rsid w:val="00CB23B3"/>
    <w:pPr>
      <w:jc w:val="center"/>
    </w:pPr>
    <w:rPr>
      <w:spacing w:val="60"/>
    </w:rPr>
  </w:style>
  <w:style w:type="paragraph" w:customStyle="1" w:styleId="BegrndungTitel">
    <w:name w:val="Begründung Titel"/>
    <w:basedOn w:val="Normal"/>
    <w:next w:val="Text"/>
    <w:rsid w:val="00CB23B3"/>
    <w:pPr>
      <w:keepNext/>
      <w:spacing w:before="240" w:after="60"/>
      <w:outlineLvl w:val="0"/>
    </w:pPr>
    <w:rPr>
      <w:b/>
      <w:kern w:val="32"/>
      <w:sz w:val="26"/>
    </w:rPr>
  </w:style>
  <w:style w:type="paragraph" w:customStyle="1" w:styleId="BegrndungAllgemeinerTeil">
    <w:name w:val="Begründung (Allgemeiner Teil)"/>
    <w:basedOn w:val="Normal"/>
    <w:next w:val="Text"/>
    <w:rsid w:val="00CB23B3"/>
    <w:pPr>
      <w:keepNext/>
      <w:spacing w:before="480" w:after="160"/>
      <w:outlineLvl w:val="1"/>
    </w:pPr>
    <w:rPr>
      <w:b/>
    </w:rPr>
  </w:style>
  <w:style w:type="paragraph" w:customStyle="1" w:styleId="BegrndungBesondererTeil">
    <w:name w:val="Begründung (Besonderer Teil)"/>
    <w:basedOn w:val="Normal"/>
    <w:next w:val="Text"/>
    <w:rsid w:val="00CB23B3"/>
    <w:pPr>
      <w:keepNext/>
      <w:spacing w:before="480" w:after="160"/>
      <w:outlineLvl w:val="1"/>
    </w:pPr>
    <w:rPr>
      <w:b/>
    </w:rPr>
  </w:style>
  <w:style w:type="paragraph" w:customStyle="1" w:styleId="berschriftrmischBegrndung">
    <w:name w:val="Überschrift römisch (Begründung)"/>
    <w:basedOn w:val="Normal"/>
    <w:next w:val="Text"/>
    <w:rsid w:val="00CB23B3"/>
    <w:pPr>
      <w:keepNext/>
      <w:numPr>
        <w:numId w:val="72"/>
      </w:numPr>
      <w:spacing w:before="360"/>
      <w:outlineLvl w:val="2"/>
    </w:pPr>
    <w:rPr>
      <w:b/>
    </w:rPr>
  </w:style>
  <w:style w:type="paragraph" w:customStyle="1" w:styleId="berschriftarabischBegrndung">
    <w:name w:val="Überschrift arabisch (Begründung)"/>
    <w:basedOn w:val="Normal"/>
    <w:next w:val="Text"/>
    <w:rsid w:val="00CB23B3"/>
    <w:pPr>
      <w:keepNext/>
      <w:numPr>
        <w:ilvl w:val="1"/>
        <w:numId w:val="72"/>
      </w:numPr>
      <w:outlineLvl w:val="3"/>
    </w:pPr>
    <w:rPr>
      <w:b/>
    </w:rPr>
  </w:style>
  <w:style w:type="paragraph" w:customStyle="1" w:styleId="Initiant">
    <w:name w:val="Initiant"/>
    <w:basedOn w:val="Normal"/>
    <w:next w:val="VorblattBezeichnung"/>
    <w:rsid w:val="00CB23B3"/>
    <w:pPr>
      <w:spacing w:after="620"/>
      <w:jc w:val="left"/>
    </w:pPr>
    <w:rPr>
      <w:b/>
      <w:sz w:val="26"/>
    </w:rPr>
  </w:style>
  <w:style w:type="paragraph" w:customStyle="1" w:styleId="VorblattBezeichnung">
    <w:name w:val="Vorblatt Bezeichnung"/>
    <w:basedOn w:val="Normal"/>
    <w:next w:val="VorblattTitelProblemundZiel"/>
    <w:rsid w:val="00CB23B3"/>
    <w:pPr>
      <w:outlineLvl w:val="0"/>
    </w:pPr>
    <w:rPr>
      <w:b/>
      <w:sz w:val="26"/>
    </w:rPr>
  </w:style>
  <w:style w:type="paragraph" w:customStyle="1" w:styleId="VorblattTitelProblemundZiel">
    <w:name w:val="Vorblatt Titel (Problem und Ziel)"/>
    <w:basedOn w:val="Normal"/>
    <w:next w:val="Text"/>
    <w:rsid w:val="00CB23B3"/>
    <w:pPr>
      <w:keepNext/>
      <w:spacing w:before="360"/>
      <w:outlineLvl w:val="1"/>
    </w:pPr>
    <w:rPr>
      <w:b/>
      <w:sz w:val="26"/>
    </w:rPr>
  </w:style>
  <w:style w:type="paragraph" w:customStyle="1" w:styleId="VorblattTitelLsung">
    <w:name w:val="Vorblatt Titel (Lösung)"/>
    <w:basedOn w:val="Normal"/>
    <w:next w:val="Text"/>
    <w:rsid w:val="00CB23B3"/>
    <w:pPr>
      <w:keepNext/>
      <w:spacing w:before="360"/>
      <w:outlineLvl w:val="1"/>
    </w:pPr>
    <w:rPr>
      <w:b/>
      <w:sz w:val="26"/>
    </w:rPr>
  </w:style>
  <w:style w:type="paragraph" w:customStyle="1" w:styleId="VorblattTitelAlternativen">
    <w:name w:val="Vorblatt Titel (Alternativen)"/>
    <w:basedOn w:val="Normal"/>
    <w:next w:val="Text"/>
    <w:rsid w:val="00CB23B3"/>
    <w:pPr>
      <w:keepNext/>
      <w:spacing w:before="360"/>
      <w:outlineLvl w:val="1"/>
    </w:pPr>
    <w:rPr>
      <w:b/>
      <w:sz w:val="26"/>
    </w:rPr>
  </w:style>
  <w:style w:type="paragraph" w:customStyle="1" w:styleId="VorblattTitelFinanzielleAuswirkungen">
    <w:name w:val="Vorblatt Titel (Finanzielle Auswirkungen)"/>
    <w:basedOn w:val="Normal"/>
    <w:next w:val="Text"/>
    <w:rsid w:val="00CB23B3"/>
    <w:pPr>
      <w:keepNext/>
      <w:spacing w:before="360"/>
    </w:pPr>
    <w:rPr>
      <w:b/>
      <w:sz w:val="26"/>
    </w:rPr>
  </w:style>
  <w:style w:type="paragraph" w:customStyle="1" w:styleId="VorblattTitelHaushaltsausgabenohneVollzugsaufwand">
    <w:name w:val="Vorblatt Titel (Haushaltsausgaben ohne Vollzugsaufwand)"/>
    <w:basedOn w:val="Normal"/>
    <w:next w:val="Text"/>
    <w:rsid w:val="00CB23B3"/>
    <w:pPr>
      <w:keepNext/>
      <w:spacing w:before="360"/>
    </w:pPr>
    <w:rPr>
      <w:sz w:val="26"/>
    </w:rPr>
  </w:style>
  <w:style w:type="paragraph" w:customStyle="1" w:styleId="VorblattTitelVollzugsaufwand">
    <w:name w:val="Vorblatt Titel (Vollzugsaufwand)"/>
    <w:basedOn w:val="Normal"/>
    <w:next w:val="Text"/>
    <w:rsid w:val="00CB23B3"/>
    <w:pPr>
      <w:keepNext/>
      <w:spacing w:before="360"/>
    </w:pPr>
    <w:rPr>
      <w:sz w:val="26"/>
    </w:rPr>
  </w:style>
  <w:style w:type="paragraph" w:customStyle="1" w:styleId="VorblattTitelSonstigeKosten">
    <w:name w:val="Vorblatt Titel (Sonstige Kosten)"/>
    <w:basedOn w:val="Normal"/>
    <w:next w:val="Text"/>
    <w:rsid w:val="00CB23B3"/>
    <w:pPr>
      <w:keepNext/>
      <w:spacing w:before="360"/>
    </w:pPr>
    <w:rPr>
      <w:b/>
      <w:sz w:val="26"/>
    </w:rPr>
  </w:style>
  <w:style w:type="paragraph" w:customStyle="1" w:styleId="VorblattTitelBrokratiekosten">
    <w:name w:val="Vorblatt Titel (Bürokratiekosten)"/>
    <w:basedOn w:val="Normal"/>
    <w:next w:val="Text"/>
    <w:rsid w:val="00CB23B3"/>
    <w:pPr>
      <w:keepNext/>
      <w:spacing w:before="360"/>
    </w:pPr>
    <w:rPr>
      <w:b/>
      <w:sz w:val="26"/>
    </w:rPr>
  </w:style>
  <w:style w:type="paragraph" w:customStyle="1" w:styleId="VorblattUntertitelBrokratiekosten">
    <w:name w:val="Vorblatt Untertitel (Bürokratiekosten)"/>
    <w:basedOn w:val="Normal"/>
    <w:next w:val="VorblattTextBrokratiekosten"/>
    <w:rsid w:val="00CB23B3"/>
    <w:pPr>
      <w:keepNext/>
      <w:tabs>
        <w:tab w:val="left" w:pos="283"/>
      </w:tabs>
    </w:pPr>
  </w:style>
  <w:style w:type="paragraph" w:customStyle="1" w:styleId="VorblattTextBrokratiekosten">
    <w:name w:val="Vorblatt Text (Bürokratiekosten)"/>
    <w:basedOn w:val="Normal"/>
    <w:rsid w:val="00CB23B3"/>
    <w:pPr>
      <w:ind w:left="3402" w:hanging="3118"/>
    </w:pPr>
  </w:style>
  <w:style w:type="paragraph" w:customStyle="1" w:styleId="VorblattDokumentstatus">
    <w:name w:val="Vorblatt Dokumentstatus"/>
    <w:basedOn w:val="Normal"/>
    <w:next w:val="VorblattBezeichnung"/>
    <w:rsid w:val="00CB23B3"/>
    <w:pPr>
      <w:jc w:val="left"/>
    </w:pPr>
    <w:rPr>
      <w:b/>
      <w:sz w:val="30"/>
    </w:rPr>
  </w:style>
  <w:style w:type="paragraph" w:customStyle="1" w:styleId="VorblattKurzbezeichnung-Abkrzung">
    <w:name w:val="Vorblatt Kurzbezeichnung - Abkürzung"/>
    <w:basedOn w:val="Normal"/>
    <w:next w:val="VorblattTitelProblemundZiel"/>
    <w:rsid w:val="00CB23B3"/>
    <w:pPr>
      <w:spacing w:before="0"/>
    </w:pPr>
    <w:rPr>
      <w:sz w:val="24"/>
    </w:rPr>
  </w:style>
  <w:style w:type="paragraph" w:customStyle="1" w:styleId="VorblattTitelHaushaltsausgabenohneErfllungsaufwand">
    <w:name w:val="Vorblatt Titel (Haushaltsausgaben ohne Erfüllungsaufwand)"/>
    <w:basedOn w:val="Normal"/>
    <w:next w:val="Text"/>
    <w:rsid w:val="00CB23B3"/>
    <w:pPr>
      <w:keepNext/>
      <w:spacing w:before="360"/>
      <w:outlineLvl w:val="1"/>
    </w:pPr>
    <w:rPr>
      <w:b/>
      <w:sz w:val="26"/>
    </w:rPr>
  </w:style>
  <w:style w:type="paragraph" w:customStyle="1" w:styleId="VorblattTitelErfllungsaufwand">
    <w:name w:val="Vorblatt Titel (Erfüllungsaufwand)"/>
    <w:basedOn w:val="Normal"/>
    <w:next w:val="Text"/>
    <w:rsid w:val="00CB23B3"/>
    <w:pPr>
      <w:keepNext/>
      <w:spacing w:before="360"/>
      <w:outlineLvl w:val="1"/>
    </w:pPr>
    <w:rPr>
      <w:b/>
      <w:sz w:val="26"/>
    </w:rPr>
  </w:style>
  <w:style w:type="paragraph" w:customStyle="1" w:styleId="VorblattTitelErfllungsaufwandBrgerinnenundBrger">
    <w:name w:val="Vorblatt Titel (Erfüllungsaufwand Bürgerinnen und Bürger)"/>
    <w:basedOn w:val="Normal"/>
    <w:next w:val="Text"/>
    <w:rsid w:val="00CB23B3"/>
    <w:pPr>
      <w:keepNext/>
      <w:spacing w:before="360"/>
      <w:outlineLvl w:val="2"/>
    </w:pPr>
    <w:rPr>
      <w:b/>
      <w:sz w:val="26"/>
    </w:rPr>
  </w:style>
  <w:style w:type="paragraph" w:customStyle="1" w:styleId="VorblattTitelErfllungsaufwandWirtschaft">
    <w:name w:val="Vorblatt Titel (Erfüllungsaufwand Wirtschaft)"/>
    <w:basedOn w:val="Normal"/>
    <w:next w:val="Text"/>
    <w:rsid w:val="00CB23B3"/>
    <w:pPr>
      <w:keepNext/>
      <w:spacing w:before="360"/>
      <w:outlineLvl w:val="2"/>
    </w:pPr>
    <w:rPr>
      <w:b/>
      <w:sz w:val="26"/>
    </w:rPr>
  </w:style>
  <w:style w:type="paragraph" w:customStyle="1" w:styleId="VorblattTitelBrokratiekostenausInformationspflichten">
    <w:name w:val="Vorblatt Titel (Bürokratiekosten aus Informationspflichten)"/>
    <w:basedOn w:val="Normal"/>
    <w:next w:val="Text"/>
    <w:rsid w:val="00CB23B3"/>
    <w:pPr>
      <w:keepNext/>
      <w:spacing w:before="360"/>
      <w:outlineLvl w:val="3"/>
    </w:pPr>
    <w:rPr>
      <w:sz w:val="26"/>
    </w:rPr>
  </w:style>
  <w:style w:type="paragraph" w:customStyle="1" w:styleId="VorblattTitelErfllungsaufwandVerwaltung">
    <w:name w:val="Vorblatt Titel (Erfüllungsaufwand Verwaltung)"/>
    <w:basedOn w:val="Normal"/>
    <w:next w:val="Text"/>
    <w:rsid w:val="00CB23B3"/>
    <w:pPr>
      <w:keepNext/>
      <w:spacing w:before="360"/>
      <w:outlineLvl w:val="2"/>
    </w:pPr>
    <w:rPr>
      <w:b/>
      <w:sz w:val="26"/>
    </w:rPr>
  </w:style>
  <w:style w:type="paragraph" w:customStyle="1" w:styleId="VorblattTitelWeitereKosten">
    <w:name w:val="Vorblatt Titel (Weitere Kosten)"/>
    <w:basedOn w:val="Normal"/>
    <w:next w:val="Text"/>
    <w:rsid w:val="00CB23B3"/>
    <w:pPr>
      <w:keepNext/>
      <w:spacing w:before="360"/>
      <w:outlineLvl w:val="1"/>
    </w:pPr>
    <w:rPr>
      <w:b/>
      <w:sz w:val="26"/>
    </w:rPr>
  </w:style>
  <w:style w:type="paragraph" w:customStyle="1" w:styleId="RevisionJuristischerAbsatz">
    <w:name w:val="Revision Juristischer Absatz"/>
    <w:basedOn w:val="Normal"/>
    <w:rsid w:val="00CB23B3"/>
    <w:pPr>
      <w:numPr>
        <w:ilvl w:val="2"/>
        <w:numId w:val="59"/>
      </w:numPr>
      <w:outlineLvl w:val="8"/>
    </w:pPr>
    <w:rPr>
      <w:color w:val="800000"/>
    </w:rPr>
  </w:style>
  <w:style w:type="paragraph" w:customStyle="1" w:styleId="RevisionJuristischerAbsatzmanuell">
    <w:name w:val="Revision Juristischer Absatz (manuell)"/>
    <w:basedOn w:val="Normal"/>
    <w:rsid w:val="00CB23B3"/>
    <w:pPr>
      <w:tabs>
        <w:tab w:val="left" w:pos="850"/>
      </w:tabs>
      <w:ind w:firstLine="425"/>
      <w:outlineLvl w:val="8"/>
    </w:pPr>
    <w:rPr>
      <w:color w:val="800000"/>
    </w:rPr>
  </w:style>
  <w:style w:type="paragraph" w:customStyle="1" w:styleId="RevisionJuristischerAbsatzFolgeabsatz">
    <w:name w:val="Revision Juristischer Absatz Folgeabsatz"/>
    <w:basedOn w:val="Normal"/>
    <w:rsid w:val="00CB23B3"/>
    <w:rPr>
      <w:color w:val="800000"/>
    </w:rPr>
  </w:style>
  <w:style w:type="paragraph" w:customStyle="1" w:styleId="RevisionNummerierungStufe1manuell">
    <w:name w:val="Revision Nummerierung (Stufe 1) (manuell)"/>
    <w:basedOn w:val="Normal"/>
    <w:rsid w:val="00CB23B3"/>
    <w:pPr>
      <w:tabs>
        <w:tab w:val="left" w:pos="425"/>
      </w:tabs>
      <w:ind w:left="425" w:hanging="425"/>
    </w:pPr>
    <w:rPr>
      <w:color w:val="800000"/>
    </w:rPr>
  </w:style>
  <w:style w:type="paragraph" w:customStyle="1" w:styleId="RevisionNummerierungFolgeabsatzStufe1">
    <w:name w:val="Revision Nummerierung Folgeabsatz (Stufe 1)"/>
    <w:basedOn w:val="Normal"/>
    <w:rsid w:val="00CB23B3"/>
    <w:pPr>
      <w:ind w:left="425"/>
    </w:pPr>
    <w:rPr>
      <w:color w:val="800000"/>
    </w:rPr>
  </w:style>
  <w:style w:type="paragraph" w:customStyle="1" w:styleId="RevisionNummerierungStufe2manuell">
    <w:name w:val="Revision Nummerierung (Stufe 2) (manuell)"/>
    <w:basedOn w:val="Normal"/>
    <w:rsid w:val="00CB23B3"/>
    <w:pPr>
      <w:tabs>
        <w:tab w:val="left" w:pos="850"/>
      </w:tabs>
      <w:ind w:left="850" w:hanging="425"/>
    </w:pPr>
    <w:rPr>
      <w:color w:val="800000"/>
    </w:rPr>
  </w:style>
  <w:style w:type="paragraph" w:customStyle="1" w:styleId="RevisionNummerierungFolgeabsatzStufe2">
    <w:name w:val="Revision Nummerierung Folgeabsatz (Stufe 2)"/>
    <w:basedOn w:val="Normal"/>
    <w:rsid w:val="00CB23B3"/>
    <w:pPr>
      <w:ind w:left="850"/>
    </w:pPr>
    <w:rPr>
      <w:color w:val="800000"/>
    </w:rPr>
  </w:style>
  <w:style w:type="paragraph" w:customStyle="1" w:styleId="RevisionNummerierungStufe3manuell">
    <w:name w:val="Revision Nummerierung (Stufe 3) (manuell)"/>
    <w:basedOn w:val="Normal"/>
    <w:rsid w:val="00CB23B3"/>
    <w:pPr>
      <w:tabs>
        <w:tab w:val="left" w:pos="1276"/>
      </w:tabs>
      <w:ind w:left="1276" w:hanging="425"/>
    </w:pPr>
    <w:rPr>
      <w:color w:val="800000"/>
    </w:rPr>
  </w:style>
  <w:style w:type="paragraph" w:customStyle="1" w:styleId="RevisionNummerierungFolgeabsatzStufe3">
    <w:name w:val="Revision Nummerierung Folgeabsatz (Stufe 3)"/>
    <w:basedOn w:val="Normal"/>
    <w:rsid w:val="00CB23B3"/>
    <w:pPr>
      <w:ind w:left="1276"/>
    </w:pPr>
    <w:rPr>
      <w:color w:val="800000"/>
    </w:rPr>
  </w:style>
  <w:style w:type="paragraph" w:customStyle="1" w:styleId="RevisionNummerierungStufe4manuell">
    <w:name w:val="Revision Nummerierung (Stufe 4) (manuell)"/>
    <w:basedOn w:val="Normal"/>
    <w:rsid w:val="00CB23B3"/>
    <w:pPr>
      <w:tabs>
        <w:tab w:val="left" w:pos="1701"/>
      </w:tabs>
      <w:ind w:left="1984" w:hanging="709"/>
    </w:pPr>
    <w:rPr>
      <w:color w:val="800000"/>
    </w:rPr>
  </w:style>
  <w:style w:type="paragraph" w:customStyle="1" w:styleId="RevisionNummerierungFolgeabsatzStufe4">
    <w:name w:val="Revision Nummerierung Folgeabsatz (Stufe 4)"/>
    <w:basedOn w:val="Normal"/>
    <w:rsid w:val="00CB23B3"/>
    <w:pPr>
      <w:ind w:left="1984"/>
    </w:pPr>
    <w:rPr>
      <w:color w:val="800000"/>
    </w:rPr>
  </w:style>
  <w:style w:type="paragraph" w:customStyle="1" w:styleId="RevisionNummerierungStufe1">
    <w:name w:val="Revision Nummerierung (Stufe 1)"/>
    <w:basedOn w:val="Normal"/>
    <w:rsid w:val="00CB23B3"/>
    <w:pPr>
      <w:numPr>
        <w:ilvl w:val="3"/>
        <w:numId w:val="59"/>
      </w:numPr>
    </w:pPr>
    <w:rPr>
      <w:color w:val="800000"/>
    </w:rPr>
  </w:style>
  <w:style w:type="paragraph" w:customStyle="1" w:styleId="RevisionNummerierungStufe2">
    <w:name w:val="Revision Nummerierung (Stufe 2)"/>
    <w:basedOn w:val="Normal"/>
    <w:rsid w:val="00CB23B3"/>
    <w:pPr>
      <w:numPr>
        <w:ilvl w:val="4"/>
        <w:numId w:val="59"/>
      </w:numPr>
    </w:pPr>
    <w:rPr>
      <w:color w:val="800000"/>
    </w:rPr>
  </w:style>
  <w:style w:type="paragraph" w:customStyle="1" w:styleId="RevisionNummerierungStufe3">
    <w:name w:val="Revision Nummerierung (Stufe 3)"/>
    <w:basedOn w:val="Normal"/>
    <w:rsid w:val="00CB23B3"/>
    <w:pPr>
      <w:numPr>
        <w:ilvl w:val="5"/>
        <w:numId w:val="59"/>
      </w:numPr>
    </w:pPr>
    <w:rPr>
      <w:color w:val="800000"/>
    </w:rPr>
  </w:style>
  <w:style w:type="paragraph" w:customStyle="1" w:styleId="RevisionNummerierungStufe4">
    <w:name w:val="Revision Nummerierung (Stufe 4)"/>
    <w:basedOn w:val="Normal"/>
    <w:rsid w:val="00CB23B3"/>
    <w:pPr>
      <w:numPr>
        <w:ilvl w:val="6"/>
        <w:numId w:val="59"/>
      </w:numPr>
    </w:pPr>
    <w:rPr>
      <w:color w:val="800000"/>
    </w:rPr>
  </w:style>
  <w:style w:type="character" w:customStyle="1" w:styleId="RevisionText">
    <w:name w:val="Revision Text"/>
    <w:basedOn w:val="DefaultParagraphFont"/>
    <w:rsid w:val="00CB23B3"/>
    <w:rPr>
      <w:color w:val="800000"/>
      <w:shd w:val="clear" w:color="auto" w:fill="auto"/>
    </w:rPr>
  </w:style>
  <w:style w:type="paragraph" w:customStyle="1" w:styleId="RevisionParagraphBezeichner">
    <w:name w:val="Revision Paragraph Bezeichner"/>
    <w:basedOn w:val="Normal"/>
    <w:next w:val="RevisionParagraphberschrift"/>
    <w:rsid w:val="00CB23B3"/>
    <w:pPr>
      <w:keepNext/>
      <w:numPr>
        <w:ilvl w:val="1"/>
        <w:numId w:val="59"/>
      </w:numPr>
      <w:spacing w:before="480"/>
      <w:jc w:val="center"/>
      <w:outlineLvl w:val="7"/>
    </w:pPr>
    <w:rPr>
      <w:color w:val="800000"/>
    </w:rPr>
  </w:style>
  <w:style w:type="paragraph" w:customStyle="1" w:styleId="RevisionParagraphBezeichnermanuell">
    <w:name w:val="Revision Paragraph Bezeichner (manuell)"/>
    <w:basedOn w:val="Normal"/>
    <w:next w:val="RevisionParagraphberschrift"/>
    <w:rsid w:val="00CB23B3"/>
    <w:pPr>
      <w:keepNext/>
      <w:spacing w:before="480"/>
      <w:jc w:val="center"/>
      <w:outlineLvl w:val="7"/>
    </w:pPr>
    <w:rPr>
      <w:color w:val="800000"/>
    </w:rPr>
  </w:style>
  <w:style w:type="paragraph" w:customStyle="1" w:styleId="RevisionParagraphberschrift">
    <w:name w:val="Revision Paragraph Überschrift"/>
    <w:basedOn w:val="Normal"/>
    <w:next w:val="RevisionJuristischerAbsatz"/>
    <w:rsid w:val="00CB23B3"/>
    <w:pPr>
      <w:keepNext/>
      <w:jc w:val="center"/>
      <w:outlineLvl w:val="7"/>
    </w:pPr>
    <w:rPr>
      <w:color w:val="800000"/>
    </w:rPr>
  </w:style>
  <w:style w:type="paragraph" w:customStyle="1" w:styleId="RevisionBuchBezeichner">
    <w:name w:val="Revision Buch Bezeichner"/>
    <w:basedOn w:val="Normal"/>
    <w:next w:val="RevisionBuchberschrift"/>
    <w:rsid w:val="00CB23B3"/>
    <w:pPr>
      <w:keepNext/>
      <w:spacing w:before="480"/>
      <w:jc w:val="center"/>
      <w:outlineLvl w:val="6"/>
    </w:pPr>
    <w:rPr>
      <w:color w:val="800000"/>
      <w:sz w:val="26"/>
    </w:rPr>
  </w:style>
  <w:style w:type="paragraph" w:customStyle="1" w:styleId="RevisionBuchberschrift">
    <w:name w:val="Revision Buch Überschrift"/>
    <w:basedOn w:val="Normal"/>
    <w:next w:val="RevisionParagraphBezeichner"/>
    <w:rsid w:val="00CB23B3"/>
    <w:pPr>
      <w:keepNext/>
      <w:spacing w:after="240"/>
      <w:jc w:val="center"/>
      <w:outlineLvl w:val="6"/>
    </w:pPr>
    <w:rPr>
      <w:color w:val="800000"/>
      <w:sz w:val="26"/>
    </w:rPr>
  </w:style>
  <w:style w:type="paragraph" w:customStyle="1" w:styleId="RevisionTeilBezeichner">
    <w:name w:val="Revision Teil Bezeichner"/>
    <w:basedOn w:val="Normal"/>
    <w:next w:val="RevisionTeilberschrift"/>
    <w:rsid w:val="00CB23B3"/>
    <w:pPr>
      <w:keepNext/>
      <w:spacing w:before="480"/>
      <w:jc w:val="center"/>
      <w:outlineLvl w:val="6"/>
    </w:pPr>
    <w:rPr>
      <w:color w:val="800000"/>
      <w:sz w:val="26"/>
    </w:rPr>
  </w:style>
  <w:style w:type="paragraph" w:customStyle="1" w:styleId="RevisionTeilberschrift">
    <w:name w:val="Revision Teil Überschrift"/>
    <w:basedOn w:val="Normal"/>
    <w:next w:val="RevisionParagraphBezeichner"/>
    <w:rsid w:val="00CB23B3"/>
    <w:pPr>
      <w:keepNext/>
      <w:spacing w:after="240"/>
      <w:jc w:val="center"/>
      <w:outlineLvl w:val="6"/>
    </w:pPr>
    <w:rPr>
      <w:color w:val="800000"/>
      <w:sz w:val="26"/>
    </w:rPr>
  </w:style>
  <w:style w:type="paragraph" w:customStyle="1" w:styleId="RevisionKapitelBezeichner">
    <w:name w:val="Revision Kapitel Bezeichner"/>
    <w:basedOn w:val="Normal"/>
    <w:next w:val="RevisionKapitelberschrift"/>
    <w:rsid w:val="00CB23B3"/>
    <w:pPr>
      <w:keepNext/>
      <w:spacing w:before="480"/>
      <w:jc w:val="center"/>
      <w:outlineLvl w:val="6"/>
    </w:pPr>
    <w:rPr>
      <w:color w:val="800000"/>
      <w:sz w:val="26"/>
    </w:rPr>
  </w:style>
  <w:style w:type="paragraph" w:customStyle="1" w:styleId="RevisionKapitelberschrift">
    <w:name w:val="Revision Kapitel Überschrift"/>
    <w:basedOn w:val="Normal"/>
    <w:next w:val="RevisionParagraphBezeichner"/>
    <w:rsid w:val="00CB23B3"/>
    <w:pPr>
      <w:keepNext/>
      <w:spacing w:after="240"/>
      <w:jc w:val="center"/>
      <w:outlineLvl w:val="6"/>
    </w:pPr>
    <w:rPr>
      <w:color w:val="800000"/>
      <w:sz w:val="26"/>
    </w:rPr>
  </w:style>
  <w:style w:type="paragraph" w:customStyle="1" w:styleId="RevisionAbschnittBezeichner">
    <w:name w:val="Revision Abschnitt Bezeichner"/>
    <w:basedOn w:val="Normal"/>
    <w:next w:val="RevisionAbschnittberschrift"/>
    <w:rsid w:val="00CB23B3"/>
    <w:pPr>
      <w:keepNext/>
      <w:spacing w:before="480"/>
      <w:jc w:val="center"/>
      <w:outlineLvl w:val="6"/>
    </w:pPr>
    <w:rPr>
      <w:color w:val="800000"/>
    </w:rPr>
  </w:style>
  <w:style w:type="paragraph" w:customStyle="1" w:styleId="RevisionAbschnittberschrift">
    <w:name w:val="Revision Abschnitt Überschrift"/>
    <w:basedOn w:val="Normal"/>
    <w:next w:val="RevisionParagraphBezeichner"/>
    <w:rsid w:val="00CB23B3"/>
    <w:pPr>
      <w:keepNext/>
      <w:spacing w:after="240"/>
      <w:jc w:val="center"/>
      <w:outlineLvl w:val="6"/>
    </w:pPr>
    <w:rPr>
      <w:color w:val="800000"/>
    </w:rPr>
  </w:style>
  <w:style w:type="paragraph" w:customStyle="1" w:styleId="RevisionUnterabschnittBezeichner">
    <w:name w:val="Revision Unterabschnitt Bezeichner"/>
    <w:basedOn w:val="Normal"/>
    <w:next w:val="RevisionUnterabschnittberschrift"/>
    <w:rsid w:val="00CB23B3"/>
    <w:pPr>
      <w:keepNext/>
      <w:spacing w:before="480"/>
      <w:jc w:val="center"/>
      <w:outlineLvl w:val="6"/>
    </w:pPr>
    <w:rPr>
      <w:color w:val="800000"/>
    </w:rPr>
  </w:style>
  <w:style w:type="paragraph" w:customStyle="1" w:styleId="RevisionUnterabschnittberschrift">
    <w:name w:val="Revision Unterabschnitt Überschrift"/>
    <w:basedOn w:val="Normal"/>
    <w:next w:val="RevisionParagraphBezeichner"/>
    <w:rsid w:val="00CB23B3"/>
    <w:pPr>
      <w:keepNext/>
      <w:spacing w:after="240"/>
      <w:jc w:val="center"/>
      <w:outlineLvl w:val="6"/>
    </w:pPr>
    <w:rPr>
      <w:color w:val="800000"/>
    </w:rPr>
  </w:style>
  <w:style w:type="paragraph" w:customStyle="1" w:styleId="RevisionTitelBezeichner">
    <w:name w:val="Revision Titel Bezeichner"/>
    <w:basedOn w:val="Normal"/>
    <w:next w:val="RevisionTitelberschrift"/>
    <w:rsid w:val="00CB23B3"/>
    <w:pPr>
      <w:keepNext/>
      <w:spacing w:before="480"/>
      <w:jc w:val="center"/>
      <w:outlineLvl w:val="6"/>
    </w:pPr>
    <w:rPr>
      <w:color w:val="800000"/>
    </w:rPr>
  </w:style>
  <w:style w:type="paragraph" w:customStyle="1" w:styleId="RevisionTitelberschrift">
    <w:name w:val="Revision Titel Überschrift"/>
    <w:basedOn w:val="Normal"/>
    <w:next w:val="RevisionParagraphBezeichner"/>
    <w:rsid w:val="00CB23B3"/>
    <w:pPr>
      <w:keepNext/>
      <w:spacing w:after="240"/>
      <w:jc w:val="center"/>
      <w:outlineLvl w:val="6"/>
    </w:pPr>
    <w:rPr>
      <w:color w:val="800000"/>
    </w:rPr>
  </w:style>
  <w:style w:type="paragraph" w:customStyle="1" w:styleId="RevisionUntertitelBezeichner">
    <w:name w:val="Revision Untertitel Bezeichner"/>
    <w:basedOn w:val="Normal"/>
    <w:next w:val="RevisionUntertitelberschrift"/>
    <w:rsid w:val="00CB23B3"/>
    <w:pPr>
      <w:keepNext/>
      <w:spacing w:before="480"/>
      <w:jc w:val="center"/>
      <w:outlineLvl w:val="6"/>
    </w:pPr>
    <w:rPr>
      <w:color w:val="800000"/>
    </w:rPr>
  </w:style>
  <w:style w:type="paragraph" w:customStyle="1" w:styleId="RevisionUntertitelberschrift">
    <w:name w:val="Revision Untertitel Überschrift"/>
    <w:basedOn w:val="Normal"/>
    <w:next w:val="RevisionParagraphBezeichner"/>
    <w:rsid w:val="00CB23B3"/>
    <w:pPr>
      <w:keepNext/>
      <w:spacing w:after="240"/>
      <w:jc w:val="center"/>
      <w:outlineLvl w:val="6"/>
    </w:pPr>
    <w:rPr>
      <w:color w:val="800000"/>
    </w:rPr>
  </w:style>
  <w:style w:type="paragraph" w:customStyle="1" w:styleId="RevisionArtikelBezeichnermanuell">
    <w:name w:val="Revision Artikel Bezeichner (manuell)"/>
    <w:basedOn w:val="Normal"/>
    <w:next w:val="RevisionArtikelberschrift"/>
    <w:rsid w:val="00CB23B3"/>
    <w:pPr>
      <w:keepNext/>
      <w:spacing w:before="480" w:after="240"/>
      <w:jc w:val="center"/>
      <w:outlineLvl w:val="7"/>
    </w:pPr>
    <w:rPr>
      <w:color w:val="800000"/>
      <w:sz w:val="28"/>
    </w:rPr>
  </w:style>
  <w:style w:type="paragraph" w:customStyle="1" w:styleId="RevisionArtikelBezeichner">
    <w:name w:val="Revision Artikel Bezeichner"/>
    <w:basedOn w:val="Normal"/>
    <w:next w:val="RevisionArtikelberschrift"/>
    <w:rsid w:val="00CB23B3"/>
    <w:pPr>
      <w:keepNext/>
      <w:numPr>
        <w:numId w:val="59"/>
      </w:numPr>
      <w:spacing w:before="480" w:after="240"/>
      <w:jc w:val="center"/>
      <w:outlineLvl w:val="7"/>
    </w:pPr>
    <w:rPr>
      <w:color w:val="800000"/>
      <w:sz w:val="28"/>
    </w:rPr>
  </w:style>
  <w:style w:type="paragraph" w:customStyle="1" w:styleId="RevisionArtikelberschrift">
    <w:name w:val="Revision Artikel Überschrift"/>
    <w:basedOn w:val="Normal"/>
    <w:next w:val="RevisionJuristischerAbsatz"/>
    <w:rsid w:val="00CB23B3"/>
    <w:pPr>
      <w:keepNext/>
      <w:spacing w:after="240"/>
      <w:jc w:val="center"/>
      <w:outlineLvl w:val="7"/>
    </w:pPr>
    <w:rPr>
      <w:color w:val="800000"/>
      <w:sz w:val="28"/>
    </w:rPr>
  </w:style>
  <w:style w:type="paragraph" w:customStyle="1" w:styleId="RevisionBezeichnungStammdokument">
    <w:name w:val="Revision Bezeichnung (Stammdokument)"/>
    <w:basedOn w:val="Normal"/>
    <w:next w:val="RevisionKurzbezeichnung-AbkrzungStammdokument"/>
    <w:rsid w:val="00CB23B3"/>
    <w:pPr>
      <w:jc w:val="center"/>
      <w:outlineLvl w:val="6"/>
    </w:pPr>
    <w:rPr>
      <w:color w:val="800000"/>
      <w:sz w:val="28"/>
    </w:rPr>
  </w:style>
  <w:style w:type="paragraph" w:customStyle="1" w:styleId="RevisionKurzbezeichnung-AbkrzungStammdokument">
    <w:name w:val="Revision Kurzbezeichnung - Abkürzung (Stammdokument)"/>
    <w:basedOn w:val="Normal"/>
    <w:rsid w:val="00CB23B3"/>
    <w:pPr>
      <w:jc w:val="center"/>
    </w:pPr>
    <w:rPr>
      <w:color w:val="800000"/>
      <w:sz w:val="26"/>
    </w:rPr>
  </w:style>
  <w:style w:type="paragraph" w:customStyle="1" w:styleId="RevisionEingangsformelStandardStammdokument">
    <w:name w:val="Revision Eingangsformel Standard (Stammdokument)"/>
    <w:basedOn w:val="Normal"/>
    <w:rsid w:val="00CB23B3"/>
    <w:pPr>
      <w:ind w:firstLine="425"/>
    </w:pPr>
    <w:rPr>
      <w:color w:val="800000"/>
    </w:rPr>
  </w:style>
  <w:style w:type="paragraph" w:customStyle="1" w:styleId="RevisionEingangsformelAufzhlungStammdokument">
    <w:name w:val="Revision Eingangsformel Aufzählung (Stammdokument)"/>
    <w:basedOn w:val="Normal"/>
    <w:rsid w:val="00CB23B3"/>
    <w:pPr>
      <w:numPr>
        <w:numId w:val="66"/>
      </w:numPr>
    </w:pPr>
    <w:rPr>
      <w:color w:val="800000"/>
    </w:rPr>
  </w:style>
  <w:style w:type="paragraph" w:customStyle="1" w:styleId="RevisionVerzeichnisTitelStammdokument">
    <w:name w:val="Revision Verzeichnis Titel (Stammdokument)"/>
    <w:basedOn w:val="Normal"/>
    <w:next w:val="RevisionVerzeichnis2"/>
    <w:rsid w:val="00CB23B3"/>
    <w:pPr>
      <w:jc w:val="center"/>
    </w:pPr>
    <w:rPr>
      <w:color w:val="800000"/>
    </w:rPr>
  </w:style>
  <w:style w:type="paragraph" w:customStyle="1" w:styleId="RevisionVerzeichnis1">
    <w:name w:val="Revision Verzeichnis 1"/>
    <w:basedOn w:val="Normal"/>
    <w:rsid w:val="00CB23B3"/>
    <w:pPr>
      <w:tabs>
        <w:tab w:val="left" w:pos="1191"/>
      </w:tabs>
      <w:ind w:left="1191" w:hanging="1191"/>
    </w:pPr>
    <w:rPr>
      <w:color w:val="800000"/>
    </w:rPr>
  </w:style>
  <w:style w:type="paragraph" w:customStyle="1" w:styleId="RevisionVerzeichnis2">
    <w:name w:val="Revision Verzeichnis 2"/>
    <w:basedOn w:val="Normal"/>
    <w:rsid w:val="00CB23B3"/>
    <w:pPr>
      <w:keepNext/>
      <w:spacing w:before="240" w:line="360" w:lineRule="auto"/>
      <w:jc w:val="center"/>
    </w:pPr>
    <w:rPr>
      <w:color w:val="800000"/>
    </w:rPr>
  </w:style>
  <w:style w:type="paragraph" w:customStyle="1" w:styleId="RevisionVerzeichnis3">
    <w:name w:val="Revision Verzeichnis 3"/>
    <w:basedOn w:val="Normal"/>
    <w:rsid w:val="00CB23B3"/>
    <w:pPr>
      <w:keepNext/>
      <w:spacing w:before="240" w:line="360" w:lineRule="auto"/>
      <w:jc w:val="center"/>
    </w:pPr>
    <w:rPr>
      <w:color w:val="800000"/>
      <w:sz w:val="18"/>
    </w:rPr>
  </w:style>
  <w:style w:type="paragraph" w:customStyle="1" w:styleId="RevisionVerzeichnis4">
    <w:name w:val="Revision Verzeichnis 4"/>
    <w:basedOn w:val="Normal"/>
    <w:rsid w:val="00CB23B3"/>
    <w:pPr>
      <w:keepNext/>
      <w:spacing w:before="240" w:line="360" w:lineRule="auto"/>
      <w:jc w:val="center"/>
    </w:pPr>
    <w:rPr>
      <w:color w:val="800000"/>
      <w:sz w:val="18"/>
    </w:rPr>
  </w:style>
  <w:style w:type="paragraph" w:customStyle="1" w:styleId="RevisionVerzeichnis5">
    <w:name w:val="Revision Verzeichnis 5"/>
    <w:basedOn w:val="Normal"/>
    <w:rsid w:val="00CB23B3"/>
    <w:pPr>
      <w:keepNext/>
      <w:spacing w:before="240" w:line="360" w:lineRule="auto"/>
      <w:jc w:val="center"/>
    </w:pPr>
    <w:rPr>
      <w:color w:val="800000"/>
      <w:sz w:val="18"/>
    </w:rPr>
  </w:style>
  <w:style w:type="paragraph" w:customStyle="1" w:styleId="RevisionVerzeichnis6">
    <w:name w:val="Revision Verzeichnis 6"/>
    <w:basedOn w:val="Normal"/>
    <w:rsid w:val="00CB23B3"/>
    <w:pPr>
      <w:keepNext/>
      <w:spacing w:before="240" w:line="360" w:lineRule="auto"/>
      <w:jc w:val="center"/>
    </w:pPr>
    <w:rPr>
      <w:color w:val="800000"/>
      <w:sz w:val="18"/>
    </w:rPr>
  </w:style>
  <w:style w:type="paragraph" w:customStyle="1" w:styleId="RevisionVerzeichnis7">
    <w:name w:val="Revision Verzeichnis 7"/>
    <w:basedOn w:val="Normal"/>
    <w:rsid w:val="00CB23B3"/>
    <w:pPr>
      <w:keepNext/>
      <w:spacing w:before="240" w:line="360" w:lineRule="auto"/>
      <w:jc w:val="center"/>
    </w:pPr>
    <w:rPr>
      <w:color w:val="800000"/>
      <w:sz w:val="16"/>
    </w:rPr>
  </w:style>
  <w:style w:type="paragraph" w:customStyle="1" w:styleId="RevisionVerzeichnis8">
    <w:name w:val="Revision Verzeichnis 8"/>
    <w:basedOn w:val="Normal"/>
    <w:rsid w:val="00CB23B3"/>
    <w:pPr>
      <w:keepNext/>
      <w:spacing w:before="240" w:line="360" w:lineRule="auto"/>
      <w:jc w:val="center"/>
    </w:pPr>
    <w:rPr>
      <w:color w:val="800000"/>
      <w:sz w:val="16"/>
    </w:rPr>
  </w:style>
  <w:style w:type="paragraph" w:customStyle="1" w:styleId="RevisionVerzeichnis9">
    <w:name w:val="Revision Verzeichnis 9"/>
    <w:basedOn w:val="Normal"/>
    <w:rsid w:val="00CB23B3"/>
    <w:pPr>
      <w:tabs>
        <w:tab w:val="left" w:pos="624"/>
      </w:tabs>
      <w:ind w:left="624" w:hanging="624"/>
    </w:pPr>
    <w:rPr>
      <w:color w:val="800000"/>
      <w:sz w:val="16"/>
    </w:rPr>
  </w:style>
  <w:style w:type="paragraph" w:customStyle="1" w:styleId="RevisionAnlageBezeichner">
    <w:name w:val="Revision Anlage Bezeichner"/>
    <w:basedOn w:val="Normal"/>
    <w:next w:val="RevisionAnlageVerweis"/>
    <w:rsid w:val="00CB23B3"/>
    <w:pPr>
      <w:spacing w:before="240"/>
      <w:jc w:val="right"/>
      <w:outlineLvl w:val="6"/>
    </w:pPr>
    <w:rPr>
      <w:color w:val="800000"/>
      <w:sz w:val="26"/>
    </w:rPr>
  </w:style>
  <w:style w:type="paragraph" w:customStyle="1" w:styleId="RevisionAnlageberschrift">
    <w:name w:val="Revision Anlage Überschrift"/>
    <w:basedOn w:val="Normal"/>
    <w:next w:val="RevisionAnlageText"/>
    <w:rsid w:val="00CB23B3"/>
    <w:pPr>
      <w:jc w:val="center"/>
      <w:outlineLvl w:val="6"/>
    </w:pPr>
    <w:rPr>
      <w:color w:val="800000"/>
      <w:sz w:val="26"/>
    </w:rPr>
  </w:style>
  <w:style w:type="paragraph" w:customStyle="1" w:styleId="RevisionAnlageVerzeichnisTitel">
    <w:name w:val="Revision Anlage Verzeichnis Titel"/>
    <w:basedOn w:val="Normal"/>
    <w:next w:val="RevisionAnlageVerzeichnis1"/>
    <w:rsid w:val="00CB23B3"/>
    <w:pPr>
      <w:jc w:val="center"/>
    </w:pPr>
    <w:rPr>
      <w:color w:val="800000"/>
      <w:sz w:val="26"/>
    </w:rPr>
  </w:style>
  <w:style w:type="paragraph" w:customStyle="1" w:styleId="RevisionAnlageVerzeichnis1">
    <w:name w:val="Revision Anlage Verzeichnis 1"/>
    <w:basedOn w:val="Normal"/>
    <w:rsid w:val="00CB23B3"/>
    <w:pPr>
      <w:jc w:val="center"/>
    </w:pPr>
    <w:rPr>
      <w:color w:val="800000"/>
      <w:sz w:val="24"/>
    </w:rPr>
  </w:style>
  <w:style w:type="paragraph" w:customStyle="1" w:styleId="RevisionAnlageVerzeichnis2">
    <w:name w:val="Revision Anlage Verzeichnis 2"/>
    <w:basedOn w:val="Normal"/>
    <w:rsid w:val="00CB23B3"/>
    <w:pPr>
      <w:jc w:val="center"/>
    </w:pPr>
    <w:rPr>
      <w:color w:val="800000"/>
      <w:sz w:val="24"/>
    </w:rPr>
  </w:style>
  <w:style w:type="paragraph" w:customStyle="1" w:styleId="RevisionAnlageVerzeichnis3">
    <w:name w:val="Revision Anlage Verzeichnis 3"/>
    <w:basedOn w:val="Normal"/>
    <w:rsid w:val="00CB23B3"/>
    <w:pPr>
      <w:jc w:val="center"/>
    </w:pPr>
    <w:rPr>
      <w:color w:val="800000"/>
    </w:rPr>
  </w:style>
  <w:style w:type="paragraph" w:customStyle="1" w:styleId="RevisionAnlageVerzeichnis4">
    <w:name w:val="Revision Anlage Verzeichnis 4"/>
    <w:basedOn w:val="Normal"/>
    <w:rsid w:val="00CB23B3"/>
    <w:pPr>
      <w:jc w:val="center"/>
    </w:pPr>
    <w:rPr>
      <w:color w:val="800000"/>
    </w:rPr>
  </w:style>
  <w:style w:type="paragraph" w:customStyle="1" w:styleId="Revisionberschrift1">
    <w:name w:val="Revision Überschrift 1"/>
    <w:basedOn w:val="Normal"/>
    <w:next w:val="RevisionAnlageText"/>
    <w:rsid w:val="00CB23B3"/>
    <w:pPr>
      <w:keepNext/>
      <w:spacing w:before="240" w:after="60"/>
    </w:pPr>
    <w:rPr>
      <w:color w:val="800000"/>
      <w:kern w:val="32"/>
    </w:rPr>
  </w:style>
  <w:style w:type="paragraph" w:customStyle="1" w:styleId="Revisionberschrift2">
    <w:name w:val="Revision Überschrift 2"/>
    <w:basedOn w:val="Normal"/>
    <w:next w:val="RevisionAnlageText"/>
    <w:rsid w:val="00CB23B3"/>
    <w:pPr>
      <w:keepNext/>
      <w:spacing w:before="240" w:after="60"/>
    </w:pPr>
    <w:rPr>
      <w:color w:val="800000"/>
    </w:rPr>
  </w:style>
  <w:style w:type="paragraph" w:customStyle="1" w:styleId="Revisionberschrift3">
    <w:name w:val="Revision Überschrift 3"/>
    <w:basedOn w:val="Normal"/>
    <w:next w:val="RevisionAnlageText"/>
    <w:rsid w:val="00CB23B3"/>
    <w:pPr>
      <w:keepNext/>
      <w:spacing w:before="240" w:after="60"/>
    </w:pPr>
    <w:rPr>
      <w:color w:val="800000"/>
    </w:rPr>
  </w:style>
  <w:style w:type="paragraph" w:customStyle="1" w:styleId="Revisionberschrift4">
    <w:name w:val="Revision Überschrift 4"/>
    <w:basedOn w:val="Normal"/>
    <w:next w:val="RevisionAnlageText"/>
    <w:rsid w:val="00CB23B3"/>
    <w:pPr>
      <w:keepNext/>
      <w:spacing w:before="240" w:after="60"/>
    </w:pPr>
    <w:rPr>
      <w:color w:val="800000"/>
    </w:rPr>
  </w:style>
  <w:style w:type="paragraph" w:customStyle="1" w:styleId="RevisionAnlageText">
    <w:name w:val="Revision Anlage Text"/>
    <w:basedOn w:val="Normal"/>
    <w:rsid w:val="00CB23B3"/>
    <w:rPr>
      <w:color w:val="800000"/>
    </w:rPr>
  </w:style>
  <w:style w:type="paragraph" w:customStyle="1" w:styleId="RevisionListeStufe1">
    <w:name w:val="Revision Liste (Stufe 1)"/>
    <w:basedOn w:val="Normal"/>
    <w:rsid w:val="00CB23B3"/>
    <w:pPr>
      <w:numPr>
        <w:numId w:val="60"/>
      </w:numPr>
      <w:tabs>
        <w:tab w:val="left" w:pos="0"/>
      </w:tabs>
    </w:pPr>
    <w:rPr>
      <w:color w:val="800000"/>
    </w:rPr>
  </w:style>
  <w:style w:type="paragraph" w:customStyle="1" w:styleId="RevisionListeStufe1manuell">
    <w:name w:val="Revision Liste (Stufe 1) (manuell)"/>
    <w:basedOn w:val="Normal"/>
    <w:rsid w:val="00CB23B3"/>
    <w:pPr>
      <w:tabs>
        <w:tab w:val="left" w:pos="425"/>
      </w:tabs>
      <w:ind w:left="425" w:hanging="425"/>
    </w:pPr>
    <w:rPr>
      <w:color w:val="800000"/>
    </w:rPr>
  </w:style>
  <w:style w:type="paragraph" w:customStyle="1" w:styleId="RevisionListeFolgeabsatzStufe1">
    <w:name w:val="Revision Liste Folgeabsatz (Stufe 1)"/>
    <w:basedOn w:val="Normal"/>
    <w:rsid w:val="00CB23B3"/>
    <w:pPr>
      <w:numPr>
        <w:ilvl w:val="1"/>
        <w:numId w:val="60"/>
      </w:numPr>
    </w:pPr>
    <w:rPr>
      <w:color w:val="800000"/>
    </w:rPr>
  </w:style>
  <w:style w:type="paragraph" w:customStyle="1" w:styleId="RevisionListeStufe2">
    <w:name w:val="Revision Liste (Stufe 2)"/>
    <w:basedOn w:val="Normal"/>
    <w:rsid w:val="00CB23B3"/>
    <w:pPr>
      <w:numPr>
        <w:ilvl w:val="2"/>
        <w:numId w:val="60"/>
      </w:numPr>
    </w:pPr>
    <w:rPr>
      <w:color w:val="800000"/>
    </w:rPr>
  </w:style>
  <w:style w:type="paragraph" w:customStyle="1" w:styleId="RevisionListeStufe2manuell">
    <w:name w:val="Revision Liste (Stufe 2) (manuell)"/>
    <w:basedOn w:val="Normal"/>
    <w:rsid w:val="00CB23B3"/>
    <w:pPr>
      <w:tabs>
        <w:tab w:val="left" w:pos="850"/>
      </w:tabs>
      <w:ind w:left="850" w:hanging="425"/>
    </w:pPr>
    <w:rPr>
      <w:color w:val="800000"/>
    </w:rPr>
  </w:style>
  <w:style w:type="paragraph" w:customStyle="1" w:styleId="RevisionListeFolgeabsatzStufe2">
    <w:name w:val="Revision Liste Folgeabsatz (Stufe 2)"/>
    <w:basedOn w:val="Normal"/>
    <w:rsid w:val="00CB23B3"/>
    <w:pPr>
      <w:numPr>
        <w:ilvl w:val="3"/>
        <w:numId w:val="60"/>
      </w:numPr>
    </w:pPr>
    <w:rPr>
      <w:color w:val="800000"/>
    </w:rPr>
  </w:style>
  <w:style w:type="paragraph" w:customStyle="1" w:styleId="RevisionListeStufe3">
    <w:name w:val="Revision Liste (Stufe 3)"/>
    <w:basedOn w:val="Normal"/>
    <w:rsid w:val="00CB23B3"/>
    <w:pPr>
      <w:numPr>
        <w:ilvl w:val="4"/>
        <w:numId w:val="60"/>
      </w:numPr>
    </w:pPr>
    <w:rPr>
      <w:color w:val="800000"/>
    </w:rPr>
  </w:style>
  <w:style w:type="paragraph" w:customStyle="1" w:styleId="RevisionListeStufe3manuell">
    <w:name w:val="Revision Liste (Stufe 3) (manuell)"/>
    <w:basedOn w:val="Normal"/>
    <w:rsid w:val="00CB23B3"/>
    <w:pPr>
      <w:tabs>
        <w:tab w:val="left" w:pos="1276"/>
      </w:tabs>
      <w:ind w:left="1276" w:hanging="425"/>
    </w:pPr>
    <w:rPr>
      <w:color w:val="800000"/>
    </w:rPr>
  </w:style>
  <w:style w:type="paragraph" w:customStyle="1" w:styleId="RevisionListeFolgeabsatzStufe3">
    <w:name w:val="Revision Liste Folgeabsatz (Stufe 3)"/>
    <w:basedOn w:val="Normal"/>
    <w:rsid w:val="00CB23B3"/>
    <w:pPr>
      <w:numPr>
        <w:ilvl w:val="5"/>
        <w:numId w:val="60"/>
      </w:numPr>
    </w:pPr>
    <w:rPr>
      <w:color w:val="800000"/>
    </w:rPr>
  </w:style>
  <w:style w:type="paragraph" w:customStyle="1" w:styleId="RevisionListeStufe4">
    <w:name w:val="Revision Liste (Stufe 4)"/>
    <w:basedOn w:val="Normal"/>
    <w:rsid w:val="00CB23B3"/>
    <w:pPr>
      <w:numPr>
        <w:ilvl w:val="6"/>
        <w:numId w:val="60"/>
      </w:numPr>
    </w:pPr>
    <w:rPr>
      <w:color w:val="800000"/>
    </w:rPr>
  </w:style>
  <w:style w:type="paragraph" w:customStyle="1" w:styleId="RevisionListeStufe4manuell">
    <w:name w:val="Revision Liste (Stufe 4) (manuell)"/>
    <w:basedOn w:val="Normal"/>
    <w:rsid w:val="00CB23B3"/>
    <w:pPr>
      <w:tabs>
        <w:tab w:val="left" w:pos="1984"/>
      </w:tabs>
      <w:ind w:left="1984" w:hanging="709"/>
    </w:pPr>
    <w:rPr>
      <w:color w:val="800000"/>
    </w:rPr>
  </w:style>
  <w:style w:type="paragraph" w:customStyle="1" w:styleId="RevisionListeFolgeabsatzStufe4">
    <w:name w:val="Revision Liste Folgeabsatz (Stufe 4)"/>
    <w:basedOn w:val="Normal"/>
    <w:rsid w:val="00CB23B3"/>
    <w:pPr>
      <w:numPr>
        <w:ilvl w:val="7"/>
        <w:numId w:val="60"/>
      </w:numPr>
    </w:pPr>
    <w:rPr>
      <w:color w:val="800000"/>
    </w:rPr>
  </w:style>
  <w:style w:type="paragraph" w:customStyle="1" w:styleId="RevisionAufzhlungStufe1">
    <w:name w:val="Revision Aufzählung (Stufe 1)"/>
    <w:basedOn w:val="Normal"/>
    <w:rsid w:val="00CB23B3"/>
    <w:pPr>
      <w:numPr>
        <w:numId w:val="61"/>
      </w:numPr>
      <w:tabs>
        <w:tab w:val="left" w:pos="0"/>
      </w:tabs>
    </w:pPr>
    <w:rPr>
      <w:color w:val="800000"/>
    </w:rPr>
  </w:style>
  <w:style w:type="paragraph" w:customStyle="1" w:styleId="RevisionAufzhlungFolgeabsatzStufe1">
    <w:name w:val="Revision Aufzählung Folgeabsatz (Stufe 1)"/>
    <w:basedOn w:val="Normal"/>
    <w:rsid w:val="00CB23B3"/>
    <w:pPr>
      <w:tabs>
        <w:tab w:val="left" w:pos="425"/>
      </w:tabs>
      <w:ind w:left="425"/>
    </w:pPr>
    <w:rPr>
      <w:color w:val="800000"/>
    </w:rPr>
  </w:style>
  <w:style w:type="paragraph" w:customStyle="1" w:styleId="RevisionAufzhlungStufe2">
    <w:name w:val="Revision Aufzählung (Stufe 2)"/>
    <w:basedOn w:val="Normal"/>
    <w:rsid w:val="00CB23B3"/>
    <w:pPr>
      <w:numPr>
        <w:numId w:val="62"/>
      </w:numPr>
      <w:tabs>
        <w:tab w:val="left" w:pos="425"/>
      </w:tabs>
    </w:pPr>
    <w:rPr>
      <w:color w:val="800000"/>
    </w:rPr>
  </w:style>
  <w:style w:type="paragraph" w:customStyle="1" w:styleId="RevisionAufzhlungFolgeabsatzStufe2">
    <w:name w:val="Revision Aufzählung Folgeabsatz (Stufe 2)"/>
    <w:basedOn w:val="Normal"/>
    <w:rsid w:val="00CB23B3"/>
    <w:pPr>
      <w:tabs>
        <w:tab w:val="left" w:pos="794"/>
      </w:tabs>
      <w:ind w:left="850"/>
    </w:pPr>
    <w:rPr>
      <w:color w:val="800000"/>
    </w:rPr>
  </w:style>
  <w:style w:type="paragraph" w:customStyle="1" w:styleId="RevisionAufzhlungStufe3">
    <w:name w:val="Revision Aufzählung (Stufe 3)"/>
    <w:basedOn w:val="Normal"/>
    <w:rsid w:val="00CB23B3"/>
    <w:pPr>
      <w:numPr>
        <w:numId w:val="63"/>
      </w:numPr>
      <w:tabs>
        <w:tab w:val="left" w:pos="850"/>
      </w:tabs>
    </w:pPr>
    <w:rPr>
      <w:color w:val="800000"/>
    </w:rPr>
  </w:style>
  <w:style w:type="paragraph" w:customStyle="1" w:styleId="RevisionAufzhlungFolgeabsatzStufe3">
    <w:name w:val="Revision Aufzählung Folgeabsatz (Stufe 3)"/>
    <w:basedOn w:val="Normal"/>
    <w:rsid w:val="00CB23B3"/>
    <w:pPr>
      <w:tabs>
        <w:tab w:val="left" w:pos="1276"/>
      </w:tabs>
      <w:ind w:left="1276"/>
    </w:pPr>
    <w:rPr>
      <w:color w:val="800000"/>
    </w:rPr>
  </w:style>
  <w:style w:type="paragraph" w:customStyle="1" w:styleId="RevisionAufzhlungStufe4">
    <w:name w:val="Revision Aufzählung (Stufe 4)"/>
    <w:basedOn w:val="Normal"/>
    <w:rsid w:val="00CB23B3"/>
    <w:pPr>
      <w:numPr>
        <w:numId w:val="64"/>
      </w:numPr>
      <w:tabs>
        <w:tab w:val="left" w:pos="1276"/>
      </w:tabs>
    </w:pPr>
    <w:rPr>
      <w:color w:val="800000"/>
    </w:rPr>
  </w:style>
  <w:style w:type="paragraph" w:customStyle="1" w:styleId="RevisionAufzhlungFolgeabsatzStufe4">
    <w:name w:val="Revision Aufzählung Folgeabsatz (Stufe 4)"/>
    <w:basedOn w:val="Normal"/>
    <w:rsid w:val="00CB23B3"/>
    <w:pPr>
      <w:tabs>
        <w:tab w:val="left" w:pos="1701"/>
      </w:tabs>
      <w:ind w:left="1701"/>
    </w:pPr>
    <w:rPr>
      <w:color w:val="800000"/>
    </w:rPr>
  </w:style>
  <w:style w:type="paragraph" w:customStyle="1" w:styleId="RevisionAufzhlungStufe5">
    <w:name w:val="Revision Aufzählung (Stufe 5)"/>
    <w:basedOn w:val="Normal"/>
    <w:rsid w:val="00CB23B3"/>
    <w:pPr>
      <w:numPr>
        <w:numId w:val="65"/>
      </w:numPr>
      <w:tabs>
        <w:tab w:val="left" w:pos="1701"/>
      </w:tabs>
    </w:pPr>
    <w:rPr>
      <w:color w:val="800000"/>
    </w:rPr>
  </w:style>
  <w:style w:type="paragraph" w:customStyle="1" w:styleId="RevisionAufzhlungFolgeabsatzStufe5">
    <w:name w:val="Revision Aufzählung Folgeabsatz (Stufe 5)"/>
    <w:basedOn w:val="Normal"/>
    <w:rsid w:val="00CB23B3"/>
    <w:pPr>
      <w:tabs>
        <w:tab w:val="left" w:pos="2126"/>
      </w:tabs>
      <w:ind w:left="2126"/>
    </w:pPr>
    <w:rPr>
      <w:color w:val="800000"/>
    </w:rPr>
  </w:style>
  <w:style w:type="paragraph" w:customStyle="1" w:styleId="RevisionFunotentext">
    <w:name w:val="Revision Fußnotentext"/>
    <w:basedOn w:val="FootnoteText"/>
    <w:rsid w:val="00CB23B3"/>
    <w:rPr>
      <w:color w:val="800000"/>
    </w:rPr>
  </w:style>
  <w:style w:type="paragraph" w:customStyle="1" w:styleId="RevisionFormel">
    <w:name w:val="Revision Formel"/>
    <w:basedOn w:val="Normal"/>
    <w:rsid w:val="00CB23B3"/>
    <w:pPr>
      <w:spacing w:before="240" w:after="240"/>
      <w:jc w:val="center"/>
    </w:pPr>
    <w:rPr>
      <w:color w:val="800000"/>
    </w:rPr>
  </w:style>
  <w:style w:type="paragraph" w:customStyle="1" w:styleId="RevisionGrafik">
    <w:name w:val="Revision Grafik"/>
    <w:basedOn w:val="Normal"/>
    <w:next w:val="RevisionGrafikTitel"/>
    <w:rsid w:val="00CB23B3"/>
    <w:pPr>
      <w:spacing w:before="240" w:after="240"/>
      <w:jc w:val="center"/>
    </w:pPr>
    <w:rPr>
      <w:color w:val="800000"/>
    </w:rPr>
  </w:style>
  <w:style w:type="paragraph" w:customStyle="1" w:styleId="RevisionVerzeichnisTitelnderungsdokument">
    <w:name w:val="Revision Verzeichnis Titel (Änderungsdokument)"/>
    <w:basedOn w:val="Normal"/>
    <w:next w:val="RevisionVerzeichnis1"/>
    <w:rsid w:val="00CB23B3"/>
    <w:pPr>
      <w:jc w:val="center"/>
    </w:pPr>
    <w:rPr>
      <w:color w:val="800000"/>
    </w:rPr>
  </w:style>
  <w:style w:type="paragraph" w:customStyle="1" w:styleId="RevisionAnlageVerweis">
    <w:name w:val="Revision Anlage Verweis"/>
    <w:basedOn w:val="Normal"/>
    <w:next w:val="RevisionAnlageberschrift"/>
    <w:rsid w:val="00CB23B3"/>
    <w:pPr>
      <w:spacing w:before="0"/>
      <w:jc w:val="right"/>
    </w:pPr>
    <w:rPr>
      <w:color w:val="800000"/>
    </w:rPr>
  </w:style>
  <w:style w:type="paragraph" w:customStyle="1" w:styleId="RevisionGrafikTitel">
    <w:name w:val="Revision Grafik Titel"/>
    <w:basedOn w:val="Normal"/>
    <w:next w:val="RevisionGrafik"/>
    <w:rsid w:val="00CB23B3"/>
    <w:pPr>
      <w:spacing w:before="0"/>
      <w:jc w:val="center"/>
    </w:pPr>
    <w:rPr>
      <w:color w:val="800000"/>
      <w:sz w:val="18"/>
    </w:rPr>
  </w:style>
  <w:style w:type="paragraph" w:customStyle="1" w:styleId="Bezeichnungnderungsdokument">
    <w:name w:val="Bezeichnung (Änderungsdokument)"/>
    <w:basedOn w:val="Normal"/>
    <w:next w:val="Kurzbezeichnung-Abkrzungnderungsdokument"/>
    <w:rsid w:val="00CB23B3"/>
    <w:pPr>
      <w:jc w:val="center"/>
      <w:outlineLvl w:val="0"/>
    </w:pPr>
    <w:rPr>
      <w:b/>
      <w:sz w:val="26"/>
    </w:rPr>
  </w:style>
  <w:style w:type="paragraph" w:customStyle="1" w:styleId="Kurzbezeichnung-Abkrzungnderungsdokument">
    <w:name w:val="Kurzbezeichnung - Abkürzung (Änderungsdokument)"/>
    <w:basedOn w:val="Normal"/>
    <w:next w:val="Ausfertigungsdatumnderungsdokument"/>
    <w:rsid w:val="00CB23B3"/>
    <w:pPr>
      <w:spacing w:before="240"/>
      <w:jc w:val="center"/>
    </w:pPr>
    <w:rPr>
      <w:b/>
      <w:sz w:val="26"/>
    </w:rPr>
  </w:style>
  <w:style w:type="paragraph" w:customStyle="1" w:styleId="Ausfertigungsdatumnderungsdokument">
    <w:name w:val="Ausfertigungsdatum (Änderungsdokument)"/>
    <w:basedOn w:val="Normal"/>
    <w:next w:val="EingangsformelStandardnderungsdokument"/>
    <w:rsid w:val="00CB23B3"/>
    <w:pPr>
      <w:spacing w:before="240"/>
      <w:jc w:val="center"/>
    </w:pPr>
    <w:rPr>
      <w:b/>
    </w:rPr>
  </w:style>
  <w:style w:type="paragraph" w:customStyle="1" w:styleId="EingangsformelStandardnderungsdokument">
    <w:name w:val="Eingangsformel Standard (Änderungsdokument)"/>
    <w:basedOn w:val="Normal"/>
    <w:next w:val="EingangsformelAufzhlungnderungsdokument"/>
    <w:rsid w:val="00CB23B3"/>
    <w:pPr>
      <w:ind w:firstLine="425"/>
    </w:pPr>
  </w:style>
  <w:style w:type="paragraph" w:customStyle="1" w:styleId="EingangsformelAufzhlungnderungsdokument">
    <w:name w:val="Eingangsformel Aufzählung (Änderungsdokument)"/>
    <w:basedOn w:val="Normal"/>
    <w:rsid w:val="00CB23B3"/>
    <w:pPr>
      <w:numPr>
        <w:numId w:val="67"/>
      </w:numPr>
    </w:pPr>
  </w:style>
  <w:style w:type="paragraph" w:customStyle="1" w:styleId="EingangsformelFolgeabsatznderungsdokument">
    <w:name w:val="Eingangsformel Folgeabsatz (Änderungsdokument)"/>
    <w:basedOn w:val="Normal"/>
    <w:rsid w:val="00CB23B3"/>
  </w:style>
  <w:style w:type="paragraph" w:customStyle="1" w:styleId="ArtikelBezeichner">
    <w:name w:val="Artikel Bezeichner"/>
    <w:basedOn w:val="Normal"/>
    <w:next w:val="Artikelberschrift"/>
    <w:rsid w:val="00CB23B3"/>
    <w:pPr>
      <w:keepNext/>
      <w:numPr>
        <w:numId w:val="68"/>
      </w:numPr>
      <w:spacing w:before="480" w:after="240"/>
      <w:jc w:val="center"/>
      <w:outlineLvl w:val="1"/>
    </w:pPr>
    <w:rPr>
      <w:b/>
      <w:sz w:val="28"/>
    </w:rPr>
  </w:style>
  <w:style w:type="paragraph" w:customStyle="1" w:styleId="Artikelberschrift">
    <w:name w:val="Artikel Überschrift"/>
    <w:basedOn w:val="Normal"/>
    <w:next w:val="JuristischerAbsatznummeriert"/>
    <w:rsid w:val="00CB23B3"/>
    <w:pPr>
      <w:keepNext/>
      <w:spacing w:after="240"/>
      <w:jc w:val="center"/>
      <w:outlineLvl w:val="1"/>
    </w:pPr>
    <w:rPr>
      <w:b/>
      <w:sz w:val="28"/>
    </w:rPr>
  </w:style>
  <w:style w:type="paragraph" w:customStyle="1" w:styleId="ArtikelBezeichnermanuell">
    <w:name w:val="Artikel Bezeichner (manuell)"/>
    <w:basedOn w:val="Normal"/>
    <w:rsid w:val="00CB23B3"/>
    <w:pPr>
      <w:keepNext/>
      <w:spacing w:before="480" w:after="240"/>
      <w:jc w:val="center"/>
    </w:pPr>
    <w:rPr>
      <w:b/>
      <w:sz w:val="28"/>
    </w:rPr>
  </w:style>
  <w:style w:type="paragraph" w:styleId="TOC1">
    <w:name w:val="toc 1"/>
    <w:basedOn w:val="Normal"/>
    <w:next w:val="Normal"/>
    <w:uiPriority w:val="39"/>
    <w:semiHidden/>
    <w:unhideWhenUsed/>
    <w:rsid w:val="00CB23B3"/>
    <w:pPr>
      <w:tabs>
        <w:tab w:val="left" w:pos="1191"/>
      </w:tabs>
      <w:ind w:left="1191" w:hanging="1191"/>
    </w:pPr>
  </w:style>
  <w:style w:type="paragraph" w:customStyle="1" w:styleId="VerzeichnisTitelnderungsdokument">
    <w:name w:val="Verzeichnis Titel (Änderungsdokument)"/>
    <w:basedOn w:val="Normal"/>
    <w:rsid w:val="00CB23B3"/>
    <w:pPr>
      <w:jc w:val="center"/>
    </w:pPr>
  </w:style>
  <w:style w:type="paragraph" w:customStyle="1" w:styleId="ManualConsidrant">
    <w:name w:val="Manual Considérant"/>
    <w:basedOn w:val="Normal"/>
    <w:rsid w:val="00F568C1"/>
    <w:pPr>
      <w:ind w:left="709" w:hanging="709"/>
    </w:pPr>
    <w:rPr>
      <w:rFonts w:ascii="Times New Roman" w:hAnsi="Times New Roman" w:cs="Times New Roman"/>
      <w:sz w:val="24"/>
    </w:rPr>
  </w:style>
  <w:style w:type="paragraph" w:customStyle="1" w:styleId="Nomdelinstitution">
    <w:name w:val="Nom de l'institution"/>
    <w:basedOn w:val="Normal"/>
    <w:next w:val="Normal"/>
    <w:rsid w:val="008C17D3"/>
    <w:pPr>
      <w:spacing w:before="0" w:after="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1286">
      <w:bodyDiv w:val="1"/>
      <w:marLeft w:val="0"/>
      <w:marRight w:val="0"/>
      <w:marTop w:val="0"/>
      <w:marBottom w:val="0"/>
      <w:divBdr>
        <w:top w:val="none" w:sz="0" w:space="0" w:color="auto"/>
        <w:left w:val="none" w:sz="0" w:space="0" w:color="auto"/>
        <w:bottom w:val="none" w:sz="0" w:space="0" w:color="auto"/>
        <w:right w:val="none" w:sz="0" w:space="0" w:color="auto"/>
      </w:divBdr>
    </w:div>
    <w:div w:id="373703400">
      <w:bodyDiv w:val="1"/>
      <w:marLeft w:val="0"/>
      <w:marRight w:val="0"/>
      <w:marTop w:val="0"/>
      <w:marBottom w:val="0"/>
      <w:divBdr>
        <w:top w:val="none" w:sz="0" w:space="0" w:color="auto"/>
        <w:left w:val="none" w:sz="0" w:space="0" w:color="auto"/>
        <w:bottom w:val="none" w:sz="0" w:space="0" w:color="auto"/>
        <w:right w:val="none" w:sz="0" w:space="0" w:color="auto"/>
      </w:divBdr>
    </w:div>
    <w:div w:id="443311627">
      <w:bodyDiv w:val="1"/>
      <w:marLeft w:val="0"/>
      <w:marRight w:val="0"/>
      <w:marTop w:val="0"/>
      <w:marBottom w:val="0"/>
      <w:divBdr>
        <w:top w:val="none" w:sz="0" w:space="0" w:color="auto"/>
        <w:left w:val="none" w:sz="0" w:space="0" w:color="auto"/>
        <w:bottom w:val="none" w:sz="0" w:space="0" w:color="auto"/>
        <w:right w:val="none" w:sz="0" w:space="0" w:color="auto"/>
      </w:divBdr>
      <w:divsChild>
        <w:div w:id="1706364106">
          <w:marLeft w:val="0"/>
          <w:marRight w:val="0"/>
          <w:marTop w:val="0"/>
          <w:marBottom w:val="0"/>
          <w:divBdr>
            <w:top w:val="none" w:sz="0" w:space="0" w:color="auto"/>
            <w:left w:val="none" w:sz="0" w:space="0" w:color="auto"/>
            <w:bottom w:val="none" w:sz="0" w:space="0" w:color="auto"/>
            <w:right w:val="none" w:sz="0" w:space="0" w:color="auto"/>
          </w:divBdr>
        </w:div>
      </w:divsChild>
    </w:div>
    <w:div w:id="713315781">
      <w:bodyDiv w:val="1"/>
      <w:marLeft w:val="0"/>
      <w:marRight w:val="0"/>
      <w:marTop w:val="0"/>
      <w:marBottom w:val="0"/>
      <w:divBdr>
        <w:top w:val="none" w:sz="0" w:space="0" w:color="auto"/>
        <w:left w:val="none" w:sz="0" w:space="0" w:color="auto"/>
        <w:bottom w:val="none" w:sz="0" w:space="0" w:color="auto"/>
        <w:right w:val="none" w:sz="0" w:space="0" w:color="auto"/>
      </w:divBdr>
    </w:div>
    <w:div w:id="720062003">
      <w:bodyDiv w:val="1"/>
      <w:marLeft w:val="0"/>
      <w:marRight w:val="0"/>
      <w:marTop w:val="0"/>
      <w:marBottom w:val="0"/>
      <w:divBdr>
        <w:top w:val="none" w:sz="0" w:space="0" w:color="auto"/>
        <w:left w:val="none" w:sz="0" w:space="0" w:color="auto"/>
        <w:bottom w:val="none" w:sz="0" w:space="0" w:color="auto"/>
        <w:right w:val="none" w:sz="0" w:space="0" w:color="auto"/>
      </w:divBdr>
    </w:div>
    <w:div w:id="845946852">
      <w:bodyDiv w:val="1"/>
      <w:marLeft w:val="0"/>
      <w:marRight w:val="0"/>
      <w:marTop w:val="0"/>
      <w:marBottom w:val="0"/>
      <w:divBdr>
        <w:top w:val="none" w:sz="0" w:space="0" w:color="auto"/>
        <w:left w:val="none" w:sz="0" w:space="0" w:color="auto"/>
        <w:bottom w:val="none" w:sz="0" w:space="0" w:color="auto"/>
        <w:right w:val="none" w:sz="0" w:space="0" w:color="auto"/>
      </w:divBdr>
    </w:div>
    <w:div w:id="941297864">
      <w:bodyDiv w:val="1"/>
      <w:marLeft w:val="0"/>
      <w:marRight w:val="0"/>
      <w:marTop w:val="0"/>
      <w:marBottom w:val="0"/>
      <w:divBdr>
        <w:top w:val="none" w:sz="0" w:space="0" w:color="auto"/>
        <w:left w:val="none" w:sz="0" w:space="0" w:color="auto"/>
        <w:bottom w:val="none" w:sz="0" w:space="0" w:color="auto"/>
        <w:right w:val="none" w:sz="0" w:space="0" w:color="auto"/>
      </w:divBdr>
    </w:div>
    <w:div w:id="963341009">
      <w:bodyDiv w:val="1"/>
      <w:marLeft w:val="0"/>
      <w:marRight w:val="0"/>
      <w:marTop w:val="0"/>
      <w:marBottom w:val="0"/>
      <w:divBdr>
        <w:top w:val="none" w:sz="0" w:space="0" w:color="auto"/>
        <w:left w:val="none" w:sz="0" w:space="0" w:color="auto"/>
        <w:bottom w:val="none" w:sz="0" w:space="0" w:color="auto"/>
        <w:right w:val="none" w:sz="0" w:space="0" w:color="auto"/>
      </w:divBdr>
    </w:div>
    <w:div w:id="970326827">
      <w:bodyDiv w:val="1"/>
      <w:marLeft w:val="0"/>
      <w:marRight w:val="0"/>
      <w:marTop w:val="0"/>
      <w:marBottom w:val="0"/>
      <w:divBdr>
        <w:top w:val="none" w:sz="0" w:space="0" w:color="auto"/>
        <w:left w:val="none" w:sz="0" w:space="0" w:color="auto"/>
        <w:bottom w:val="none" w:sz="0" w:space="0" w:color="auto"/>
        <w:right w:val="none" w:sz="0" w:space="0" w:color="auto"/>
      </w:divBdr>
    </w:div>
    <w:div w:id="1022827540">
      <w:bodyDiv w:val="1"/>
      <w:marLeft w:val="0"/>
      <w:marRight w:val="0"/>
      <w:marTop w:val="0"/>
      <w:marBottom w:val="0"/>
      <w:divBdr>
        <w:top w:val="none" w:sz="0" w:space="0" w:color="auto"/>
        <w:left w:val="none" w:sz="0" w:space="0" w:color="auto"/>
        <w:bottom w:val="none" w:sz="0" w:space="0" w:color="auto"/>
        <w:right w:val="none" w:sz="0" w:space="0" w:color="auto"/>
      </w:divBdr>
      <w:divsChild>
        <w:div w:id="1343122278">
          <w:marLeft w:val="0"/>
          <w:marRight w:val="0"/>
          <w:marTop w:val="0"/>
          <w:marBottom w:val="0"/>
          <w:divBdr>
            <w:top w:val="none" w:sz="0" w:space="0" w:color="auto"/>
            <w:left w:val="none" w:sz="0" w:space="0" w:color="auto"/>
            <w:bottom w:val="none" w:sz="0" w:space="0" w:color="auto"/>
            <w:right w:val="none" w:sz="0" w:space="0" w:color="auto"/>
          </w:divBdr>
        </w:div>
      </w:divsChild>
    </w:div>
    <w:div w:id="1886260672">
      <w:bodyDiv w:val="1"/>
      <w:marLeft w:val="0"/>
      <w:marRight w:val="0"/>
      <w:marTop w:val="0"/>
      <w:marBottom w:val="0"/>
      <w:divBdr>
        <w:top w:val="none" w:sz="0" w:space="0" w:color="auto"/>
        <w:left w:val="none" w:sz="0" w:space="0" w:color="auto"/>
        <w:bottom w:val="none" w:sz="0" w:space="0" w:color="auto"/>
        <w:right w:val="none" w:sz="0" w:space="0" w:color="auto"/>
      </w:divBdr>
    </w:div>
    <w:div w:id="208340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ENDE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Anlage 1 2019-06-07 VO-E Änd BtMKostV_Fragen an BfArM_Korr" edit="true"/>
    <f:field ref="objsubject" par="" text="" edit="true"/>
    <f:field ref="objcreatedby" par="" text="Cremer-Schaeffer, Peter, Dr."/>
    <f:field ref="objcreatedat" par="" date="2019-06-13T13:05:28" text="13.06.2019 13:05:28"/>
    <f:field ref="objchangedby" par="" text="Broich, Karl, Prof. Dr."/>
    <f:field ref="objmodifiedat" par="" date="2019-06-14T13:55:27" text="14.06.2019 13:55:27"/>
    <f:field ref="doc_FSCFOLIO_1_1001_FieldDocumentNumber" par="" text=""/>
    <f:field ref="doc_FSCFOLIO_1_1001_FieldSubject" par="" text="" edit="true"/>
    <f:field ref="FSCFOLIO_1_1001_FieldCurrentUser" par="" text="Büro P"/>
    <f:field ref="CCAPRECONFIG_15_1001_Objektname" par="" text="Anlage 1 2019-06-07 VO-E Änd BtMKostV_Fragen an BfArM_Korr" edit="true"/>
    <f:field ref="DEPRECONFIG_15_1001_Objektname" par="" text="Anlage 1 2019-06-07 VO-E Änd BtMKostV_Fragen an BfArM_Korr"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display>
  <f:display par="" text="Serienbrief">
    <f:field ref="doc_FSCFOLIO_1_1001_FieldDocumentNumber" text="Dokument Nummer"/>
    <f:field ref="doc_FSCFOLIO_1_1001_FieldSubject" text="Betreff"/>
  </f:display>
  <f:record inx="1">
    <f:field ref="DEPRECONFIG_15_1001_Hausnummer" par="" text=""/>
    <f:field ref="CCAPRECONFIG_15_1001_AntwortReferenz" par="" text=""/>
    <f:field ref="DEPRECONFIG_15_1001_Anrede" par="" text="" edit="true"/>
    <f:field ref="DEPRECONFIG_15_1001_Titel" par="" text="" edit="true"/>
    <f:field ref="DEPRECONFIG_15_1001_Vorname" par="" text="" edit="true"/>
    <f:field ref="BFARMPEICFG_15_1700_ZweiterVorname" par="" text=""/>
    <f:field ref="DEPRECONFIG_15_1001_Nachname" par="" text="12 BMG" edit="true"/>
    <f:field ref="DEPRECONFIG_15_1001_Strasse" par="" text=""/>
    <f:field ref="DEPRECONFIG_15_1001_Postleitzahl" par="" text="53107"/>
    <f:field ref="DEPRECONFIG_15_1001_Ort" par="" text="Bonn"/>
    <f:field ref="DEPRECONFIG_15_1001_Bundesland" par="" text=""/>
    <f:field ref="DEPRECONFIG_15_1001_Land" par="" text="Deutschland"/>
    <f:field ref="DEPRECONFIG_15_1001_EMailAdresse" par="" text="122@bmg.bund.de"/>
    <f:field ref="DEPRECONFIG_15_1001_Organisationsname" par="" text="Bundesministerium für Gesundheit"/>
    <f:field ref="DEPRECONFIG_15_1001_Organisationskurzname" par="" text="BMG"/>
    <f:field ref="BFARMPEICFG_15_1700_AlternativnameOrganisation" par="" text=""/>
    <f:field ref="BFARMPEICFG_15_1700_Abteilung" par="" text=""/>
    <f:field ref="BFARMPEICFG_15_1700_Kategorie" par="" text=""/>
    <f:field ref="BFARMPEICFG_15_1700_Versandart" par="" text="E-Mail"/>
    <f:field ref="BFARMPEICFG_15_1700_Addresszusatz" par="" text=""/>
    <f:field ref="BFARMPEICFG_15_1700_Beschreibung" par="" text=""/>
    <f:field ref="BFARMPEICFG_15_1700_Stellenzeichen" par="" text=""/>
    <f:field ref="DEPRECONFIG_15_1001_Geschlecht" par="" text=""/>
    <f:field ref="DEPRECONFIG_15_1001_Geburtsdatum" par="" text=""/>
    <f:field ref="DEPRECONFIG_15_1001_Zustellvermerk" par="" text=""/>
    <f:field ref="DEPRECONFIG_15_1001_Kopietext" par="" text=""/>
  </f:record>
  <f:display par="" text="Serialcontext &gt; Adressat/innen">
    <f:field ref="DEPRECONFIG_15_1001_Hausnummer" text="Hausnummer"/>
    <f:field ref="CCAPRECONFIG_15_1001_AntwortReferenz" text=""/>
    <f:field ref="DEPRECONFIG_15_1001_Anrede" text="Anrede"/>
    <f:field ref="DEPRECONFIG_15_1001_Titel" text="Titel"/>
    <f:field ref="DEPRECONFIG_15_1001_Vorname" text="Vorname"/>
    <f:field ref="BFARMPEICFG_15_1700_ZweiterVorname" text="Zweiter Vorname"/>
    <f:field ref="DEPRECONFIG_15_1001_Nachname" text="Nachname"/>
    <f:field ref="DEPRECONFIG_15_1001_Strasse" text="Strasse"/>
    <f:field ref="DEPRECONFIG_15_1001_Postleitzahl" text="Postleitzahl"/>
    <f:field ref="DEPRECONFIG_15_1001_Ort" text="Ort"/>
    <f:field ref="DEPRECONFIG_15_1001_Bundesland" text="Bundesland"/>
    <f:field ref="DEPRECONFIG_15_1001_Land" text="Land"/>
    <f:field ref="DEPRECONFIG_15_1001_EMailAdresse" text="E-Mail-Adresse"/>
    <f:field ref="DEPRECONFIG_15_1001_Organisationsname" text="Organisationsname"/>
    <f:field ref="DEPRECONFIG_15_1001_Organisationskurzname" text="Organisationskurzname"/>
    <f:field ref="BFARMPEICFG_15_1700_AlternativnameOrganisation" text="Alternativer Name Organisation"/>
    <f:field ref="BFARMPEICFG_15_1700_Abteilung" text="Abteilung"/>
    <f:field ref="BFARMPEICFG_15_1700_Kategorie" text="Kategorie"/>
    <f:field ref="BFARMPEICFG_15_1700_Versandart" text="Versandart"/>
    <f:field ref="BFARMPEICFG_15_1700_Addresszusatz" text="Addresszusatz"/>
    <f:field ref="BFARMPEICFG_15_1700_Beschreibung" text="Beschreibung"/>
    <f:field ref="BFARMPEICFG_15_1700_Stellenzeichen" text="Stellenzeichen"/>
    <f:field ref="DEPRECONFIG_15_1001_Geschlecht" text="Geschlecht"/>
    <f:field ref="DEPRECONFIG_15_1001_Geburtsdatum" text="Geburtsdatum"/>
    <f:field ref="DEPRECONFIG_15_1001_Zustellvermerk" text="Zustellvermerk"/>
    <f:field ref="DEPRECONFIG_15_1001_Kopietext" text="Kopietext"/>
  </f:display>
</f:fields>
</file>

<file path=customXml/itemProps1.xml><?xml version="1.0" encoding="utf-8"?>
<ds:datastoreItem xmlns:ds="http://schemas.openxmlformats.org/officeDocument/2006/customXml" ds:itemID="{C5695FAE-56C2-4715-A15E-E1A7F5709D0B}">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AENDER.dotm</Template>
  <TotalTime>4</TotalTime>
  <Pages>8</Pages>
  <Words>2444</Words>
  <Characters>13937</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BfArM</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Freude, Olaf</dc:creator>
  <cp:lastModifiedBy>Dimitris Dimitriadis</cp:lastModifiedBy>
  <cp:revision>6</cp:revision>
  <cp:lastPrinted>2023-02-28T07:23:00Z</cp:lastPrinted>
  <dcterms:created xsi:type="dcterms:W3CDTF">2023-03-22T08:52:00Z</dcterms:created>
  <dcterms:modified xsi:type="dcterms:W3CDTF">2023-04-27T08:30:00Z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ungsstand">
    <vt:lpwstr>Bearbeitungsstand: 22.03.2023  09:52</vt:lpwstr>
  </property>
  <property fmtid="{D5CDD505-2E9C-101B-9397-08002B2CF9AE}" pid="3" name="Meta_Initiant">
    <vt:lpwstr>Bundesministerium für Gesundheit</vt:lpwstr>
  </property>
  <property fmtid="{D5CDD505-2E9C-101B-9397-08002B2CF9AE}" pid="4" name="FSC#BFARMCFG@15.1700:SiteNote">
    <vt:lpwstr>Z161.02</vt:lpwstr>
  </property>
  <property fmtid="{D5CDD505-2E9C-101B-9397-08002B2CF9AE}" pid="5" name="FSC#BFARMCFG@15.1700:DocumentFileReference">
    <vt:lpwstr>1111-(Büro des Präsidenten) Erlasse 2018#0176#0010</vt:lpwstr>
  </property>
  <property fmtid="{D5CDD505-2E9C-101B-9397-08002B2CF9AE}" pid="6" name="FSC#BFARMCFG@15.1700:ProcedureFileReference">
    <vt:lpwstr>1111-(Büro des Präsidenten) Erlasse 2018#0176</vt:lpwstr>
  </property>
  <property fmtid="{D5CDD505-2E9C-101B-9397-08002B2CF9AE}" pid="7" name="FSC#BFARMCFG@15.1700:JobNumberStr">
    <vt:lpwstr>2018-19886</vt:lpwstr>
  </property>
  <property fmtid="{D5CDD505-2E9C-101B-9397-08002B2CF9AE}" pid="8" name="FSC#BFARMCFG@15.1700:ProcedureNumberFilereference">
    <vt:lpwstr>2018-19886</vt:lpwstr>
  </property>
  <property fmtid="{D5CDD505-2E9C-101B-9397-08002B2CF9AE}" pid="9" name="FSC#BFARMCFG@15.1700:dptechvaliddate">
    <vt:lpwstr/>
  </property>
  <property fmtid="{D5CDD505-2E9C-101B-9397-08002B2CF9AE}" pid="10" name="FSC#BFARMCFG@15.1700:dpseqnumber">
    <vt:lpwstr/>
  </property>
  <property fmtid="{D5CDD505-2E9C-101B-9397-08002B2CF9AE}" pid="11" name="FSC#BFARMCFG@15.1700:dpprojectnumber">
    <vt:lpwstr/>
  </property>
  <property fmtid="{D5CDD505-2E9C-101B-9397-08002B2CF9AE}" pid="12" name="FSC#BFARMCFG@15.1700:dpapplicant">
    <vt:lpwstr/>
  </property>
  <property fmtid="{D5CDD505-2E9C-101B-9397-08002B2CF9AE}" pid="13" name="FSC#BFARMCFG@15.1700:dpauthholder">
    <vt:lpwstr/>
  </property>
  <property fmtid="{D5CDD505-2E9C-101B-9397-08002B2CF9AE}" pid="14" name="FSC#BFARMCFG@15.1700:dpfutureauthholder">
    <vt:lpwstr/>
  </property>
  <property fmtid="{D5CDD505-2E9C-101B-9397-08002B2CF9AE}" pid="15" name="FSC#BFARMCFG@15.1700:dprmscountry">
    <vt:lpwstr/>
  </property>
  <property fmtid="{D5CDD505-2E9C-101B-9397-08002B2CF9AE}" pid="16" name="FSC#BFARMCFG@15.1700:dpinchargeabbreviation">
    <vt:lpwstr>Z</vt:lpwstr>
  </property>
  <property fmtid="{D5CDD505-2E9C-101B-9397-08002B2CF9AE}" pid="17" name="FSC#BFARMCFG@15.1700:dpinchargegrshortname">
    <vt:lpwstr>Z</vt:lpwstr>
  </property>
  <property fmtid="{D5CDD505-2E9C-101B-9397-08002B2CF9AE}" pid="18" name="FSC#BFARMCFG@15.1700:dpinchargesupergroupgrshortname">
    <vt:lpwstr>Büro des Präsidenten</vt:lpwstr>
  </property>
  <property fmtid="{D5CDD505-2E9C-101B-9397-08002B2CF9AE}" pid="19" name="FSC#BFARMCFG@15.1700:dpclinicalassessor">
    <vt:lpwstr/>
  </property>
  <property fmtid="{D5CDD505-2E9C-101B-9397-08002B2CF9AE}" pid="20" name="FSC#BFARMCFG@15.1700:dpnonclinicalassessor">
    <vt:lpwstr/>
  </property>
  <property fmtid="{D5CDD505-2E9C-101B-9397-08002B2CF9AE}" pid="21" name="FSC#BFARMCFG@15.1700:dpqualityassessor">
    <vt:lpwstr/>
  </property>
  <property fmtid="{D5CDD505-2E9C-101B-9397-08002B2CF9AE}" pid="22" name="FSC#BFARMCFG@15.1700:dppharmacovigilancesystem">
    <vt:lpwstr/>
  </property>
  <property fmtid="{D5CDD505-2E9C-101B-9397-08002B2CF9AE}" pid="23" name="FSC#BFARMCFG@15.1700:dppharmakokinetics_statistics">
    <vt:lpwstr/>
  </property>
  <property fmtid="{D5CDD505-2E9C-101B-9397-08002B2CF9AE}" pid="24" name="FSC#BFARMCFG@15.1700:dpinchargefirstname">
    <vt:lpwstr>Ralf</vt:lpwstr>
  </property>
  <property fmtid="{D5CDD505-2E9C-101B-9397-08002B2CF9AE}" pid="25" name="FSC#BFARMCFG@15.1700:dpinchargesurname">
    <vt:lpwstr>Halfmann</vt:lpwstr>
  </property>
  <property fmtid="{D5CDD505-2E9C-101B-9397-08002B2CF9AE}" pid="26" name="FSC#BFARMCFG@15.1700:dpinchargetelephone">
    <vt:lpwstr/>
  </property>
  <property fmtid="{D5CDD505-2E9C-101B-9397-08002B2CF9AE}" pid="27" name="FSC#BFARMCFG@15.1700:dpinchargefax">
    <vt:lpwstr/>
  </property>
  <property fmtid="{D5CDD505-2E9C-101B-9397-08002B2CF9AE}" pid="28" name="FSC#BFARMCFG@15.1700:dpinchargeemail">
    <vt:lpwstr>Ralf.Halfmann@bfarm.de</vt:lpwstr>
  </property>
  <property fmtid="{D5CDD505-2E9C-101B-9397-08002B2CF9AE}" pid="29" name="FSC#BFARMCFG@15.1700:dpdocumentcreatorabbreviation">
    <vt:lpwstr>Z161.02</vt:lpwstr>
  </property>
  <property fmtid="{D5CDD505-2E9C-101B-9397-08002B2CF9AE}" pid="30" name="FSC#BFARMCFG@15.1700:dpdocumentcreatorsurname">
    <vt:lpwstr>Burgard</vt:lpwstr>
  </property>
  <property fmtid="{D5CDD505-2E9C-101B-9397-08002B2CF9AE}" pid="31" name="FSC#BFARMCFG@15.1700:dpenr">
    <vt:lpwstr/>
  </property>
  <property fmtid="{D5CDD505-2E9C-101B-9397-08002B2CF9AE}" pid="32" name="FSC#BFARMCFG@15.1700:dpmedicamentdescription">
    <vt:lpwstr/>
  </property>
  <property fmtid="{D5CDD505-2E9C-101B-9397-08002B2CF9AE}" pid="33" name="FSC#BFARMCFG@15.1700:dplicencenumber">
    <vt:lpwstr/>
  </property>
  <property fmtid="{D5CDD505-2E9C-101B-9397-08002B2CF9AE}" pid="34" name="FSC#BFARMCFG@15.1700:dpeuv">
    <vt:lpwstr/>
  </property>
  <property fmtid="{D5CDD505-2E9C-101B-9397-08002B2CF9AE}" pid="35" name="FSC#BFARMCFG@15.1700:dpactiveingredients">
    <vt:lpwstr/>
  </property>
  <property fmtid="{D5CDD505-2E9C-101B-9397-08002B2CF9AE}" pid="36" name="FSC#BFARMCFG@15.1700:dpdosageform">
    <vt:lpwstr/>
  </property>
  <property fmtid="{D5CDD505-2E9C-101B-9397-08002B2CF9AE}" pid="37" name="FSC#BFARMCFG@15.1700:dpdurgstrength">
    <vt:lpwstr/>
  </property>
  <property fmtid="{D5CDD505-2E9C-101B-9397-08002B2CF9AE}" pid="38" name="FSC#BFARMCFG@15.1700:dpatccode">
    <vt:lpwstr/>
  </property>
  <property fmtid="{D5CDD505-2E9C-101B-9397-08002B2CF9AE}" pid="39" name="FSC#BFARMCFG@15.1700:dpapplicantnumber">
    <vt:lpwstr/>
  </property>
  <property fmtid="{D5CDD505-2E9C-101B-9397-08002B2CF9AE}" pid="40" name="FSC#BFARMCFG@15.1700:dpcodeofdosageform">
    <vt:lpwstr/>
  </property>
  <property fmtid="{D5CDD505-2E9C-101B-9397-08002B2CF9AE}" pid="41" name="FSC#BFARMCFG@15.1700:dpenrapplication">
    <vt:lpwstr/>
  </property>
  <property fmtid="{D5CDD505-2E9C-101B-9397-08002B2CF9AE}" pid="42" name="FSC#BFARMCFG@15.1700:OutgoingReportersBfArM">
    <vt:lpwstr/>
  </property>
  <property fmtid="{D5CDD505-2E9C-101B-9397-08002B2CF9AE}" pid="43" name="FSC#BFARMPEICFG@15.1700:Subject">
    <vt:lpwstr/>
  </property>
  <property fmtid="{D5CDD505-2E9C-101B-9397-08002B2CF9AE}" pid="44" name="FSC#BFARMPEICFG@15.1700:AttachmentCount">
    <vt:lpwstr>0</vt:lpwstr>
  </property>
  <property fmtid="{D5CDD505-2E9C-101B-9397-08002B2CF9AE}" pid="45" name="FSC#BFARMPEICFG@15.1700:Author">
    <vt:lpwstr>Margareta Burgard</vt:lpwstr>
  </property>
  <property fmtid="{D5CDD505-2E9C-101B-9397-08002B2CF9AE}" pid="46" name="FSC#BFARMPEICFG@15.1700:AuthorSurname">
    <vt:lpwstr>Burgard</vt:lpwstr>
  </property>
  <property fmtid="{D5CDD505-2E9C-101B-9397-08002B2CF9AE}" pid="47" name="FSC#BFARMPEICFG@15.1700:AuthorMail">
    <vt:lpwstr>Margareta.Burgard@bfarm.de</vt:lpwstr>
  </property>
  <property fmtid="{D5CDD505-2E9C-101B-9397-08002B2CF9AE}" pid="48" name="FSC#BFARMPEICFG@15.1700:AuthorCCMail">
    <vt:lpwstr/>
  </property>
  <property fmtid="{D5CDD505-2E9C-101B-9397-08002B2CF9AE}" pid="49" name="FSC#BFARMPEICFG@15.1700:AuthorPhone">
    <vt:lpwstr/>
  </property>
  <property fmtid="{D5CDD505-2E9C-101B-9397-08002B2CF9AE}" pid="50" name="FSC#BFARMPEICFG@15.1700:AuthorFax">
    <vt:lpwstr/>
  </property>
  <property fmtid="{D5CDD505-2E9C-101B-9397-08002B2CF9AE}" pid="51" name="FSC#BFARMPEICFG@15.1700:CreatedAt">
    <vt:lpwstr>19.11.2018</vt:lpwstr>
  </property>
  <property fmtid="{D5CDD505-2E9C-101B-9397-08002B2CF9AE}" pid="52" name="FSC#BFARMPEICFG@15.1700:CreatedAtDE">
    <vt:lpwstr>19. November 2018</vt:lpwstr>
  </property>
  <property fmtid="{D5CDD505-2E9C-101B-9397-08002B2CF9AE}" pid="53" name="FSC#BFARMPEICFG@15.1700:CreatedAtEN">
    <vt:lpwstr>19. November 2018</vt:lpwstr>
  </property>
  <property fmtid="{D5CDD505-2E9C-101B-9397-08002B2CF9AE}" pid="54" name="FSC#BFARMPEICFG@15.1700:FirstFinalSignProcedure">
    <vt:lpwstr>Prof. Dr. Karl Broich</vt:lpwstr>
  </property>
  <property fmtid="{D5CDD505-2E9C-101B-9397-08002B2CF9AE}" pid="55" name="FSC#BFARMPEICFG@15.1700:FirstFinalSignProcedureDate">
    <vt:lpwstr>29.06.2018</vt:lpwstr>
  </property>
  <property fmtid="{D5CDD505-2E9C-101B-9397-08002B2CF9AE}" pid="56" name="FSC#BFARMPEICFG@15.1700:DocumentName">
    <vt:lpwstr>1111-(Büro des Präsidenten) Erlasse 2018#0176-Anpassung BtMKostV#0010 Anlage</vt:lpwstr>
  </property>
  <property fmtid="{D5CDD505-2E9C-101B-9397-08002B2CF9AE}" pid="57" name="FSC#BFARMPEICFG@15.1700:DocumentFileReference">
    <vt:lpwstr>1111-(Büro des Präsidenten) Erlasse 2018#0176-Anpassung BtMKostV#0010</vt:lpwstr>
  </property>
  <property fmtid="{D5CDD505-2E9C-101B-9397-08002B2CF9AE}" pid="58" name="FSC#BFARMPEICFG@15.1700:DocumentShortDescription">
    <vt:lpwstr>Anlage</vt:lpwstr>
  </property>
  <property fmtid="{D5CDD505-2E9C-101B-9397-08002B2CF9AE}" pid="59" name="FSC#BFARMPEICFG@15.1700:ProcedureName">
    <vt:lpwstr>1111-(Büro des Präsidenten) Erlasse 2018#0176-Anpassung BtMKostV</vt:lpwstr>
  </property>
  <property fmtid="{D5CDD505-2E9C-101B-9397-08002B2CF9AE}" pid="60" name="FSC#BFARMPEICFG@15.1700:ProcedureFileReference">
    <vt:lpwstr>1111-(Büro des Präsidenten) Erlasse 2018#0176</vt:lpwstr>
  </property>
  <property fmtid="{D5CDD505-2E9C-101B-9397-08002B2CF9AE}" pid="61" name="FSC#BFARMPEICFG@15.1700:ProcedureShortDescription">
    <vt:lpwstr>Anpassung BtMKostV</vt:lpwstr>
  </property>
  <property fmtid="{D5CDD505-2E9C-101B-9397-08002B2CF9AE}" pid="62" name="FSC#BFARMPEICFG@15.1700:OEHead">
    <vt:lpwstr/>
  </property>
  <property fmtid="{D5CDD505-2E9C-101B-9397-08002B2CF9AE}" pid="63" name="FSC#BFARMPEICFG@15.1700:OEHeadPhone">
    <vt:lpwstr/>
  </property>
  <property fmtid="{D5CDD505-2E9C-101B-9397-08002B2CF9AE}" pid="64" name="FSC#BFARMPEICFG@15.1700:OEShortName">
    <vt:lpwstr>Büro des Präsidenten</vt:lpwstr>
  </property>
  <property fmtid="{D5CDD505-2E9C-101B-9397-08002B2CF9AE}" pid="65" name="FSC#BFARMPEICFG@15.1700:OrgBankAccSendTo">
    <vt:lpwstr/>
  </property>
  <property fmtid="{D5CDD505-2E9C-101B-9397-08002B2CF9AE}" pid="66" name="FSC#BFARMPEICFG@15.1700:OrgBankAccBank">
    <vt:lpwstr/>
  </property>
  <property fmtid="{D5CDD505-2E9C-101B-9397-08002B2CF9AE}" pid="67" name="FSC#BFARMPEICFG@15.1700:OrgBankAccID">
    <vt:lpwstr/>
  </property>
  <property fmtid="{D5CDD505-2E9C-101B-9397-08002B2CF9AE}" pid="68" name="FSC#BFARMPEICFG@15.1700:OrgBankAccAccount">
    <vt:lpwstr/>
  </property>
  <property fmtid="{D5CDD505-2E9C-101B-9397-08002B2CF9AE}" pid="69" name="FSC#BFARMPEICFG@15.1700:OrgBankAccIBAN">
    <vt:lpwstr/>
  </property>
  <property fmtid="{D5CDD505-2E9C-101B-9397-08002B2CF9AE}" pid="70" name="FSC#BFARMPEICFG@15.1700:OrgBankAccBIC">
    <vt:lpwstr/>
  </property>
  <property fmtid="{D5CDD505-2E9C-101B-9397-08002B2CF9AE}" pid="71" name="FSC#BFARMPEICFG@15.1700:OrgName">
    <vt:lpwstr/>
  </property>
  <property fmtid="{D5CDD505-2E9C-101B-9397-08002B2CF9AE}" pid="72" name="FSC#BFARMPEICFG@15.1700:OrgShortName">
    <vt:lpwstr/>
  </property>
  <property fmtid="{D5CDD505-2E9C-101B-9397-08002B2CF9AE}" pid="73" name="FSC#BFARMPEICFG@15.1700:OrgNote">
    <vt:lpwstr/>
  </property>
  <property fmtid="{D5CDD505-2E9C-101B-9397-08002B2CF9AE}" pid="74" name="FSC#BFARMPEICFG@15.1700:OrgStreet">
    <vt:lpwstr/>
  </property>
  <property fmtid="{D5CDD505-2E9C-101B-9397-08002B2CF9AE}" pid="75" name="FSC#BFARMPEICFG@15.1700:OrgZIP">
    <vt:lpwstr/>
  </property>
  <property fmtid="{D5CDD505-2E9C-101B-9397-08002B2CF9AE}" pid="76" name="FSC#BFARMPEICFG@15.1700:OrgCity">
    <vt:lpwstr/>
  </property>
  <property fmtid="{D5CDD505-2E9C-101B-9397-08002B2CF9AE}" pid="77" name="FSC#BFARMPEICFG@15.1700:OrgStreetDeliver">
    <vt:lpwstr/>
  </property>
  <property fmtid="{D5CDD505-2E9C-101B-9397-08002B2CF9AE}" pid="78" name="FSC#BFARMPEICFG@15.1700:OrgPostboxDeliver">
    <vt:lpwstr/>
  </property>
  <property fmtid="{D5CDD505-2E9C-101B-9397-08002B2CF9AE}" pid="79" name="FSC#BFARMPEICFG@15.1700:OrgZIPDeliver">
    <vt:lpwstr/>
  </property>
  <property fmtid="{D5CDD505-2E9C-101B-9397-08002B2CF9AE}" pid="80" name="FSC#BFARMPEICFG@15.1700:OrgCityDeliver">
    <vt:lpwstr/>
  </property>
  <property fmtid="{D5CDD505-2E9C-101B-9397-08002B2CF9AE}" pid="81" name="FSC#BFARMPEICFG@15.1700:OrgPhone">
    <vt:lpwstr/>
  </property>
  <property fmtid="{D5CDD505-2E9C-101B-9397-08002B2CF9AE}" pid="82" name="FSC#BFARMPEICFG@15.1700:OrgFax">
    <vt:lpwstr/>
  </property>
  <property fmtid="{D5CDD505-2E9C-101B-9397-08002B2CF9AE}" pid="83" name="FSC#BFARMPEICFG@15.1700:OrgWWW">
    <vt:lpwstr/>
  </property>
  <property fmtid="{D5CDD505-2E9C-101B-9397-08002B2CF9AE}" pid="84" name="FSC#BFARMPEICFG@15.1700:OwnerSurname">
    <vt:lpwstr>Burgard</vt:lpwstr>
  </property>
  <property fmtid="{D5CDD505-2E9C-101B-9397-08002B2CF9AE}" pid="85" name="FSC#BFARMPEICFG@15.1700:OwnerMail">
    <vt:lpwstr/>
  </property>
  <property fmtid="{D5CDD505-2E9C-101B-9397-08002B2CF9AE}" pid="86" name="FSC#BFARMPEICFG@15.1700:OwnerPhone">
    <vt:lpwstr/>
  </property>
  <property fmtid="{D5CDD505-2E9C-101B-9397-08002B2CF9AE}" pid="87" name="FSC#BFARMPEICFG@15.1700:OwnerFax">
    <vt:lpwstr/>
  </property>
  <property fmtid="{D5CDD505-2E9C-101B-9397-08002B2CF9AE}" pid="88" name="FSC#BFARMPEICFG@15.1700:HandoutList">
    <vt:lpwstr/>
  </property>
  <property fmtid="{D5CDD505-2E9C-101B-9397-08002B2CF9AE}" pid="89" name="FSC#BFARMPEICFG@15.1700:ProcedureParticipants">
    <vt:lpwstr/>
  </property>
  <property fmtid="{D5CDD505-2E9C-101B-9397-08002B2CF9AE}" pid="90" name="FSC#BFARMPEICFG@15.1700:OutgoingReporters">
    <vt:lpwstr/>
  </property>
  <property fmtid="{D5CDD505-2E9C-101B-9397-08002B2CF9AE}" pid="91" name="FSC#BFARMPEICFG@15.1700:ProcResponsibleName">
    <vt:lpwstr>Dr. Ralf Halfmann</vt:lpwstr>
  </property>
  <property fmtid="{D5CDD505-2E9C-101B-9397-08002B2CF9AE}" pid="92" name="FSC#BFARMPEICFG@15.1700:ProcResponsiblePhone">
    <vt:lpwstr/>
  </property>
  <property fmtid="{D5CDD505-2E9C-101B-9397-08002B2CF9AE}" pid="93" name="FSC#BFARMPEICFG@15.1700:ProcResponsibleFax">
    <vt:lpwstr/>
  </property>
  <property fmtid="{D5CDD505-2E9C-101B-9397-08002B2CF9AE}" pid="94" name="FSC#BFARMPEICFG@15.1700:ProcResponsibleMail">
    <vt:lpwstr>Ralf.Halfmann@bfarm.de</vt:lpwstr>
  </property>
  <property fmtid="{D5CDD505-2E9C-101B-9397-08002B2CF9AE}" pid="95" name="FSC#BFARMPEICFG@15.1700:ProcResponsibleGroup">
    <vt:lpwstr>Z</vt:lpwstr>
  </property>
  <property fmtid="{D5CDD505-2E9C-101B-9397-08002B2CF9AE}" pid="96" name="FSC#BFARMPEICFG@15.1700:IncomingDate">
    <vt:lpwstr>10.04.2018</vt:lpwstr>
  </property>
  <property fmtid="{D5CDD505-2E9C-101B-9397-08002B2CF9AE}" pid="97" name="FSC#BFARMPEICFG@15.1700:1stAddrOrgname">
    <vt:lpwstr/>
  </property>
  <property fmtid="{D5CDD505-2E9C-101B-9397-08002B2CF9AE}" pid="98" name="FSC#BFARMPEICFG@15.1700:1stAddrOrgnameShort">
    <vt:lpwstr/>
  </property>
  <property fmtid="{D5CDD505-2E9C-101B-9397-08002B2CF9AE}" pid="99" name="FSC#BFARMPEICFG@15.1700:1stAddrOrgnameAlt">
    <vt:lpwstr/>
  </property>
  <property fmtid="{D5CDD505-2E9C-101B-9397-08002B2CF9AE}" pid="100" name="FSC#BFARMPEICFG@15.1700:1stAddrSalutation">
    <vt:lpwstr/>
  </property>
  <property fmtid="{D5CDD505-2E9C-101B-9397-08002B2CF9AE}" pid="101" name="FSC#BFARMPEICFG@15.1700:1stAddrTitle">
    <vt:lpwstr/>
  </property>
  <property fmtid="{D5CDD505-2E9C-101B-9397-08002B2CF9AE}" pid="102" name="FSC#BFARMPEICFG@15.1700:1stAddrFirstname">
    <vt:lpwstr/>
  </property>
  <property fmtid="{D5CDD505-2E9C-101B-9397-08002B2CF9AE}" pid="103" name="FSC#BFARMPEICFG@15.1700:1stAddrMiddlename">
    <vt:lpwstr/>
  </property>
  <property fmtid="{D5CDD505-2E9C-101B-9397-08002B2CF9AE}" pid="104" name="FSC#BFARMPEICFG@15.1700:1stAddrName">
    <vt:lpwstr/>
  </property>
  <property fmtid="{D5CDD505-2E9C-101B-9397-08002B2CF9AE}" pid="105" name="FSC#BFARMPEICFG@15.1700:1stAddrDivision">
    <vt:lpwstr/>
  </property>
  <property fmtid="{D5CDD505-2E9C-101B-9397-08002B2CF9AE}" pid="106" name="FSC#BFARMPEICFG@15.1700:1stAddrStreet">
    <vt:lpwstr/>
  </property>
  <property fmtid="{D5CDD505-2E9C-101B-9397-08002B2CF9AE}" pid="107" name="FSC#BFARMPEICFG@15.1700:1stAddrZIPCode">
    <vt:lpwstr/>
  </property>
  <property fmtid="{D5CDD505-2E9C-101B-9397-08002B2CF9AE}" pid="108" name="FSC#BFARMPEICFG@15.1700:1stAddrCity">
    <vt:lpwstr/>
  </property>
  <property fmtid="{D5CDD505-2E9C-101B-9397-08002B2CF9AE}" pid="109" name="FSC#BFARMPEICFG@15.1700:1stAddrState">
    <vt:lpwstr/>
  </property>
  <property fmtid="{D5CDD505-2E9C-101B-9397-08002B2CF9AE}" pid="110" name="FSC#BFARMPEICFG@15.1700:1stAddrCountry">
    <vt:lpwstr/>
  </property>
  <property fmtid="{D5CDD505-2E9C-101B-9397-08002B2CF9AE}" pid="111" name="FSC#BFARMPEICFG@15.1700:1stAddrEmail">
    <vt:lpwstr/>
  </property>
  <property fmtid="{D5CDD505-2E9C-101B-9397-08002B2CF9AE}" pid="112" name="FSC#BFARMPEICFG@15.1700:1stAddrAddition">
    <vt:lpwstr/>
  </property>
  <property fmtid="{D5CDD505-2E9C-101B-9397-08002B2CF9AE}" pid="113" name="FSC#BFARMPEICFG@15.1700:1stAddrNote">
    <vt:lpwstr/>
  </property>
  <property fmtid="{D5CDD505-2E9C-101B-9397-08002B2CF9AE}" pid="114" name="FSC#BFARMPEICFG@15.1700:ForeignNrFirstIncoming">
    <vt:lpwstr>122-40018/001 BMG vom 10.04.18</vt:lpwstr>
  </property>
  <property fmtid="{D5CDD505-2E9C-101B-9397-08002B2CF9AE}" pid="115" name="FSC#BFARMPEICFG@15.1700:AddrOrgName">
    <vt:lpwstr/>
  </property>
  <property fmtid="{D5CDD505-2E9C-101B-9397-08002B2CF9AE}" pid="116" name="FSC#BFARMPEICFG@15.1700:AddrSuffix1">
    <vt:lpwstr/>
  </property>
  <property fmtid="{D5CDD505-2E9C-101B-9397-08002B2CF9AE}" pid="117" name="FSC#BFARMPEICFG@15.1700:AddrSuffix2">
    <vt:lpwstr/>
  </property>
  <property fmtid="{D5CDD505-2E9C-101B-9397-08002B2CF9AE}" pid="118" name="FSC#BFARMPEICFG@15.1700:AddrOrgShortName">
    <vt:lpwstr/>
  </property>
  <property fmtid="{D5CDD505-2E9C-101B-9397-08002B2CF9AE}" pid="119" name="FSC#BFARMPEICFG@15.1700:AddrAlternativeDesc">
    <vt:lpwstr/>
  </property>
  <property fmtid="{D5CDD505-2E9C-101B-9397-08002B2CF9AE}" pid="120" name="FSC#BFARMPEICFG@15.1700:AddrSalutation">
    <vt:lpwstr/>
  </property>
  <property fmtid="{D5CDD505-2E9C-101B-9397-08002B2CF9AE}" pid="121" name="FSC#BFARMPEICFG@15.1700:AddrTitle">
    <vt:lpwstr/>
  </property>
  <property fmtid="{D5CDD505-2E9C-101B-9397-08002B2CF9AE}" pid="122" name="FSC#BFARMPEICFG@15.1700:AddrFirstname">
    <vt:lpwstr/>
  </property>
  <property fmtid="{D5CDD505-2E9C-101B-9397-08002B2CF9AE}" pid="123" name="FSC#BFARMPEICFG@15.1700:AddrMiddleName">
    <vt:lpwstr/>
  </property>
  <property fmtid="{D5CDD505-2E9C-101B-9397-08002B2CF9AE}" pid="124" name="FSC#BFARMPEICFG@15.1700:AddrName">
    <vt:lpwstr/>
  </property>
  <property fmtid="{D5CDD505-2E9C-101B-9397-08002B2CF9AE}" pid="125" name="FSC#BFARMPEICFG@15.1700:AddrBusinessUnit">
    <vt:lpwstr/>
  </property>
  <property fmtid="{D5CDD505-2E9C-101B-9397-08002B2CF9AE}" pid="126" name="FSC#BFARMPEICFG@15.1700:AddrStreet">
    <vt:lpwstr/>
  </property>
  <property fmtid="{D5CDD505-2E9C-101B-9397-08002B2CF9AE}" pid="127" name="FSC#BFARMPEICFG@15.1700:AddrZipCode">
    <vt:lpwstr/>
  </property>
  <property fmtid="{D5CDD505-2E9C-101B-9397-08002B2CF9AE}" pid="128" name="FSC#BFARMPEICFG@15.1700:AddrCity">
    <vt:lpwstr/>
  </property>
  <property fmtid="{D5CDD505-2E9C-101B-9397-08002B2CF9AE}" pid="129" name="FSC#BFARMPEICFG@15.1700:AddrState">
    <vt:lpwstr/>
  </property>
  <property fmtid="{D5CDD505-2E9C-101B-9397-08002B2CF9AE}" pid="130" name="FSC#BFARMPEICFG@15.1700:AddrCountry">
    <vt:lpwstr/>
  </property>
  <property fmtid="{D5CDD505-2E9C-101B-9397-08002B2CF9AE}" pid="131" name="FSC#BFARMPEICFG@15.1700:AddrEMail">
    <vt:lpwstr/>
  </property>
  <property fmtid="{D5CDD505-2E9C-101B-9397-08002B2CF9AE}" pid="132" name="FSC#BFARMPEICFG@15.1700:AddrAddition">
    <vt:lpwstr/>
  </property>
  <property fmtid="{D5CDD505-2E9C-101B-9397-08002B2CF9AE}" pid="133" name="FSC#BFARMPEICFG@15.1700:AddrNote">
    <vt:lpwstr/>
  </property>
  <property fmtid="{D5CDD505-2E9C-101B-9397-08002B2CF9AE}" pid="134" name="FSC#BFARMPEICFG@15.1700:AddrCat">
    <vt:lpwstr/>
  </property>
  <property fmtid="{D5CDD505-2E9C-101B-9397-08002B2CF9AE}" pid="135" name="FSC#BFARMPEICFG@15.1700:AddrTransMedia">
    <vt:lpwstr/>
  </property>
  <property fmtid="{D5CDD505-2E9C-101B-9397-08002B2CF9AE}" pid="136" name="FSC#BFARMPEICFG@15.1700:AddrUserAbbreviation">
    <vt:lpwstr/>
  </property>
  <property fmtid="{D5CDD505-2E9C-101B-9397-08002B2CF9AE}" pid="137" name="FSC#BFARMPEICFG@15.1700:AddrGender">
    <vt:lpwstr/>
  </property>
  <property fmtid="{D5CDD505-2E9C-101B-9397-08002B2CF9AE}" pid="138" name="FSC#BFARMPEICFG@15.1700:AddrBirthDate">
    <vt:lpwstr/>
  </property>
  <property fmtid="{D5CDD505-2E9C-101B-9397-08002B2CF9AE}" pid="139" name="FSC#BFARMPEICFG@15.1700:AddrDispClass">
    <vt:lpwstr/>
  </property>
  <property fmtid="{D5CDD505-2E9C-101B-9397-08002B2CF9AE}" pid="140" name="FSC#BFARMPEICFG@15.1700:AddrCopyText">
    <vt:lpwstr/>
  </property>
  <property fmtid="{D5CDD505-2E9C-101B-9397-08002B2CF9AE}" pid="141" name="FSC#COOELAK@1.1001:Subject">
    <vt:lpwstr>Erlasse 2018</vt:lpwstr>
  </property>
  <property fmtid="{D5CDD505-2E9C-101B-9397-08002B2CF9AE}" pid="142" name="FSC#COOELAK@1.1001:FileReference">
    <vt:lpwstr>1111-(Büro des Präsidenten) Erlasse 2018</vt:lpwstr>
  </property>
  <property fmtid="{D5CDD505-2E9C-101B-9397-08002B2CF9AE}" pid="143" name="FSC#COOELAK@1.1001:FileRefYear">
    <vt:lpwstr>2018</vt:lpwstr>
  </property>
  <property fmtid="{D5CDD505-2E9C-101B-9397-08002B2CF9AE}" pid="144" name="FSC#COOELAK@1.1001:FileRefOrdinal">
    <vt:lpwstr>50</vt:lpwstr>
  </property>
  <property fmtid="{D5CDD505-2E9C-101B-9397-08002B2CF9AE}" pid="145" name="FSC#COOELAK@1.1001:FileRefOU">
    <vt:lpwstr>Z11</vt:lpwstr>
  </property>
  <property fmtid="{D5CDD505-2E9C-101B-9397-08002B2CF9AE}" pid="146" name="FSC#COOELAK@1.1001:Organization">
    <vt:lpwstr/>
  </property>
  <property fmtid="{D5CDD505-2E9C-101B-9397-08002B2CF9AE}" pid="147" name="FSC#COOELAK@1.1001:Owner">
    <vt:lpwstr>Burgard, Margareta</vt:lpwstr>
  </property>
  <property fmtid="{D5CDD505-2E9C-101B-9397-08002B2CF9AE}" pid="148" name="FSC#COOELAK@1.1001:OwnerExtension">
    <vt:lpwstr/>
  </property>
  <property fmtid="{D5CDD505-2E9C-101B-9397-08002B2CF9AE}" pid="149" name="FSC#COOELAK@1.1001:OwnerFaxExtension">
    <vt:lpwstr/>
  </property>
  <property fmtid="{D5CDD505-2E9C-101B-9397-08002B2CF9AE}" pid="150" name="FSC#COOELAK@1.1001:DispatchedBy">
    <vt:lpwstr/>
  </property>
  <property fmtid="{D5CDD505-2E9C-101B-9397-08002B2CF9AE}" pid="151" name="FSC#COOELAK@1.1001:DispatchedAt">
    <vt:lpwstr/>
  </property>
  <property fmtid="{D5CDD505-2E9C-101B-9397-08002B2CF9AE}" pid="152" name="FSC#COOELAK@1.1001:ApprovedBy">
    <vt:lpwstr/>
  </property>
  <property fmtid="{D5CDD505-2E9C-101B-9397-08002B2CF9AE}" pid="153" name="FSC#COOELAK@1.1001:ApprovedAt">
    <vt:lpwstr/>
  </property>
  <property fmtid="{D5CDD505-2E9C-101B-9397-08002B2CF9AE}" pid="154" name="FSC#COOELAK@1.1001:Department">
    <vt:lpwstr>Z16 (Justitiariat / Gebühren)</vt:lpwstr>
  </property>
  <property fmtid="{D5CDD505-2E9C-101B-9397-08002B2CF9AE}" pid="155" name="FSC#COOELAK@1.1001:CreatedAt">
    <vt:lpwstr>19.11.2018</vt:lpwstr>
  </property>
  <property fmtid="{D5CDD505-2E9C-101B-9397-08002B2CF9AE}" pid="156" name="FSC#COOELAK@1.1001:OU">
    <vt:lpwstr>Z16 (Justitiariat / Gebühren)</vt:lpwstr>
  </property>
  <property fmtid="{D5CDD505-2E9C-101B-9397-08002B2CF9AE}" pid="157" name="FSC#COOELAK@1.1001:Priority">
    <vt:lpwstr> ()</vt:lpwstr>
  </property>
  <property fmtid="{D5CDD505-2E9C-101B-9397-08002B2CF9AE}" pid="158" name="FSC#COOELAK@1.1001:ObjBarCode">
    <vt:lpwstr>*COO.2221.100.6.301735*</vt:lpwstr>
  </property>
  <property fmtid="{D5CDD505-2E9C-101B-9397-08002B2CF9AE}" pid="159" name="FSC#COOELAK@1.1001:RefBarCode">
    <vt:lpwstr>*COO.2221.100.2.1317407*</vt:lpwstr>
  </property>
  <property fmtid="{D5CDD505-2E9C-101B-9397-08002B2CF9AE}" pid="160" name="FSC#COOELAK@1.1001:FileRefBarCode">
    <vt:lpwstr>*1111-(Büro des Präsidenten) Erlasse 2018*</vt:lpwstr>
  </property>
  <property fmtid="{D5CDD505-2E9C-101B-9397-08002B2CF9AE}" pid="161" name="FSC#COOELAK@1.1001:ExternalRef">
    <vt:lpwstr/>
  </property>
  <property fmtid="{D5CDD505-2E9C-101B-9397-08002B2CF9AE}" pid="162" name="FSC#COOELAK@1.1001:IncomingNumber">
    <vt:lpwstr/>
  </property>
  <property fmtid="{D5CDD505-2E9C-101B-9397-08002B2CF9AE}" pid="163" name="FSC#COOELAK@1.1001:IncomingSubject">
    <vt:lpwstr/>
  </property>
  <property fmtid="{D5CDD505-2E9C-101B-9397-08002B2CF9AE}" pid="164" name="FSC#COOELAK@1.1001:ProcessResponsible">
    <vt:lpwstr/>
  </property>
  <property fmtid="{D5CDD505-2E9C-101B-9397-08002B2CF9AE}" pid="165" name="FSC#COOELAK@1.1001:ProcessResponsiblePhone">
    <vt:lpwstr/>
  </property>
  <property fmtid="{D5CDD505-2E9C-101B-9397-08002B2CF9AE}" pid="166" name="FSC#COOELAK@1.1001:ProcessResponsibleMail">
    <vt:lpwstr/>
  </property>
  <property fmtid="{D5CDD505-2E9C-101B-9397-08002B2CF9AE}" pid="167" name="FSC#COOELAK@1.1001:ProcessResponsibleFax">
    <vt:lpwstr/>
  </property>
  <property fmtid="{D5CDD505-2E9C-101B-9397-08002B2CF9AE}" pid="168" name="FSC#COOELAK@1.1001:ApproverFirstName">
    <vt:lpwstr/>
  </property>
  <property fmtid="{D5CDD505-2E9C-101B-9397-08002B2CF9AE}" pid="169" name="FSC#COOELAK@1.1001:ApproverSurName">
    <vt:lpwstr/>
  </property>
  <property fmtid="{D5CDD505-2E9C-101B-9397-08002B2CF9AE}" pid="170" name="FSC#COOELAK@1.1001:ApproverTitle">
    <vt:lpwstr/>
  </property>
  <property fmtid="{D5CDD505-2E9C-101B-9397-08002B2CF9AE}" pid="171" name="FSC#COOELAK@1.1001:ExternalDate">
    <vt:lpwstr/>
  </property>
  <property fmtid="{D5CDD505-2E9C-101B-9397-08002B2CF9AE}" pid="172" name="FSC#COOELAK@1.1001:SettlementApprovedAt">
    <vt:lpwstr/>
  </property>
  <property fmtid="{D5CDD505-2E9C-101B-9397-08002B2CF9AE}" pid="173" name="FSC#COOELAK@1.1001:BaseNumber">
    <vt:lpwstr>1111</vt:lpwstr>
  </property>
  <property fmtid="{D5CDD505-2E9C-101B-9397-08002B2CF9AE}" pid="174" name="FSC#COOELAK@1.1001:CurrentUserRolePos">
    <vt:lpwstr>Bearbeiter/in</vt:lpwstr>
  </property>
  <property fmtid="{D5CDD505-2E9C-101B-9397-08002B2CF9AE}" pid="175" name="FSC#COOELAK@1.1001:CurrentUserEmail">
    <vt:lpwstr>Leitung@bfarm.de</vt:lpwstr>
  </property>
  <property fmtid="{D5CDD505-2E9C-101B-9397-08002B2CF9AE}" pid="176" name="FSC#ELAKGOV@1.1001:PersonalSubjGender">
    <vt:lpwstr/>
  </property>
  <property fmtid="{D5CDD505-2E9C-101B-9397-08002B2CF9AE}" pid="177" name="FSC#ELAKGOV@1.1001:PersonalSubjFirstName">
    <vt:lpwstr/>
  </property>
  <property fmtid="{D5CDD505-2E9C-101B-9397-08002B2CF9AE}" pid="178" name="FSC#ELAKGOV@1.1001:PersonalSubjSurName">
    <vt:lpwstr/>
  </property>
  <property fmtid="{D5CDD505-2E9C-101B-9397-08002B2CF9AE}" pid="179" name="FSC#ELAKGOV@1.1001:PersonalSubjSalutation">
    <vt:lpwstr/>
  </property>
  <property fmtid="{D5CDD505-2E9C-101B-9397-08002B2CF9AE}" pid="180" name="FSC#ELAKGOV@1.1001:PersonalSubjAddress">
    <vt:lpwstr/>
  </property>
  <property fmtid="{D5CDD505-2E9C-101B-9397-08002B2CF9AE}" pid="181" name="FSC#ATSTATECFG@1.1001:Office">
    <vt:lpwstr>Justitiariat / Gebühren</vt:lpwstr>
  </property>
  <property fmtid="{D5CDD505-2E9C-101B-9397-08002B2CF9AE}" pid="182" name="FSC#ATSTATECFG@1.1001:Agent">
    <vt:lpwstr/>
  </property>
  <property fmtid="{D5CDD505-2E9C-101B-9397-08002B2CF9AE}" pid="183" name="FSC#ATSTATECFG@1.1001:AgentPhone">
    <vt:lpwstr/>
  </property>
  <property fmtid="{D5CDD505-2E9C-101B-9397-08002B2CF9AE}" pid="184" name="FSC#ATSTATECFG@1.1001:DepartmentFax">
    <vt:lpwstr/>
  </property>
  <property fmtid="{D5CDD505-2E9C-101B-9397-08002B2CF9AE}" pid="185" name="FSC#ATSTATECFG@1.1001:DepartmentEmail">
    <vt:lpwstr/>
  </property>
  <property fmtid="{D5CDD505-2E9C-101B-9397-08002B2CF9AE}" pid="186" name="FSC#ATSTATECFG@1.1001:SubfileDate">
    <vt:lpwstr>19.11.2018</vt:lpwstr>
  </property>
  <property fmtid="{D5CDD505-2E9C-101B-9397-08002B2CF9AE}" pid="187" name="FSC#ATSTATECFG@1.1001:SubfileSubject">
    <vt:lpwstr>Anpassung BtMKostV_x000d_
2018_11_08_Verordnungsentwurf_122_BfArM_Fragen_BMG_Antworten_BfArM</vt:lpwstr>
  </property>
  <property fmtid="{D5CDD505-2E9C-101B-9397-08002B2CF9AE}" pid="188" name="FSC#ATSTATECFG@1.1001:DepartmentZipCode">
    <vt:lpwstr/>
  </property>
  <property fmtid="{D5CDD505-2E9C-101B-9397-08002B2CF9AE}" pid="189" name="FSC#ATSTATECFG@1.1001:DepartmentCountry">
    <vt:lpwstr/>
  </property>
  <property fmtid="{D5CDD505-2E9C-101B-9397-08002B2CF9AE}" pid="190" name="FSC#ATSTATECFG@1.1001:DepartmentCity">
    <vt:lpwstr/>
  </property>
  <property fmtid="{D5CDD505-2E9C-101B-9397-08002B2CF9AE}" pid="191" name="FSC#ATSTATECFG@1.1001:DepartmentStreet">
    <vt:lpwstr/>
  </property>
  <property fmtid="{D5CDD505-2E9C-101B-9397-08002B2CF9AE}" pid="192" name="FSC#ATSTATECFG@1.1001:DepartmentDVR">
    <vt:lpwstr/>
  </property>
  <property fmtid="{D5CDD505-2E9C-101B-9397-08002B2CF9AE}" pid="193" name="FSC#ATSTATECFG@1.1001:DepartmentUID">
    <vt:lpwstr/>
  </property>
  <property fmtid="{D5CDD505-2E9C-101B-9397-08002B2CF9AE}" pid="194" name="FSC#ATSTATECFG@1.1001:SubfileReference">
    <vt:lpwstr>1111-(Büro des Präsidenten) Erlasse 2018#0176-Anpassung BtMKostV#0010</vt:lpwstr>
  </property>
  <property fmtid="{D5CDD505-2E9C-101B-9397-08002B2CF9AE}" pid="195" name="FSC#ATSTATECFG@1.1001:Clause">
    <vt:lpwstr/>
  </property>
  <property fmtid="{D5CDD505-2E9C-101B-9397-08002B2CF9AE}" pid="196" name="FSC#ATSTATECFG@1.1001:ApprovedSignature">
    <vt:lpwstr/>
  </property>
  <property fmtid="{D5CDD505-2E9C-101B-9397-08002B2CF9AE}" pid="197" name="FSC#ATSTATECFG@1.1001:BankAccount">
    <vt:lpwstr/>
  </property>
  <property fmtid="{D5CDD505-2E9C-101B-9397-08002B2CF9AE}" pid="198" name="FSC#ATSTATECFG@1.1001:BankAccountOwner">
    <vt:lpwstr/>
  </property>
  <property fmtid="{D5CDD505-2E9C-101B-9397-08002B2CF9AE}" pid="199" name="FSC#ATSTATECFG@1.1001:BankInstitute">
    <vt:lpwstr/>
  </property>
  <property fmtid="{D5CDD505-2E9C-101B-9397-08002B2CF9AE}" pid="200" name="FSC#ATSTATECFG@1.1001:BankAccountID">
    <vt:lpwstr/>
  </property>
  <property fmtid="{D5CDD505-2E9C-101B-9397-08002B2CF9AE}" pid="201" name="FSC#ATSTATECFG@1.1001:BankAccountIBAN">
    <vt:lpwstr/>
  </property>
  <property fmtid="{D5CDD505-2E9C-101B-9397-08002B2CF9AE}" pid="202" name="FSC#ATSTATECFG@1.1001:BankAccountBIC">
    <vt:lpwstr/>
  </property>
  <property fmtid="{D5CDD505-2E9C-101B-9397-08002B2CF9AE}" pid="203" name="FSC#ATSTATECFG@1.1001:BankName">
    <vt:lpwstr/>
  </property>
  <property fmtid="{D5CDD505-2E9C-101B-9397-08002B2CF9AE}" pid="204" name="FSC#CCAPRECONFIG@15.1001:AddrAnrede">
    <vt:lpwstr/>
  </property>
  <property fmtid="{D5CDD505-2E9C-101B-9397-08002B2CF9AE}" pid="205" name="FSC#CCAPRECONFIG@15.1001:AddrTitel">
    <vt:lpwstr/>
  </property>
  <property fmtid="{D5CDD505-2E9C-101B-9397-08002B2CF9AE}" pid="206" name="FSC#CCAPRECONFIG@15.1001:AddrNachgestellter_Titel">
    <vt:lpwstr/>
  </property>
  <property fmtid="{D5CDD505-2E9C-101B-9397-08002B2CF9AE}" pid="207" name="FSC#CCAPRECONFIG@15.1001:AddrVorname">
    <vt:lpwstr/>
  </property>
  <property fmtid="{D5CDD505-2E9C-101B-9397-08002B2CF9AE}" pid="208" name="FSC#CCAPRECONFIG@15.1001:AddrNachname">
    <vt:lpwstr/>
  </property>
  <property fmtid="{D5CDD505-2E9C-101B-9397-08002B2CF9AE}" pid="209" name="FSC#CCAPRECONFIG@15.1001:AddrzH">
    <vt:lpwstr/>
  </property>
  <property fmtid="{D5CDD505-2E9C-101B-9397-08002B2CF9AE}" pid="210" name="FSC#CCAPRECONFIG@15.1001:AddrGeschlecht">
    <vt:lpwstr/>
  </property>
  <property fmtid="{D5CDD505-2E9C-101B-9397-08002B2CF9AE}" pid="211" name="FSC#CCAPRECONFIG@15.1001:AddrStrasse">
    <vt:lpwstr/>
  </property>
  <property fmtid="{D5CDD505-2E9C-101B-9397-08002B2CF9AE}" pid="212" name="FSC#CCAPRECONFIG@15.1001:AddrHausnummer">
    <vt:lpwstr/>
  </property>
  <property fmtid="{D5CDD505-2E9C-101B-9397-08002B2CF9AE}" pid="213" name="FSC#CCAPRECONFIG@15.1001:AddrStiege">
    <vt:lpwstr/>
  </property>
  <property fmtid="{D5CDD505-2E9C-101B-9397-08002B2CF9AE}" pid="214" name="FSC#CCAPRECONFIG@15.1001:AddrStock">
    <vt:lpwstr/>
  </property>
  <property fmtid="{D5CDD505-2E9C-101B-9397-08002B2CF9AE}" pid="215" name="FSC#CCAPRECONFIG@15.1001:AddrTuer">
    <vt:lpwstr/>
  </property>
  <property fmtid="{D5CDD505-2E9C-101B-9397-08002B2CF9AE}" pid="216" name="FSC#CCAPRECONFIG@15.1001:AddrPostfach">
    <vt:lpwstr/>
  </property>
  <property fmtid="{D5CDD505-2E9C-101B-9397-08002B2CF9AE}" pid="217" name="FSC#CCAPRECONFIG@15.1001:AddrPostleitzahl">
    <vt:lpwstr/>
  </property>
  <property fmtid="{D5CDD505-2E9C-101B-9397-08002B2CF9AE}" pid="218" name="FSC#CCAPRECONFIG@15.1001:AddrOrt">
    <vt:lpwstr/>
  </property>
  <property fmtid="{D5CDD505-2E9C-101B-9397-08002B2CF9AE}" pid="219" name="FSC#CCAPRECONFIG@15.1001:AddrLand">
    <vt:lpwstr/>
  </property>
  <property fmtid="{D5CDD505-2E9C-101B-9397-08002B2CF9AE}" pid="220" name="FSC#CCAPRECONFIG@15.1001:AddrEmail">
    <vt:lpwstr/>
  </property>
  <property fmtid="{D5CDD505-2E9C-101B-9397-08002B2CF9AE}" pid="221" name="FSC#CCAPRECONFIG@15.1001:AddrAdresse">
    <vt:lpwstr/>
  </property>
  <property fmtid="{D5CDD505-2E9C-101B-9397-08002B2CF9AE}" pid="222" name="FSC#CCAPRECONFIG@15.1001:AddrFax">
    <vt:lpwstr/>
  </property>
  <property fmtid="{D5CDD505-2E9C-101B-9397-08002B2CF9AE}" pid="223" name="FSC#CCAPRECONFIG@15.1001:AddrOrganisationsname">
    <vt:lpwstr/>
  </property>
  <property fmtid="{D5CDD505-2E9C-101B-9397-08002B2CF9AE}" pid="224" name="FSC#CCAPRECONFIG@15.1001:AddrOrganisationskurzname">
    <vt:lpwstr/>
  </property>
  <property fmtid="{D5CDD505-2E9C-101B-9397-08002B2CF9AE}" pid="225" name="FSC#CCAPRECONFIG@15.1001:AddrAbschriftsbemerkung">
    <vt:lpwstr/>
  </property>
  <property fmtid="{D5CDD505-2E9C-101B-9397-08002B2CF9AE}" pid="226" name="FSC#CCAPRECONFIG@15.1001:AddrName_Zeile_2">
    <vt:lpwstr/>
  </property>
  <property fmtid="{D5CDD505-2E9C-101B-9397-08002B2CF9AE}" pid="227" name="FSC#CCAPRECONFIG@15.1001:AddrName_Zeile_3">
    <vt:lpwstr/>
  </property>
  <property fmtid="{D5CDD505-2E9C-101B-9397-08002B2CF9AE}" pid="228" name="FSC#CCAPRECONFIG@15.1001:AddrPostalischeAdresse">
    <vt:lpwstr/>
  </property>
  <property fmtid="{D5CDD505-2E9C-101B-9397-08002B2CF9AE}" pid="229" name="FSC#CCAPRECONFIG@15.1001:AddrKategorie">
    <vt:lpwstr/>
  </property>
  <property fmtid="{D5CDD505-2E9C-101B-9397-08002B2CF9AE}" pid="230" name="FSC#CCAPRECONFIG@15.1001:AddrRechtsform">
    <vt:lpwstr/>
  </property>
  <property fmtid="{D5CDD505-2E9C-101B-9397-08002B2CF9AE}" pid="231" name="FSC#CCAPRECONFIG@15.1001:AddrZiel">
    <vt:lpwstr/>
  </property>
  <property fmtid="{D5CDD505-2E9C-101B-9397-08002B2CF9AE}" pid="232" name="FSC#CCAPRECONFIG@15.1001:AddrBerufstitel">
    <vt:lpwstr/>
  </property>
  <property fmtid="{D5CDD505-2E9C-101B-9397-08002B2CF9AE}" pid="233" name="FSC#CCAPRECONFIG@15.1001:AddrFunktionsbezeichnung">
    <vt:lpwstr/>
  </property>
  <property fmtid="{D5CDD505-2E9C-101B-9397-08002B2CF9AE}" pid="234" name="FSC#CCAPRECONFIG@15.1001:AddrTelefonnummer">
    <vt:lpwstr/>
  </property>
  <property fmtid="{D5CDD505-2E9C-101B-9397-08002B2CF9AE}" pid="235" name="FSC#CCAPRECONFIG@15.1001:AddrGeburtstag">
    <vt:lpwstr/>
  </property>
  <property fmtid="{D5CDD505-2E9C-101B-9397-08002B2CF9AE}" pid="236" name="FSC#CCAPRECONFIG@15.1001:AddrFirmenbuchnummer">
    <vt:lpwstr/>
  </property>
  <property fmtid="{D5CDD505-2E9C-101B-9397-08002B2CF9AE}" pid="237" name="FSC#CCAPRECONFIG@15.1001:AddrSozialversicherungsnummer">
    <vt:lpwstr/>
  </property>
  <property fmtid="{D5CDD505-2E9C-101B-9397-08002B2CF9AE}" pid="238" name="FSC#CCAPRECONFIG@15.1001:Additional1">
    <vt:lpwstr/>
  </property>
  <property fmtid="{D5CDD505-2E9C-101B-9397-08002B2CF9AE}" pid="239" name="FSC#CCAPRECONFIG@15.1001:Additional2">
    <vt:lpwstr/>
  </property>
  <property fmtid="{D5CDD505-2E9C-101B-9397-08002B2CF9AE}" pid="240" name="FSC#CCAPRECONFIG@15.1001:Additional3">
    <vt:lpwstr/>
  </property>
  <property fmtid="{D5CDD505-2E9C-101B-9397-08002B2CF9AE}" pid="241" name="FSC#CCAPRECONFIG@15.1001:Additional4">
    <vt:lpwstr/>
  </property>
  <property fmtid="{D5CDD505-2E9C-101B-9397-08002B2CF9AE}" pid="242" name="FSC#CCAPRECONFIG@15.1001:Additional5">
    <vt:lpwstr/>
  </property>
  <property fmtid="{D5CDD505-2E9C-101B-9397-08002B2CF9AE}" pid="243" name="FSC#FSCGOVDE@1.1001:FileRefOUEmail">
    <vt:lpwstr/>
  </property>
  <property fmtid="{D5CDD505-2E9C-101B-9397-08002B2CF9AE}" pid="244" name="FSC#FSCGOVDE@1.1001:ProcedureReference">
    <vt:lpwstr>1111-(Büro des Präsidenten) Erlasse 2018#0176</vt:lpwstr>
  </property>
  <property fmtid="{D5CDD505-2E9C-101B-9397-08002B2CF9AE}" pid="245" name="FSC#FSCGOVDE@1.1001:FileSubject">
    <vt:lpwstr>Erlasse 2018</vt:lpwstr>
  </property>
  <property fmtid="{D5CDD505-2E9C-101B-9397-08002B2CF9AE}" pid="246" name="FSC#FSCGOVDE@1.1001:ProcedureSubject">
    <vt:lpwstr>Anpassung BtMKostV</vt:lpwstr>
  </property>
  <property fmtid="{D5CDD505-2E9C-101B-9397-08002B2CF9AE}" pid="247" name="FSC#FSCGOVDE@1.1001:SignFinalVersionBy">
    <vt:lpwstr>Prof. Dr. Karl Broich</vt:lpwstr>
  </property>
  <property fmtid="{D5CDD505-2E9C-101B-9397-08002B2CF9AE}" pid="248" name="FSC#FSCGOVDE@1.1001:SignFinalVersionAt">
    <vt:lpwstr>21.11.2018</vt:lpwstr>
  </property>
  <property fmtid="{D5CDD505-2E9C-101B-9397-08002B2CF9AE}" pid="249" name="FSC#FSCGOVDE@1.1001:ProcedureRefBarCode">
    <vt:lpwstr>1111-(Büro des Präsidenten) Erlasse 2018#0176</vt:lpwstr>
  </property>
  <property fmtid="{D5CDD505-2E9C-101B-9397-08002B2CF9AE}" pid="250" name="FSC#FSCGOVDE@1.1001:FileAddSubj">
    <vt:lpwstr/>
  </property>
  <property fmtid="{D5CDD505-2E9C-101B-9397-08002B2CF9AE}" pid="251" name="FSC#FSCGOVDE@1.1001:DocumentSubj">
    <vt:lpwstr>Anpassung BtMKostV_x000d_
2018_11_08_Verordnungsentwurf_122_BfArM_Fragen_BMG_Antworten_BfArM</vt:lpwstr>
  </property>
  <property fmtid="{D5CDD505-2E9C-101B-9397-08002B2CF9AE}" pid="252" name="FSC#FSCGOVDE@1.1001:FileRel">
    <vt:lpwstr/>
  </property>
  <property fmtid="{D5CDD505-2E9C-101B-9397-08002B2CF9AE}" pid="253" name="FSC#COOSYSTEM@1.1:Container">
    <vt:lpwstr>COO.2221.100.6.301735</vt:lpwstr>
  </property>
  <property fmtid="{D5CDD505-2E9C-101B-9397-08002B2CF9AE}" pid="254" name="FSC#FSCFOLIO@1.1001:docpropproject">
    <vt:lpwstr/>
  </property>
  <property fmtid="{D5CDD505-2E9C-101B-9397-08002B2CF9AE}" pid="255" name="FSC$NOPARSEFILE">
    <vt:bool>true</vt:bool>
  </property>
  <property fmtid="{D5CDD505-2E9C-101B-9397-08002B2CF9AE}" pid="256" name="DQP-Ergebnis für Version 4">
    <vt:lpwstr>1 Fehler</vt:lpwstr>
  </property>
  <property fmtid="{D5CDD505-2E9C-101B-9397-08002B2CF9AE}" pid="257" name="Version">
    <vt:lpwstr>3.13.1.2</vt:lpwstr>
  </property>
  <property fmtid="{D5CDD505-2E9C-101B-9397-08002B2CF9AE}" pid="258" name="Last edited using">
    <vt:lpwstr>LW 5.4, Build 20221124</vt:lpwstr>
  </property>
  <property fmtid="{D5CDD505-2E9C-101B-9397-08002B2CF9AE}" pid="259" name="Kategorie">
    <vt:lpwstr>AENDER/NOVVER</vt:lpwstr>
  </property>
  <property fmtid="{D5CDD505-2E9C-101B-9397-08002B2CF9AE}" pid="260" name="eNorm-Version vorherige Bearbeitung">
    <vt:lpwstr>4.6.0 Bundesregierung [20221124]</vt:lpwstr>
  </property>
  <property fmtid="{D5CDD505-2E9C-101B-9397-08002B2CF9AE}" pid="261" name="eNorm-Version letzte DQP">
    <vt:lpwstr>4.0.3.1, Bundesregierung, [20190301]</vt:lpwstr>
  </property>
  <property fmtid="{D5CDD505-2E9C-101B-9397-08002B2CF9AE}" pid="262" name="eNorm-Version letzte Bearbeitung">
    <vt:lpwstr>4.6.0 Bundesregierung [20221124]</vt:lpwstr>
  </property>
  <property fmtid="{D5CDD505-2E9C-101B-9397-08002B2CF9AE}" pid="263" name="eNorm-Version Erstellung">
    <vt:lpwstr>3.14.2.1, Bundesregierung, [20170518]</vt:lpwstr>
  </property>
  <property fmtid="{D5CDD505-2E9C-101B-9397-08002B2CF9AE}" pid="264" name="Created using">
    <vt:lpwstr>LW 5.4, Build 20170518</vt:lpwstr>
  </property>
  <property fmtid="{D5CDD505-2E9C-101B-9397-08002B2CF9AE}" pid="265" name="Classification">
    <vt:lpwstr> </vt:lpwstr>
  </property>
  <property fmtid="{D5CDD505-2E9C-101B-9397-08002B2CF9AE}" pid="266" name="Meta_Bezeichnung">
    <vt:lpwstr>Dreiundzwanzigste Verordnung zur Änderung der Anlagen des Betäubungsmittelgesetzes</vt:lpwstr>
  </property>
  <property fmtid="{D5CDD505-2E9C-101B-9397-08002B2CF9AE}" pid="267" name="Meta_Kurzbezeichnung">
    <vt:lpwstr/>
  </property>
  <property fmtid="{D5CDD505-2E9C-101B-9397-08002B2CF9AE}" pid="268" name="Meta_Abkürzung">
    <vt:lpwstr/>
  </property>
  <property fmtid="{D5CDD505-2E9C-101B-9397-08002B2CF9AE}" pid="269" name="Meta_Typ der Vorschrift">
    <vt:lpwstr>Einzelnovelle einer Verordnung</vt:lpwstr>
  </property>
  <property fmtid="{D5CDD505-2E9C-101B-9397-08002B2CF9AE}" pid="270" name="Meta_Umsetzung von EU-Recht">
    <vt:lpwstr>otifiziert gemäß der Richtlinie (EU) 2015/1535 des Europäischen Parlaments und des Rates vom 9. September 2015 über ein Informationsverfahren auf dem Gebiet der technischen Vorschriften und der Vorschriften für die Dienste der Informationsgesellschaft (AB</vt:lpwstr>
  </property>
  <property fmtid="{D5CDD505-2E9C-101B-9397-08002B2CF9AE}" pid="271" name="Meta_Umsetzung von EU-Recht_2">
    <vt:lpwstr>l. L 241 vom 17.9.2015, S. 1).</vt:lpwstr>
  </property>
  <property fmtid="{D5CDD505-2E9C-101B-9397-08002B2CF9AE}" pid="272" name="Meta_Anlagen">
    <vt:lpwstr/>
  </property>
</Properties>
</file>