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43EB" w14:textId="77777777" w:rsidR="00AA0AC6" w:rsidRDefault="00000000">
      <w:pPr>
        <w:pStyle w:val="Heading10"/>
        <w:keepNext/>
        <w:keepLines/>
      </w:pPr>
      <w:bookmarkStart w:id="0" w:name="bookmark0"/>
      <w:r>
        <w:rPr>
          <w:rStyle w:val="Heading1"/>
        </w:rPr>
        <w:t xml:space="preserve">Jogalkotási javaslatok tervezete</w:t>
      </w:r>
      <w:bookmarkEnd w:id="0"/>
    </w:p>
    <w:p w14:paraId="08A98031" w14:textId="77777777" w:rsidR="00AA0AC6" w:rsidRDefault="00000000">
      <w:pPr>
        <w:pStyle w:val="Heading20"/>
        <w:keepNext/>
        <w:keepLines/>
      </w:pPr>
      <w:bookmarkStart w:id="1" w:name="bookmark2"/>
      <w:r>
        <w:rPr>
          <w:rStyle w:val="Heading2"/>
        </w:rPr>
        <w:t xml:space="preserve">A kiegészítéseket és módosításokat dőlt betűvel kell szedni.</w:t>
      </w:r>
      <w:bookmarkEnd w:id="1"/>
    </w:p>
    <w:p w14:paraId="69A787FA" w14:textId="77777777" w:rsidR="00AA0AC6" w:rsidRDefault="00000000">
      <w:pPr>
        <w:pStyle w:val="Heading30"/>
        <w:keepNext/>
        <w:keepLines/>
        <w:spacing w:after="200" w:line="264" w:lineRule="auto"/>
      </w:pPr>
      <w:bookmarkStart w:id="2" w:name="bookmark4"/>
      <w:r>
        <w:rPr>
          <w:rStyle w:val="Heading3"/>
          <w:b/>
        </w:rPr>
        <w:t xml:space="preserve">A dohány káros hatásainak megelőzéséről szóló, 1973. március 9-i 14. sz. törvény módosítástervezete</w:t>
      </w:r>
      <w:bookmarkEnd w:id="2"/>
    </w:p>
    <w:p w14:paraId="5B187A27" w14:textId="7E3EBB20" w:rsidR="00AA0AC6" w:rsidRDefault="001F37DB" w:rsidP="001F37DB">
      <w:pPr>
        <w:pStyle w:val="BodyText"/>
        <w:tabs>
          <w:tab w:val="left" w:pos="243"/>
        </w:tabs>
        <w:spacing w:after="120"/>
        <w:ind w:firstLine="0"/>
      </w:pPr>
      <w:r>
        <w:rPr>
          <w:rStyle w:val="BodyTextChar"/>
        </w:rPr>
        <w:t xml:space="preserve">30. §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Csomagolások és termékek egységesített tervezése és címkézése</w:t>
      </w:r>
    </w:p>
    <w:p w14:paraId="55131F6E" w14:textId="77777777" w:rsidR="00AA0AC6" w:rsidRDefault="00000000">
      <w:pPr>
        <w:pStyle w:val="BodyText"/>
        <w:ind w:firstLine="580"/>
      </w:pPr>
      <w:r>
        <w:rPr>
          <w:rStyle w:val="BodyTextChar"/>
        </w:rPr>
        <w:t xml:space="preserve">Tilos Norvégiába importálni vagy értékesíteni olyan dohánycsomagolásokat és dohánytermékeket, amelyek nem a minisztérium által rendeletekben megállapított részletes rendelkezéseknek megfelelően szabványosított tervezésűek.</w:t>
      </w:r>
      <w:r>
        <w:rPr>
          <w:rStyle w:val="BodyTextChar"/>
        </w:rPr>
        <w:t xml:space="preserve"> </w:t>
      </w:r>
      <w:r>
        <w:rPr>
          <w:rStyle w:val="BodyTextChar"/>
          <w:i/>
        </w:rPr>
        <w:t xml:space="preserve">Ugyanez vonatkozik az elektronikus cigarettákra és az utántöltő flakonokra is, nikotintartalomtól függetlenül.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A szabványosítás vonatkozhat többek között a színre, alakra, megjelenésre, anyagra és címkézésre, beleértve a márkanevek, logók és a márkaépítéshez kapcsolódó egyéb elemek használatát is.</w:t>
      </w:r>
    </w:p>
    <w:p w14:paraId="59A9A310" w14:textId="77777777" w:rsidR="00AA0AC6" w:rsidRDefault="00000000">
      <w:pPr>
        <w:pStyle w:val="BodyText"/>
        <w:spacing w:after="540"/>
        <w:ind w:firstLine="580"/>
      </w:pPr>
      <w:r>
        <w:rPr>
          <w:rStyle w:val="BodyTextChar"/>
        </w:rPr>
        <w:t xml:space="preserve">A minisztérium rendeleteket adhat ki a dohányzási kiegészítők és dohánypótlók címkézésének és csomagolásának hasonló szabványosítására vonatkozóan, és mentességeket állapíthat meg egyes termékkategóriákra vonatkozóan.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A minisztérium rendeletekben korlátozhatja, hogy milyen típusú kiskereskedelmi egységek értékesíthetnek olyan termékeket, amelyek mentesülnek a szabványosítási kötelezettség alól.</w:t>
      </w:r>
    </w:p>
    <w:p w14:paraId="5BE1906D" w14:textId="060A2BBD" w:rsidR="00AA0AC6" w:rsidRDefault="001F37DB" w:rsidP="001F37DB">
      <w:pPr>
        <w:pStyle w:val="BodyText"/>
        <w:tabs>
          <w:tab w:val="left" w:pos="243"/>
        </w:tabs>
        <w:spacing w:after="200"/>
        <w:ind w:firstLine="0"/>
      </w:pPr>
      <w:r>
        <w:rPr>
          <w:rStyle w:val="BodyTextChar"/>
        </w:rPr>
        <w:t xml:space="preserve">30a. §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Egészségvédő figyelmeztetés és a termék kiszerelése</w:t>
      </w:r>
    </w:p>
    <w:p w14:paraId="776E89D9" w14:textId="652A9ACA" w:rsidR="00AA0AC6" w:rsidRDefault="00000000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Tilos Norvégiába importálni vagy ott értékesíteni olyan dohánytermékeket, elektronikus cigarettákat, utántöltő flakonokat, valamint dohányzási célú gyógynövénytermékeket, amelyeken nem szerepelnek egészségvédő figyelmeztetések.</w:t>
      </w:r>
    </w:p>
    <w:p w14:paraId="66AB4B62" w14:textId="77777777" w:rsidR="00AA0AC6" w:rsidRDefault="00000000">
      <w:pPr>
        <w:pStyle w:val="BodyText"/>
        <w:spacing w:line="240" w:lineRule="auto"/>
        <w:ind w:firstLine="500"/>
      </w:pPr>
      <w:r>
        <w:rPr>
          <w:rStyle w:val="BodyTextChar"/>
        </w:rPr>
        <w:t xml:space="preserve">[Tilos Norvégiába importálni vagy ott értékesíteni olyan dohányterméket, dohányzási célú gyógynövényterméket, elektronikus cigarettát és utántöltő flakont, amelyen olyan elemeket vagy ábrákat – beleértve a szövegeket, neveket, védjegyeket, szimbólumokat, képi vagy egyéb jeleket – helyeztek el, amelyek:</w:t>
      </w:r>
    </w:p>
    <w:p w14:paraId="5477CAB0" w14:textId="77777777" w:rsidR="00AA0AC6" w:rsidRDefault="00000000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 xml:space="preserve">a dohányterméket annak jellemzői, egészségügyi hatásai, veszélyei vagy a kibocsátások tekintetében téves benyomást keltő módon reklámozzák, illetve ilyen módon annak fogyasztására ösztönöznek;</w:t>
      </w:r>
    </w:p>
    <w:p w14:paraId="12A7A4D9" w14:textId="77777777" w:rsidR="00AA0AC6" w:rsidRDefault="00000000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 xml:space="preserve">tartalmaznak a dohánytermék nikotin-, kátrány- vagy szén-monoxid-tartalmára vonatkozó információkat;</w:t>
      </w:r>
    </w:p>
    <w:p w14:paraId="446BC351" w14:textId="77777777" w:rsidR="00AA0AC6" w:rsidRDefault="00000000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 xml:space="preserve">azt sugallják, hogy egy adott dohánytermék kevésbé káros, mint más dohánytermékek, vagy hogy annak vitalizáló, energizáló, gyógyító, fiatalító, természetes, organikus jellemzői vannak, vagy más egészségügyi vagy életmódbeli előnyökkel jár;</w:t>
      </w:r>
    </w:p>
    <w:p w14:paraId="7530D3E3" w14:textId="77777777" w:rsidR="00AA0AC6" w:rsidRDefault="00000000">
      <w:pPr>
        <w:pStyle w:val="BodyText"/>
        <w:numPr>
          <w:ilvl w:val="0"/>
          <w:numId w:val="2"/>
        </w:numPr>
        <w:tabs>
          <w:tab w:val="left" w:pos="732"/>
        </w:tabs>
        <w:ind w:firstLine="380"/>
      </w:pPr>
      <w:r>
        <w:rPr>
          <w:rStyle w:val="BodyTextChar"/>
        </w:rPr>
        <w:t xml:space="preserve">ízre, illatra, ízesítőanyagra vagy más adalékanyagra, illetve ezek hiányára utalnak;</w:t>
      </w:r>
    </w:p>
    <w:p w14:paraId="6D3DA705" w14:textId="77777777" w:rsidR="00AA0AC6" w:rsidRDefault="00000000">
      <w:pPr>
        <w:pStyle w:val="BodyText"/>
        <w:numPr>
          <w:ilvl w:val="0"/>
          <w:numId w:val="2"/>
        </w:numPr>
        <w:tabs>
          <w:tab w:val="left" w:pos="732"/>
        </w:tabs>
        <w:ind w:firstLine="380"/>
      </w:pPr>
      <w:r>
        <w:rPr>
          <w:rStyle w:val="BodyTextChar"/>
        </w:rPr>
        <w:t xml:space="preserve">élelmiszerre vagy kozmetikai termékre emlékeztetnek;</w:t>
      </w:r>
    </w:p>
    <w:p w14:paraId="713D58E2" w14:textId="77777777" w:rsidR="00AA0AC6" w:rsidRDefault="00000000">
      <w:pPr>
        <w:pStyle w:val="BodyText"/>
        <w:numPr>
          <w:ilvl w:val="0"/>
          <w:numId w:val="2"/>
        </w:numPr>
        <w:tabs>
          <w:tab w:val="left" w:pos="732"/>
          <w:tab w:val="left" w:pos="735"/>
        </w:tabs>
        <w:spacing w:after="200"/>
        <w:ind w:firstLine="380"/>
      </w:pPr>
      <w:r>
        <w:rPr>
          <w:rStyle w:val="BodyTextChar"/>
        </w:rPr>
        <w:t xml:space="preserve">azt sugallják, hogy egy bizonyos dohánytermék környezeti vagy pénzügyi előnyökkel bír.</w:t>
      </w:r>
    </w:p>
    <w:p w14:paraId="5987CFDC" w14:textId="77777777" w:rsidR="00AA0AC6" w:rsidRDefault="00000000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Az első </w:t>
      </w:r>
      <w:r>
        <w:rPr>
          <w:rStyle w:val="BodyTextChar"/>
          <w:strike/>
        </w:rPr>
        <w:t xml:space="preserve"> és a </w:t>
      </w:r>
      <w:r>
        <w:rPr>
          <w:rStyle w:val="BodyTextChar"/>
          <w:strike/>
        </w:rPr>
        <w:t xml:space="preserve">második</w:t>
      </w:r>
      <w:r>
        <w:rPr>
          <w:rStyle w:val="BodyTextChar"/>
        </w:rPr>
        <w:t xml:space="preserve"> bekezdés rendelkezései nem vonatkoznak a nikotin nélküli egyszer használatos elektronikus cigarettákra és nikotin nélküli utántöltő flakonokra.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A nikotintartalomra vonatkozó tájékoztatás tilalma a második bekezdés b) pontjában </w:t>
      </w:r>
      <w:r>
        <w:rPr>
          <w:rStyle w:val="BodyTextChar"/>
          <w:strike/>
        </w:rPr>
        <w:t xml:space="preserve">és az ízesítésre való hivatkozás tilalma a d) pontban</w:t>
      </w:r>
      <w:r>
        <w:rPr>
          <w:rStyle w:val="BodyTextChar"/>
          <w:i/>
        </w:rPr>
        <w:t xml:space="preserve"> nem</w:t>
      </w:r>
      <w:r>
        <w:rPr>
          <w:rStyle w:val="BodyTextChar"/>
        </w:rPr>
        <w:t xml:space="preserve"> vonatkozik az elektronikus cigarettákra és az utántöltő flakonokra.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A második bekezdés d) és f) pontja nem vonatkozik a dohányzási célú gyógynövénytermékekre, azonban nem megengedett azt állítani, hogy a termék adalékanyagoktól vagy ízesítésektől mentes.</w:t>
      </w:r>
    </w:p>
    <w:p w14:paraId="4A3E0B34" w14:textId="77777777" w:rsidR="00AA0AC6" w:rsidRDefault="00000000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A minisztérium rendeletekben kiegészítő rendelkezéseket állapíthat meg az első és a második bekezdésben foglalt követelmények végrehajtására, illetve mentességeket állapíthat meg azok alól.</w:t>
      </w:r>
    </w:p>
    <w:p w14:paraId="4940B364" w14:textId="77777777" w:rsidR="00AA0AC6" w:rsidRDefault="00000000" w:rsidP="001F37DB">
      <w:pPr>
        <w:pStyle w:val="BodyText"/>
        <w:keepNext/>
        <w:spacing w:after="140"/>
        <w:ind w:firstLine="0"/>
      </w:pPr>
      <w:r>
        <w:rPr>
          <w:rStyle w:val="BodyTextChar"/>
        </w:rPr>
        <w:t xml:space="preserve">Új 32a. §: Az elektronikus cigaretták jellegzetes ízesítéseinek tilalma stb.</w:t>
      </w:r>
    </w:p>
    <w:p w14:paraId="522ED393" w14:textId="77777777" w:rsidR="00AA0AC6" w:rsidRDefault="00000000">
      <w:pPr>
        <w:pStyle w:val="BodyText"/>
        <w:ind w:firstLine="580"/>
      </w:pPr>
      <w:r>
        <w:rPr>
          <w:rStyle w:val="BodyTextChar"/>
          <w:i/>
        </w:rPr>
        <w:t xml:space="preserve">Tilos Norvégiába importálni vagy ott értékesíteni jellegzetes ízesítésű elektronikus cigarettát és utántöltő flakont, nikotintartalomtól függetlenül.</w:t>
      </w:r>
      <w:r>
        <w:rPr>
          <w:rStyle w:val="BodyTextChar"/>
          <w:i/>
        </w:rPr>
        <w:t xml:space="preserve"> </w:t>
      </w:r>
      <w:r>
        <w:rPr>
          <w:rStyle w:val="BodyTextChar"/>
          <w:i/>
        </w:rPr>
        <w:t xml:space="preserve">Ugyanez vonatkozik az elektronikus cigarettákban használt ízesítő-adalékanyagok különálló flakonjaira is.</w:t>
      </w:r>
    </w:p>
    <w:p w14:paraId="69779CD8" w14:textId="77777777" w:rsidR="00AA0AC6" w:rsidRDefault="00000000">
      <w:pPr>
        <w:pStyle w:val="BodyText"/>
        <w:ind w:firstLine="580"/>
      </w:pPr>
      <w:r>
        <w:rPr>
          <w:rStyle w:val="BodyTextChar"/>
          <w:i/>
        </w:rPr>
        <w:t xml:space="preserve">Az első bekezdésben foglalt tilalom az elektronikus cigarettákkal kapcsolatban használt olyan eszközökre és alkotóelemekre is vonatkozik, amelyek lehetővé teszik a termékek ízének vagy illatának megváltoztatását.</w:t>
      </w:r>
    </w:p>
    <w:p w14:paraId="2CC900A2" w14:textId="77777777" w:rsidR="00AA0AC6" w:rsidRDefault="00000000">
      <w:pPr>
        <w:pStyle w:val="BodyText"/>
        <w:spacing w:after="420"/>
        <w:ind w:firstLine="580"/>
      </w:pPr>
      <w:r>
        <w:rPr>
          <w:rStyle w:val="BodyTextChar"/>
          <w:i/>
        </w:rPr>
        <w:t xml:space="preserve">A minisztérium az első és második bekezdésben foglalt tilalmakra vonatkozóan kiegészítő rendeleteket hozhat, mentességeket állapíthat meg, meghatározhatja a jellegzetes ízt adó adalékanyagok vagy adalékanyag-kombinációk maximális mennyiségét, és díjakat állapíthat meg a tilalmak kormányzati kezelésének és felügyeletének fedezésére.</w:t>
      </w:r>
      <w:r>
        <w:rPr>
          <w:rStyle w:val="BodyTextChar"/>
          <w:i/>
        </w:rPr>
        <w:t xml:space="preserve"> </w:t>
      </w:r>
      <w:r>
        <w:rPr>
          <w:rStyle w:val="BodyTextChar"/>
          <w:i/>
        </w:rPr>
        <w:t xml:space="preserve">A minisztérium rendeletekben elfogadhat egy listát is arról, hogy mely ízmeghatározó adalékanyagok használata engedélyezett az elektronikus cigaretták és az utántöltő flakonok összetevőjeként.</w:t>
      </w:r>
    </w:p>
    <w:p w14:paraId="362A0B7D" w14:textId="77777777" w:rsidR="00AA0AC6" w:rsidRDefault="00000000">
      <w:pPr>
        <w:pStyle w:val="Heading30"/>
        <w:keepNext/>
        <w:keepLines/>
        <w:spacing w:after="140" w:line="259" w:lineRule="auto"/>
      </w:pPr>
      <w:bookmarkStart w:id="3" w:name="bookmark6"/>
      <w:r>
        <w:rPr>
          <w:rStyle w:val="Heading3"/>
          <w:b/>
        </w:rPr>
        <w:t xml:space="preserve">A dohánytermékek tartalmáról, címkézéséről és tervezéséről szóló, 2003. február 6-i 141. sz. rendelet módosítástervezetei</w:t>
      </w:r>
      <w:bookmarkEnd w:id="3"/>
    </w:p>
    <w:p w14:paraId="06077C93" w14:textId="2B6CC7A0" w:rsidR="00AA0AC6" w:rsidRDefault="001F37DB" w:rsidP="001F37DB">
      <w:pPr>
        <w:pStyle w:val="BodyText"/>
        <w:tabs>
          <w:tab w:val="left" w:pos="278"/>
        </w:tabs>
        <w:spacing w:after="140"/>
        <w:ind w:firstLine="0"/>
      </w:pPr>
      <w:r>
        <w:rPr>
          <w:rStyle w:val="BodyTextChar"/>
        </w:rPr>
        <w:t xml:space="preserve">31. §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A dohánytermékek minimális mérete és tömege</w:t>
      </w:r>
    </w:p>
    <w:p w14:paraId="6842D5C9" w14:textId="77777777" w:rsidR="00AA0AC6" w:rsidRDefault="00000000">
      <w:pPr>
        <w:pStyle w:val="BodyText"/>
        <w:ind w:firstLine="580"/>
      </w:pPr>
      <w:r>
        <w:rPr>
          <w:rStyle w:val="BodyTextChar"/>
        </w:rPr>
        <w:t xml:space="preserve">A fogyasztók részére történő értékesítésre szánt csomagolási egységnek legalább az alábbi mennyiségeket kell tartalmaznia:</w:t>
      </w:r>
    </w:p>
    <w:p w14:paraId="67107DAC" w14:textId="77777777" w:rsidR="00AA0AC6" w:rsidRDefault="00000000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</w:rPr>
        <w:t xml:space="preserve">cigaretta esetében 20 cigarettát,</w:t>
      </w:r>
    </w:p>
    <w:p w14:paraId="7EB220C6" w14:textId="77777777" w:rsidR="00AA0AC6" w:rsidRDefault="00000000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</w:rPr>
        <w:t xml:space="preserve">cigarettadohány esetében 30 grammot,</w:t>
      </w:r>
    </w:p>
    <w:p w14:paraId="12A03E59" w14:textId="77777777" w:rsidR="00AA0AC6" w:rsidRDefault="00000000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  <w:i/>
        </w:rPr>
        <w:t xml:space="preserve">szájon át fogyasztott dohányadagok esetében 20 adagot és 15 grammot,</w:t>
      </w:r>
    </w:p>
    <w:p w14:paraId="28849DE5" w14:textId="77777777" w:rsidR="00AA0AC6" w:rsidRDefault="00000000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  <w:i/>
        </w:rPr>
        <w:t xml:space="preserve">szájon át fogyasztott snushoz használt ömlesztett dohány esetében 30 grammot.</w:t>
      </w:r>
    </w:p>
    <w:p w14:paraId="02AA3190" w14:textId="77777777" w:rsidR="00AA0AC6" w:rsidRDefault="00000000">
      <w:pPr>
        <w:pStyle w:val="BodyText"/>
        <w:ind w:firstLine="580"/>
      </w:pPr>
      <w:r>
        <w:rPr>
          <w:rStyle w:val="BodyTextChar"/>
        </w:rPr>
        <w:t xml:space="preserve">Ezek a csomagolási egységek nem tartalmazhatnak kisebb csomagokat, és nem oszthatók kisebb csomagokra.</w:t>
      </w:r>
    </w:p>
    <w:p w14:paraId="563C0CD8" w14:textId="77777777" w:rsidR="00AA0AC6" w:rsidRDefault="00000000">
      <w:pPr>
        <w:pStyle w:val="BodyText"/>
        <w:spacing w:after="80"/>
        <w:ind w:firstLine="580"/>
      </w:pPr>
      <w:r>
        <w:rPr>
          <w:rStyle w:val="BodyTextChar"/>
        </w:rPr>
        <w:t xml:space="preserve">A szivarok egyenként is árusíthatók, a csomagoláson feltüntetett egészségvédő figyelmeztetésekkel.</w:t>
      </w:r>
    </w:p>
    <w:sectPr w:rsidR="00AA0AC6">
      <w:footerReference w:type="default" r:id="rId7"/>
      <w:pgSz w:w="11900" w:h="16840"/>
      <w:pgMar w:top="1599" w:right="1432" w:bottom="1855" w:left="1396" w:header="117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4F89" w14:textId="77777777" w:rsidR="002E616B" w:rsidRDefault="002E616B">
      <w:r>
        <w:separator/>
      </w:r>
    </w:p>
  </w:endnote>
  <w:endnote w:type="continuationSeparator" w:id="0">
    <w:p w14:paraId="43C0479E" w14:textId="77777777" w:rsidR="002E616B" w:rsidRDefault="002E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2050" w14:textId="77777777" w:rsidR="00AA0AC6" w:rsidRDefault="00000000">
    <w:pPr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 wp14:anchorId="488FE458" wp14:editId="5337D9B0">
              <wp:simplePos x="0" y="0"/>
              <wp:positionH relativeFrom="page">
                <wp:posOffset>3745865</wp:posOffset>
              </wp:positionH>
              <wp:positionV relativeFrom="page">
                <wp:posOffset>10006965</wp:posOffset>
              </wp:positionV>
              <wp:extent cx="3683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706FC" w14:textId="77777777" w:rsidR="00AA0AC6" w:rsidRDefault="00000000">
                          <w:pPr>
                            <w:pStyle w:val="Headerorfooter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"/>
                            </w:rPr>
                            <w:t>#</w:t>
                          </w:r>
                          <w:r>
                            <w:rPr>
                              <w:rStyle w:val="Headerorfoot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4.94999999999999pt;margin-top:787.95000000000005pt;width:2.8999999999999999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"/>
                      </w:rPr>
                      <w:t>#</w:t>
                    </w:r>
                    <w:r>
                      <w:rPr>
                        <w:rStyle w:val="Headerorfoot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99E2" w14:textId="77777777" w:rsidR="002E616B" w:rsidRDefault="002E616B"/>
  </w:footnote>
  <w:footnote w:type="continuationSeparator" w:id="0">
    <w:p w14:paraId="7675EB7F" w14:textId="77777777" w:rsidR="002E616B" w:rsidRDefault="002E61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B29"/>
    <w:multiLevelType w:val="multilevel"/>
    <w:tmpl w:val="8A46022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7D21F6"/>
    <w:multiLevelType w:val="multilevel"/>
    <w:tmpl w:val="3BBAA5D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CD7421"/>
    <w:multiLevelType w:val="multilevel"/>
    <w:tmpl w:val="BD6C5884"/>
    <w:lvl w:ilvl="0">
      <w:start w:val="4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5376501">
    <w:abstractNumId w:val="2"/>
  </w:num>
  <w:num w:numId="2" w16cid:durableId="1832718140">
    <w:abstractNumId w:val="1"/>
  </w:num>
  <w:num w:numId="3" w16cid:durableId="122290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C6"/>
    <w:rsid w:val="001F37DB"/>
    <w:rsid w:val="002E616B"/>
    <w:rsid w:val="00A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F1CA"/>
  <w15:docId w15:val="{D0ABA9B6-12DE-4D0E-9488-FFC0253F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E74B5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efaultParagraphFont"/>
    <w:link w:val="Heading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al"/>
    <w:link w:val="Heading1"/>
    <w:pPr>
      <w:spacing w:after="260"/>
      <w:outlineLvl w:val="0"/>
    </w:pPr>
    <w:rPr>
      <w:rFonts w:ascii="Cambria" w:eastAsia="Cambria" w:hAnsi="Cambria" w:cs="Cambria"/>
      <w:color w:val="2E74B5"/>
      <w:sz w:val="32"/>
      <w:szCs w:val="32"/>
    </w:rPr>
  </w:style>
  <w:style w:type="paragraph" w:customStyle="1" w:styleId="Headerorfooter0">
    <w:name w:val="Header or footer"/>
    <w:basedOn w:val="Normal"/>
    <w:link w:val="Headerorfooter"/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44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al"/>
    <w:link w:val="Heading3"/>
    <w:pPr>
      <w:spacing w:after="170" w:line="262" w:lineRule="auto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Helena</dc:creator>
  <cp:keywords/>
  <cp:lastModifiedBy>Liana Brili</cp:lastModifiedBy>
  <cp:revision>2</cp:revision>
  <dcterms:created xsi:type="dcterms:W3CDTF">2023-01-30T12:45:00Z</dcterms:created>
  <dcterms:modified xsi:type="dcterms:W3CDTF">2023-01-30T12:49:00Z</dcterms:modified>
</cp:coreProperties>
</file>