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43EB" w14:textId="77777777" w:rsidR="00AA0AC6" w:rsidRDefault="00824C2B">
      <w:pPr>
        <w:pStyle w:val="Heading10"/>
        <w:keepNext/>
        <w:keepLines/>
      </w:pPr>
      <w:bookmarkStart w:id="0" w:name="bookmark0"/>
      <w:r>
        <w:rPr>
          <w:rStyle w:val="Heading1"/>
        </w:rPr>
        <w:t>Utkast till lagstiftningsförslag</w:t>
      </w:r>
      <w:bookmarkEnd w:id="0"/>
    </w:p>
    <w:p w14:paraId="08A98031" w14:textId="77777777" w:rsidR="00AA0AC6" w:rsidRDefault="00824C2B">
      <w:pPr>
        <w:pStyle w:val="Heading20"/>
        <w:keepNext/>
        <w:keepLines/>
      </w:pPr>
      <w:bookmarkStart w:id="1" w:name="bookmark2"/>
      <w:r>
        <w:rPr>
          <w:rStyle w:val="Heading2"/>
        </w:rPr>
        <w:t>Tillägg och ändringar är kursiverade.</w:t>
      </w:r>
      <w:bookmarkEnd w:id="1"/>
    </w:p>
    <w:p w14:paraId="69A787FA" w14:textId="77777777" w:rsidR="00AA0AC6" w:rsidRDefault="00824C2B">
      <w:pPr>
        <w:pStyle w:val="Heading30"/>
        <w:keepNext/>
        <w:keepLines/>
        <w:spacing w:after="200" w:line="264" w:lineRule="auto"/>
      </w:pPr>
      <w:bookmarkStart w:id="2" w:name="bookmark4"/>
      <w:r>
        <w:rPr>
          <w:rStyle w:val="Heading3"/>
          <w:b/>
        </w:rPr>
        <w:t>Utkast till ändringar av lag nr 14 av den 9 mars 1973 om förebyggande av skadliga effekter av tobak</w:t>
      </w:r>
      <w:bookmarkEnd w:id="2"/>
    </w:p>
    <w:p w14:paraId="5B187A27" w14:textId="7E3EBB20" w:rsidR="00AA0AC6" w:rsidRDefault="001F37DB" w:rsidP="001F37DB">
      <w:pPr>
        <w:pStyle w:val="BodyText"/>
        <w:tabs>
          <w:tab w:val="left" w:pos="243"/>
        </w:tabs>
        <w:spacing w:after="120"/>
        <w:ind w:firstLine="0"/>
      </w:pPr>
      <w:r>
        <w:rPr>
          <w:rStyle w:val="BodyTextChar"/>
        </w:rPr>
        <w:t>30 §. Standardiserad utformning och märkning av förpackningar och produkter</w:t>
      </w:r>
    </w:p>
    <w:p w14:paraId="55131F6E" w14:textId="77777777" w:rsidR="00AA0AC6" w:rsidRDefault="00824C2B">
      <w:pPr>
        <w:pStyle w:val="BodyText"/>
        <w:ind w:firstLine="580"/>
      </w:pPr>
      <w:r>
        <w:rPr>
          <w:rStyle w:val="BodyTextChar"/>
        </w:rPr>
        <w:t>Det är förbjudet att importera till Norge eller saluföra tobaksförpackningar och</w:t>
      </w:r>
      <w:r>
        <w:rPr>
          <w:rStyle w:val="BodyTextChar"/>
        </w:rPr>
        <w:t xml:space="preserve"> tobaksvaror som inte har en standardiserad utformning i enlighet med de detaljerade bestämmelser som ministeriet har fastställt i föreskrifter. </w:t>
      </w:r>
      <w:r>
        <w:rPr>
          <w:rStyle w:val="BodyTextChar"/>
          <w:i/>
        </w:rPr>
        <w:t>Detsamma gäller elektroniska cigaretter och påfyllningsbehållare, oavsett nikotininnehåll.</w:t>
      </w:r>
      <w:r>
        <w:rPr>
          <w:rStyle w:val="BodyTextChar"/>
        </w:rPr>
        <w:t xml:space="preserve"> Standardiseringen ka</w:t>
      </w:r>
      <w:r>
        <w:rPr>
          <w:rStyle w:val="BodyTextChar"/>
        </w:rPr>
        <w:t>n bland annat gälla färg, form, utseende, material och märkning, inklusive användning av varumärken, logotyper och andra element som är knutna till varumärket.</w:t>
      </w:r>
    </w:p>
    <w:p w14:paraId="59A9A310" w14:textId="77777777" w:rsidR="00AA0AC6" w:rsidRDefault="00824C2B">
      <w:pPr>
        <w:pStyle w:val="BodyText"/>
        <w:spacing w:after="540"/>
        <w:ind w:firstLine="580"/>
      </w:pPr>
      <w:r>
        <w:rPr>
          <w:rStyle w:val="BodyTextChar"/>
        </w:rPr>
        <w:t>Ministeriet kan utfärda bestämmelser om liknande standardisering av märkning och utformning av f</w:t>
      </w:r>
      <w:r>
        <w:rPr>
          <w:rStyle w:val="BodyTextChar"/>
        </w:rPr>
        <w:t>örpackningar för rökningstillbehör och tobaksersättning samt göra undantag för särskilda produktkategorier. Ministeriet kan i föreskrifter begränsa vilka typer av försäljningsställen som får sälja produkter som är undantagna från standardiseringskravet.</w:t>
      </w:r>
    </w:p>
    <w:p w14:paraId="5BE1906D" w14:textId="060A2BBD" w:rsidR="00AA0AC6" w:rsidRDefault="001F37DB" w:rsidP="001F37DB">
      <w:pPr>
        <w:pStyle w:val="BodyText"/>
        <w:tabs>
          <w:tab w:val="left" w:pos="243"/>
        </w:tabs>
        <w:spacing w:after="200"/>
        <w:ind w:firstLine="0"/>
      </w:pPr>
      <w:r>
        <w:rPr>
          <w:rStyle w:val="BodyTextChar"/>
        </w:rPr>
        <w:t>30a §. Hälsovarning och produktpresentation</w:t>
      </w:r>
    </w:p>
    <w:p w14:paraId="776E89D9" w14:textId="652A9ACA" w:rsidR="00AA0AC6" w:rsidRDefault="00824C2B">
      <w:pPr>
        <w:pStyle w:val="BodyText"/>
        <w:spacing w:after="200" w:line="240" w:lineRule="auto"/>
        <w:ind w:firstLine="500"/>
      </w:pPr>
      <w:r>
        <w:rPr>
          <w:rStyle w:val="BodyTextChar"/>
        </w:rPr>
        <w:t>Det är förbjudet att importera till Norge eller sälja tobaksvaror, elektroniska cigaretter och påfyllningsbehållare samt örtprodukter för rökning som inte är märkta med hälsovarningar.</w:t>
      </w:r>
    </w:p>
    <w:p w14:paraId="66AB4B62" w14:textId="77777777" w:rsidR="00AA0AC6" w:rsidRDefault="00824C2B">
      <w:pPr>
        <w:pStyle w:val="BodyText"/>
        <w:spacing w:line="240" w:lineRule="auto"/>
        <w:ind w:firstLine="500"/>
      </w:pPr>
      <w:r>
        <w:rPr>
          <w:rStyle w:val="BodyTextChar"/>
        </w:rPr>
        <w:t>Det är förbjudet att importer</w:t>
      </w:r>
      <w:r>
        <w:rPr>
          <w:rStyle w:val="BodyTextChar"/>
        </w:rPr>
        <w:t>a till Norge eller sälja tobaksvaror, örtprodukter för rökning, elektroniska cigaretter och påfyllningsbehållare märkta med någon beståndsdel eller funktion, inklusive texter, namn, varumärken, symboler, figurativa eller andra tecken, som</w:t>
      </w:r>
    </w:p>
    <w:p w14:paraId="5477CAB0" w14:textId="77777777" w:rsidR="00AA0AC6" w:rsidRDefault="00824C2B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marknadsför en to</w:t>
      </w:r>
      <w:r>
        <w:rPr>
          <w:rStyle w:val="BodyTextChar"/>
        </w:rPr>
        <w:t>baksvara eller uppmuntrar till konsumtion av en sådan genom att skapa en felaktig uppfattning om varans egenskaper, hälsoeffekter, risker eller utsläpp,</w:t>
      </w:r>
    </w:p>
    <w:p w14:paraId="12A7A4D9" w14:textId="77777777" w:rsidR="00AA0AC6" w:rsidRDefault="00824C2B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>innehåller information om innehållet av nikotin, tjära eller kolmonoxid i tobaksprodukten,</w:t>
      </w:r>
    </w:p>
    <w:p w14:paraId="446BC351" w14:textId="77777777" w:rsidR="00AA0AC6" w:rsidRDefault="00824C2B">
      <w:pPr>
        <w:pStyle w:val="BodyText"/>
        <w:numPr>
          <w:ilvl w:val="0"/>
          <w:numId w:val="2"/>
        </w:numPr>
        <w:tabs>
          <w:tab w:val="left" w:pos="735"/>
        </w:tabs>
        <w:ind w:left="740" w:hanging="360"/>
      </w:pPr>
      <w:r>
        <w:rPr>
          <w:rStyle w:val="BodyTextChar"/>
        </w:rPr>
        <w:t xml:space="preserve">antyder att </w:t>
      </w:r>
      <w:r>
        <w:rPr>
          <w:rStyle w:val="BodyTextChar"/>
        </w:rPr>
        <w:t>en viss produkt är mindre skadlig än andra eller har vitaliserande, energigivande, läkande, föryngrande, naturliga, organiska egenskaper eller andra hälso- eller livsstilsfördelar,</w:t>
      </w:r>
    </w:p>
    <w:p w14:paraId="7530D3E3" w14:textId="77777777" w:rsidR="00AA0AC6" w:rsidRDefault="00824C2B" w:rsidP="00824C2B">
      <w:pPr>
        <w:pStyle w:val="BodyText"/>
        <w:numPr>
          <w:ilvl w:val="0"/>
          <w:numId w:val="2"/>
        </w:numPr>
        <w:tabs>
          <w:tab w:val="left" w:pos="732"/>
        </w:tabs>
        <w:ind w:left="740" w:hanging="360"/>
      </w:pPr>
      <w:r>
        <w:rPr>
          <w:rStyle w:val="BodyTextChar"/>
        </w:rPr>
        <w:t xml:space="preserve">hänvisar till smak, doft, eventuella smaktillsatser eller andra tillsatser </w:t>
      </w:r>
      <w:r>
        <w:rPr>
          <w:rStyle w:val="BodyTextChar"/>
        </w:rPr>
        <w:t>eller avsaknaden därav,</w:t>
      </w:r>
    </w:p>
    <w:p w14:paraId="6D3DA705" w14:textId="77777777" w:rsidR="00AA0AC6" w:rsidRDefault="00824C2B">
      <w:pPr>
        <w:pStyle w:val="BodyText"/>
        <w:numPr>
          <w:ilvl w:val="0"/>
          <w:numId w:val="2"/>
        </w:numPr>
        <w:tabs>
          <w:tab w:val="left" w:pos="732"/>
        </w:tabs>
        <w:ind w:firstLine="380"/>
      </w:pPr>
      <w:r>
        <w:rPr>
          <w:rStyle w:val="BodyTextChar"/>
        </w:rPr>
        <w:t>liknar ett livsmedel eller en kosmetisk produkt,</w:t>
      </w:r>
    </w:p>
    <w:p w14:paraId="713D58E2" w14:textId="77777777" w:rsidR="00AA0AC6" w:rsidRDefault="00824C2B">
      <w:pPr>
        <w:pStyle w:val="BodyText"/>
        <w:numPr>
          <w:ilvl w:val="0"/>
          <w:numId w:val="2"/>
        </w:numPr>
        <w:tabs>
          <w:tab w:val="left" w:pos="732"/>
          <w:tab w:val="left" w:pos="735"/>
        </w:tabs>
        <w:spacing w:after="200"/>
        <w:ind w:firstLine="380"/>
      </w:pPr>
      <w:r>
        <w:rPr>
          <w:rStyle w:val="BodyTextChar"/>
        </w:rPr>
        <w:t>antyder att en viss tobaksvara har miljömässiga eller ekonomiska fördelar.</w:t>
      </w:r>
    </w:p>
    <w:p w14:paraId="5987CFDC" w14:textId="77777777" w:rsidR="00AA0AC6" w:rsidRDefault="00824C2B">
      <w:pPr>
        <w:pStyle w:val="BodyText"/>
        <w:spacing w:after="200" w:line="240" w:lineRule="auto"/>
        <w:ind w:firstLine="500"/>
      </w:pPr>
      <w:r>
        <w:rPr>
          <w:rStyle w:val="BodyTextChar"/>
        </w:rPr>
        <w:t xml:space="preserve">Bestämmelserna i första </w:t>
      </w:r>
      <w:r>
        <w:rPr>
          <w:rStyle w:val="BodyTextChar"/>
          <w:strike/>
        </w:rPr>
        <w:t>och andra</w:t>
      </w:r>
      <w:r>
        <w:rPr>
          <w:rStyle w:val="BodyTextChar"/>
        </w:rPr>
        <w:t xml:space="preserve"> stycket gäller inte för e-cigaretter för engångsbruk utan nikotin och påfyllningsbehållare utan nikotin. Förbudet mot information om nikotininnehåll i andra stycket bokstav b </w:t>
      </w:r>
      <w:r>
        <w:rPr>
          <w:rStyle w:val="BodyTextChar"/>
          <w:strike/>
        </w:rPr>
        <w:t>och h</w:t>
      </w:r>
      <w:r>
        <w:rPr>
          <w:rStyle w:val="BodyTextChar"/>
        </w:rPr>
        <w:t>ä</w:t>
      </w:r>
      <w:r>
        <w:rPr>
          <w:rStyle w:val="BodyTextChar"/>
          <w:strike/>
        </w:rPr>
        <w:t>nvi</w:t>
      </w:r>
      <w:r>
        <w:rPr>
          <w:rStyle w:val="BodyTextChar"/>
        </w:rPr>
        <w:t>s</w:t>
      </w:r>
      <w:r>
        <w:rPr>
          <w:rStyle w:val="BodyTextChar"/>
          <w:strike/>
        </w:rPr>
        <w:t>ning till smaktillsatser i bokstav d</w:t>
      </w:r>
      <w:r>
        <w:rPr>
          <w:rStyle w:val="BodyTextChar"/>
          <w:i/>
        </w:rPr>
        <w:t xml:space="preserve"> gäller</w:t>
      </w:r>
      <w:r>
        <w:rPr>
          <w:rStyle w:val="BodyTextChar"/>
        </w:rPr>
        <w:t xml:space="preserve"> inte elektroniska cigarett</w:t>
      </w:r>
      <w:r>
        <w:rPr>
          <w:rStyle w:val="BodyTextChar"/>
        </w:rPr>
        <w:t>er och påfyllningsbehållare. Andra stycket bokstav d och bokstav f gäller inte örtprodukter för rökning, men det är dock inte tillåtet att ange att produkten är fri från tillsatser eller smakämnen.</w:t>
      </w:r>
    </w:p>
    <w:p w14:paraId="4A3E0B34" w14:textId="77777777" w:rsidR="00AA0AC6" w:rsidRDefault="00824C2B">
      <w:pPr>
        <w:pStyle w:val="BodyText"/>
        <w:spacing w:after="200" w:line="240" w:lineRule="auto"/>
        <w:ind w:firstLine="500"/>
      </w:pPr>
      <w:r>
        <w:rPr>
          <w:rStyle w:val="BodyTextChar"/>
        </w:rPr>
        <w:t>Ministeriet kan i föreskrifter fastställa kompletterande b</w:t>
      </w:r>
      <w:r>
        <w:rPr>
          <w:rStyle w:val="BodyTextChar"/>
        </w:rPr>
        <w:t>estämmelser för att genomföra kraven i första och andra stycket och göra undantag från dem.</w:t>
      </w:r>
    </w:p>
    <w:p w14:paraId="4940B364" w14:textId="77777777" w:rsidR="00AA0AC6" w:rsidRDefault="00824C2B" w:rsidP="001F37DB">
      <w:pPr>
        <w:pStyle w:val="BodyText"/>
        <w:keepNext/>
        <w:spacing w:after="140"/>
        <w:ind w:firstLine="0"/>
      </w:pPr>
      <w:r>
        <w:rPr>
          <w:rStyle w:val="BodyTextChar"/>
        </w:rPr>
        <w:lastRenderedPageBreak/>
        <w:t>Ny 32 a §. Förbud mot karakteristiska smaker i elektroniska cigaretter med mera.</w:t>
      </w:r>
    </w:p>
    <w:p w14:paraId="522ED393" w14:textId="77777777" w:rsidR="00AA0AC6" w:rsidRDefault="00824C2B">
      <w:pPr>
        <w:pStyle w:val="BodyText"/>
        <w:ind w:firstLine="580"/>
      </w:pPr>
      <w:r>
        <w:rPr>
          <w:rStyle w:val="BodyTextChar"/>
          <w:i/>
        </w:rPr>
        <w:t>Det är förbjudet att importera till eller sälja elektroniska cigaretter och påfylln</w:t>
      </w:r>
      <w:r>
        <w:rPr>
          <w:rStyle w:val="BodyTextChar"/>
          <w:i/>
        </w:rPr>
        <w:t>ingsbehållare i Norge, oavsett nikotininnehåll, med karakteristiska smaker. Detsamma gäller separata behållare med smaktillsatser för användning i elektroniska cigaretter.</w:t>
      </w:r>
    </w:p>
    <w:p w14:paraId="69779CD8" w14:textId="77777777" w:rsidR="00AA0AC6" w:rsidRDefault="00824C2B">
      <w:pPr>
        <w:pStyle w:val="BodyText"/>
        <w:ind w:firstLine="580"/>
      </w:pPr>
      <w:r>
        <w:rPr>
          <w:rStyle w:val="BodyTextChar"/>
          <w:i/>
        </w:rPr>
        <w:t>Förbudet i första stycket gäller även utrustning och komponenter som används i samba</w:t>
      </w:r>
      <w:r>
        <w:rPr>
          <w:rStyle w:val="BodyTextChar"/>
          <w:i/>
        </w:rPr>
        <w:t>nd med elektroniska cigaretter, vilka gör det möjligt att ändra produkternas smak eller lukt.</w:t>
      </w:r>
    </w:p>
    <w:p w14:paraId="2CC900A2" w14:textId="77777777" w:rsidR="00AA0AC6" w:rsidRDefault="00824C2B">
      <w:pPr>
        <w:pStyle w:val="BodyText"/>
        <w:spacing w:after="420"/>
        <w:ind w:firstLine="580"/>
      </w:pPr>
      <w:r>
        <w:rPr>
          <w:rStyle w:val="BodyTextChar"/>
          <w:i/>
        </w:rPr>
        <w:t>Ministeriet kan utfärda kompletterande föreskrifter om förbuden i första och andra stycket, göra undantag, fastställa maximihalter för tillsatser eller kombinatio</w:t>
      </w:r>
      <w:r>
        <w:rPr>
          <w:rStyle w:val="BodyTextChar"/>
          <w:i/>
        </w:rPr>
        <w:t>ner av tillsatser som ger en karakteristisk smak samt fastställa avgifter för att täcka myndigheters hantering och övervakning av förbuden. Ministeriet kan också i förordningar anta en förteckning över vilka smakbestämmande tillsatser som är tillåtna att a</w:t>
      </w:r>
      <w:r>
        <w:rPr>
          <w:rStyle w:val="BodyTextChar"/>
          <w:i/>
        </w:rPr>
        <w:t>nvända som ingredienser i elektroniska cigaretter och påfyllningsbehållare.</w:t>
      </w:r>
    </w:p>
    <w:p w14:paraId="362A0B7D" w14:textId="77777777" w:rsidR="00AA0AC6" w:rsidRDefault="00824C2B">
      <w:pPr>
        <w:pStyle w:val="Heading30"/>
        <w:keepNext/>
        <w:keepLines/>
        <w:spacing w:after="140" w:line="259" w:lineRule="auto"/>
      </w:pPr>
      <w:bookmarkStart w:id="3" w:name="bookmark6"/>
      <w:r>
        <w:rPr>
          <w:rStyle w:val="Heading3"/>
          <w:b/>
        </w:rPr>
        <w:t>Utkast till ändringar av förordning nr 141 av den 6 februari 2003 om innehåll, märkning och utformning av tobaksvaror med mera.</w:t>
      </w:r>
      <w:bookmarkEnd w:id="3"/>
    </w:p>
    <w:p w14:paraId="06077C93" w14:textId="2B6CC7A0" w:rsidR="00AA0AC6" w:rsidRDefault="001F37DB" w:rsidP="001F37DB">
      <w:pPr>
        <w:pStyle w:val="BodyText"/>
        <w:tabs>
          <w:tab w:val="left" w:pos="278"/>
        </w:tabs>
        <w:spacing w:after="140"/>
        <w:ind w:firstLine="0"/>
      </w:pPr>
      <w:r>
        <w:rPr>
          <w:rStyle w:val="BodyTextChar"/>
        </w:rPr>
        <w:t>31 §. Minsta storlek och vikt för tobaksvaror</w:t>
      </w:r>
    </w:p>
    <w:p w14:paraId="6842D5C9" w14:textId="77777777" w:rsidR="00AA0AC6" w:rsidRDefault="00824C2B">
      <w:pPr>
        <w:pStyle w:val="BodyText"/>
        <w:ind w:firstLine="580"/>
      </w:pPr>
      <w:r>
        <w:rPr>
          <w:rStyle w:val="BodyTextChar"/>
        </w:rPr>
        <w:t>Ett st</w:t>
      </w:r>
      <w:r>
        <w:rPr>
          <w:rStyle w:val="BodyTextChar"/>
        </w:rPr>
        <w:t>yckpaket till försäljning till konsumenter som innehåller</w:t>
      </w:r>
    </w:p>
    <w:p w14:paraId="67107DAC" w14:textId="77777777" w:rsidR="00AA0AC6" w:rsidRDefault="00824C2B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</w:rPr>
        <w:t>cigaretter ska innehålla minst 20 cigaretter</w:t>
      </w:r>
    </w:p>
    <w:p w14:paraId="7EB220C6" w14:textId="77777777" w:rsidR="00AA0AC6" w:rsidRDefault="00824C2B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firstLine="940"/>
      </w:pPr>
      <w:r>
        <w:rPr>
          <w:rStyle w:val="BodyTextChar"/>
        </w:rPr>
        <w:t>rulltobak ska innehålla minst 30 gram</w:t>
      </w:r>
    </w:p>
    <w:p w14:paraId="12A03E59" w14:textId="7D214BCE" w:rsidR="00AA0AC6" w:rsidRDefault="00824C2B" w:rsidP="00824C2B">
      <w:pPr>
        <w:pStyle w:val="BodyText"/>
        <w:numPr>
          <w:ilvl w:val="0"/>
          <w:numId w:val="3"/>
        </w:numPr>
        <w:tabs>
          <w:tab w:val="left" w:pos="1286"/>
          <w:tab w:val="left" w:pos="1300"/>
        </w:tabs>
        <w:spacing w:line="240" w:lineRule="auto"/>
        <w:ind w:left="1276" w:hanging="336"/>
      </w:pPr>
      <w:r>
        <w:rPr>
          <w:rStyle w:val="BodyTextChar"/>
          <w:i/>
        </w:rPr>
        <w:t>tobaksportioner för användning i munnen ska innehålla minst 20 portioner och 15 </w:t>
      </w:r>
      <w:r>
        <w:rPr>
          <w:rStyle w:val="BodyTextChar"/>
          <w:i/>
        </w:rPr>
        <w:t>gram</w:t>
      </w:r>
    </w:p>
    <w:p w14:paraId="28849DE5" w14:textId="77777777" w:rsidR="00AA0AC6" w:rsidRDefault="00824C2B">
      <w:pPr>
        <w:pStyle w:val="BodyText"/>
        <w:numPr>
          <w:ilvl w:val="0"/>
          <w:numId w:val="3"/>
        </w:numPr>
        <w:tabs>
          <w:tab w:val="left" w:pos="1286"/>
        </w:tabs>
        <w:spacing w:line="240" w:lineRule="auto"/>
        <w:ind w:firstLine="940"/>
      </w:pPr>
      <w:r>
        <w:rPr>
          <w:rStyle w:val="BodyTextChar"/>
          <w:i/>
        </w:rPr>
        <w:t>lös tobak som används som snus</w:t>
      </w:r>
      <w:r>
        <w:rPr>
          <w:rStyle w:val="BodyTextChar"/>
          <w:i/>
        </w:rPr>
        <w:t xml:space="preserve"> i munnen ska innehålla minst 30 gram.</w:t>
      </w:r>
    </w:p>
    <w:p w14:paraId="02AA3190" w14:textId="77777777" w:rsidR="00AA0AC6" w:rsidRDefault="00824C2B">
      <w:pPr>
        <w:pStyle w:val="BodyText"/>
        <w:ind w:firstLine="580"/>
      </w:pPr>
      <w:r>
        <w:rPr>
          <w:rStyle w:val="BodyTextChar"/>
        </w:rPr>
        <w:t>Dessa styckförpackningar får inte innehålla mindre paket och får inte delas upp i mindre paket.</w:t>
      </w:r>
    </w:p>
    <w:p w14:paraId="563C0CD8" w14:textId="77777777" w:rsidR="00AA0AC6" w:rsidRDefault="00824C2B">
      <w:pPr>
        <w:pStyle w:val="BodyText"/>
        <w:spacing w:after="80"/>
        <w:ind w:firstLine="580"/>
      </w:pPr>
      <w:r>
        <w:rPr>
          <w:rStyle w:val="BodyTextChar"/>
        </w:rPr>
        <w:t>Cigarrer får säljas individuellt med hälsovarningar på förpackningen.</w:t>
      </w:r>
    </w:p>
    <w:sectPr w:rsidR="00AA0AC6">
      <w:footerReference w:type="default" r:id="rId7"/>
      <w:pgSz w:w="11900" w:h="16840"/>
      <w:pgMar w:top="1599" w:right="1432" w:bottom="1855" w:left="1396" w:header="117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4F89" w14:textId="77777777" w:rsidR="002E616B" w:rsidRDefault="002E616B">
      <w:r>
        <w:separator/>
      </w:r>
    </w:p>
  </w:endnote>
  <w:endnote w:type="continuationSeparator" w:id="0">
    <w:p w14:paraId="43C0479E" w14:textId="77777777" w:rsidR="002E616B" w:rsidRDefault="002E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2050" w14:textId="77777777" w:rsidR="00AA0AC6" w:rsidRDefault="00824C2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88FE458" wp14:editId="5337D9B0">
              <wp:simplePos x="0" y="0"/>
              <wp:positionH relativeFrom="page">
                <wp:posOffset>3745865</wp:posOffset>
              </wp:positionH>
              <wp:positionV relativeFrom="page">
                <wp:posOffset>10006965</wp:posOffset>
              </wp:positionV>
              <wp:extent cx="3683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706FC" w14:textId="77777777" w:rsidR="00AA0AC6" w:rsidRDefault="00824C2B">
                          <w:pPr>
                            <w:pStyle w:val="Headerorfooter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"/>
                            </w:rPr>
                            <w:t>#</w:t>
                          </w:r>
                          <w:r>
                            <w:rPr>
                              <w:rStyle w:val="Headerorfoot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4.94999999999999pt;margin-top:787.95000000000005pt;width:2.8999999999999999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"/>
                      </w:rPr>
                      <w:t>#</w:t>
                    </w:r>
                    <w:r>
                      <w:rPr>
                        <w:rStyle w:val="Headerorfoot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9E2" w14:textId="77777777" w:rsidR="002E616B" w:rsidRDefault="002E616B"/>
  </w:footnote>
  <w:footnote w:type="continuationSeparator" w:id="0">
    <w:p w14:paraId="7675EB7F" w14:textId="77777777" w:rsidR="002E616B" w:rsidRDefault="002E61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3B29"/>
    <w:multiLevelType w:val="multilevel"/>
    <w:tmpl w:val="8A46022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7D21F6"/>
    <w:multiLevelType w:val="multilevel"/>
    <w:tmpl w:val="3BBAA5D8"/>
    <w:lvl w:ilvl="0">
      <w:start w:val="1"/>
      <w:numFmt w:val="low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CD7421"/>
    <w:multiLevelType w:val="multilevel"/>
    <w:tmpl w:val="BD6C5884"/>
    <w:lvl w:ilvl="0">
      <w:start w:val="4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5376501">
    <w:abstractNumId w:val="2"/>
  </w:num>
  <w:num w:numId="2" w16cid:durableId="1832718140">
    <w:abstractNumId w:val="1"/>
  </w:num>
  <w:num w:numId="3" w16cid:durableId="122290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C6"/>
    <w:rsid w:val="001F37DB"/>
    <w:rsid w:val="002E616B"/>
    <w:rsid w:val="00824C2B"/>
    <w:rsid w:val="00A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F1CA"/>
  <w15:docId w15:val="{D0ABA9B6-12DE-4D0E-9488-FFC0253F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v-SE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2E74B5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efaultParagraphFont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al"/>
    <w:link w:val="Heading1"/>
    <w:pPr>
      <w:spacing w:after="260"/>
      <w:outlineLvl w:val="0"/>
    </w:pPr>
    <w:rPr>
      <w:rFonts w:ascii="Cambria" w:eastAsia="Cambria" w:hAnsi="Cambria" w:cs="Cambria"/>
      <w:color w:val="2E74B5"/>
      <w:sz w:val="32"/>
      <w:szCs w:val="32"/>
    </w:rPr>
  </w:style>
  <w:style w:type="paragraph" w:customStyle="1" w:styleId="Headerorfooter0">
    <w:name w:val="Header or footer"/>
    <w:basedOn w:val="Normal"/>
    <w:link w:val="Headerorfooter"/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440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Heading30">
    <w:name w:val="Heading #3"/>
    <w:basedOn w:val="Normal"/>
    <w:link w:val="Heading3"/>
    <w:pPr>
      <w:spacing w:after="170" w:line="262" w:lineRule="auto"/>
      <w:outlineLvl w:val="2"/>
    </w:pPr>
    <w:rPr>
      <w:rFonts w:ascii="Cambria" w:eastAsia="Cambria" w:hAnsi="Cambria" w:cs="Cambria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Helena</dc:creator>
  <cp:keywords/>
  <cp:lastModifiedBy>Liana Brili</cp:lastModifiedBy>
  <cp:revision>3</cp:revision>
  <dcterms:created xsi:type="dcterms:W3CDTF">2023-01-30T12:45:00Z</dcterms:created>
  <dcterms:modified xsi:type="dcterms:W3CDTF">2023-02-06T09:22:00Z</dcterms:modified>
</cp:coreProperties>
</file>