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GOSPODARSTVO I POMORSTVO</w:t>
      </w:r>
    </w:p>
    <w:p w14:paraId="4BE6550D"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Ured državnog tajnika za gospodarstvo</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Pravilnik br.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rFonts w:ascii="Garamond" w:eastAsia="Times New Roman" w:hAnsi="Garamond" w:cs="Times New Roman"/>
          <w:bCs/>
          <w:sz w:val="24"/>
          <w:szCs w:val="24"/>
        </w:rPr>
      </w:pPr>
      <w:r>
        <w:rPr>
          <w:rFonts w:ascii="Garamond" w:hAnsi="Garamond"/>
          <w:sz w:val="24"/>
        </w:rPr>
        <w:t>Sažetak: Pravilnik o utvrđivanju propisa o zakonskom mjeriteljskom nadzoru nad uređajima za mjerenje zamućenosti ispušnih plinova.</w:t>
      </w:r>
    </w:p>
    <w:p w14:paraId="4AE88BD5" w14:textId="0D92811E" w:rsidR="00501FB0" w:rsidRDefault="00752C59" w:rsidP="00501FB0">
      <w:pPr>
        <w:spacing w:after="120" w:line="360" w:lineRule="auto"/>
        <w:jc w:val="both"/>
        <w:rPr>
          <w:rFonts w:ascii="Garamond" w:hAnsi="Garamond" w:cs="Arial"/>
          <w:sz w:val="24"/>
          <w:szCs w:val="24"/>
        </w:rPr>
      </w:pPr>
      <w:r>
        <w:rPr>
          <w:rFonts w:ascii="Garamond" w:hAnsi="Garamond"/>
          <w:sz w:val="24"/>
        </w:rPr>
        <w:t>Mjeriteljski nadzor nad mjernim metodama i instrumentima u Portugalu u skladu je s općim sustavom odobrenim Uredbom sa zakonskom snagom br. 29/2022 od 7. travnja, općim regulatornim odredbama utvrđenima u Općoj uredbi o mjeriteljskom nadzoru odobrenom Pravilnikom br. 211/2022 od 23. kolovoza, kao i odredbama iz posebnih pravilnika za svaki mjerni instrument.</w:t>
      </w:r>
    </w:p>
    <w:p w14:paraId="0689E6B7" w14:textId="3B86FDFE" w:rsidR="00CB623B" w:rsidRDefault="00CB623B" w:rsidP="00B86C46">
      <w:pPr>
        <w:shd w:val="clear" w:color="auto" w:fill="FFFFFF" w:themeFill="background1"/>
        <w:spacing w:after="120" w:line="360" w:lineRule="auto"/>
        <w:jc w:val="both"/>
        <w:rPr>
          <w:rFonts w:ascii="Garamond" w:hAnsi="Garamond" w:cs="Arial"/>
          <w:sz w:val="24"/>
          <w:szCs w:val="24"/>
        </w:rPr>
      </w:pPr>
      <w:bookmarkStart w:id="0" w:name="_Hlk66124405"/>
      <w:r>
        <w:rPr>
          <w:rFonts w:ascii="Garamond" w:hAnsi="Garamond"/>
          <w:sz w:val="24"/>
        </w:rPr>
        <w:t>S obzirom na objavu ovog pravnog stajališta, potrebno je donijeti posebne propise čiji zahtjevi moraju biti ispunjeni prilikom mjeriteljskog nadzora nad uređajima za mjerenje zamućenosti ispušnih plinova, kojima se stavlja izvan snage Pravilnik br. 797/2009 od 1. prosinca.</w:t>
      </w:r>
    </w:p>
    <w:p w14:paraId="44CADCEE" w14:textId="5BD42CB3" w:rsidR="00473279" w:rsidRPr="00B86C46" w:rsidRDefault="00473279" w:rsidP="00B86C46">
      <w:pPr>
        <w:shd w:val="clear" w:color="auto" w:fill="FFFFFF" w:themeFill="background1"/>
        <w:spacing w:after="120" w:line="360" w:lineRule="auto"/>
        <w:jc w:val="both"/>
        <w:rPr>
          <w:rFonts w:ascii="Garamond" w:eastAsia="Times New Roman" w:hAnsi="Garamond" w:cs="Times New Roman"/>
          <w:bCs/>
          <w:sz w:val="24"/>
          <w:szCs w:val="24"/>
        </w:rPr>
      </w:pPr>
      <w:r>
        <w:rPr>
          <w:rFonts w:ascii="Garamond" w:hAnsi="Garamond"/>
          <w:sz w:val="24"/>
        </w:rPr>
        <w:t>Ovaj je Pravilnik podvrgnut postupku pružanja informacija u području tehničkih propisa i pravila o uslugama informacijskog društva iz Direktive (EU) 2015/1535 Europskog parlamenta i Vijeća od 9. rujna 2015.</w:t>
      </w:r>
    </w:p>
    <w:bookmarkEnd w:id="0"/>
    <w:p w14:paraId="03472A57" w14:textId="157F5F06" w:rsidR="00752C59" w:rsidRPr="003D5AFB" w:rsidRDefault="001E2713" w:rsidP="000E7B45">
      <w:pPr>
        <w:spacing w:after="120" w:line="360" w:lineRule="auto"/>
        <w:jc w:val="both"/>
        <w:rPr>
          <w:rFonts w:ascii="Garamond" w:hAnsi="Garamond" w:cs="Arial"/>
          <w:sz w:val="24"/>
          <w:szCs w:val="24"/>
        </w:rPr>
      </w:pPr>
      <w:r>
        <w:rPr>
          <w:rFonts w:ascii="Garamond" w:hAnsi="Garamond"/>
          <w:sz w:val="24"/>
        </w:rPr>
        <w:t>S obzirom na prethodno navedeno:</w:t>
      </w:r>
    </w:p>
    <w:p w14:paraId="675622A4" w14:textId="215B8811" w:rsidR="00CB623B" w:rsidRPr="00CA3DB1" w:rsidRDefault="00CB623B" w:rsidP="00CB623B">
      <w:pPr>
        <w:spacing w:after="120" w:line="360" w:lineRule="auto"/>
        <w:jc w:val="both"/>
        <w:rPr>
          <w:rFonts w:ascii="Garamond" w:hAnsi="Garamond" w:cs="Arial"/>
          <w:sz w:val="24"/>
          <w:szCs w:val="24"/>
        </w:rPr>
      </w:pPr>
      <w:r>
        <w:rPr>
          <w:rFonts w:ascii="Garamond" w:hAnsi="Garamond"/>
          <w:sz w:val="24"/>
        </w:rPr>
        <w:t>u skladu s člankom 2. točkom (a) i člankom 25. stavkom 1. Uredbe sa zakonskom snagom br. 29/2022 od 7. travnja, u vezi s odredbama članka 1. stavka 4. Uredbe priložene Pravilniku br. 211/2022 od 23. kolovoza, Vlada putem državnog tajnika za gospodarstvo utvrđuje sljedeće:</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0E7B45">
      <w:pPr>
        <w:spacing w:after="120" w:line="360" w:lineRule="auto"/>
        <w:jc w:val="center"/>
        <w:rPr>
          <w:rFonts w:ascii="Garamond" w:hAnsi="Garamond" w:cs="Arial"/>
          <w:b/>
          <w:bCs/>
          <w:sz w:val="24"/>
          <w:szCs w:val="24"/>
        </w:rPr>
      </w:pPr>
      <w:r>
        <w:rPr>
          <w:rFonts w:ascii="Garamond" w:hAnsi="Garamond"/>
          <w:sz w:val="24"/>
        </w:rPr>
        <w:t>Članak 1.</w:t>
      </w:r>
    </w:p>
    <w:p w14:paraId="1BA6C310"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Predmet</w:t>
      </w:r>
    </w:p>
    <w:p w14:paraId="02F0580C" w14:textId="4858DA5D" w:rsidR="00572E2D" w:rsidRPr="003D5AFB" w:rsidRDefault="00503EE6" w:rsidP="00501FB0">
      <w:pPr>
        <w:spacing w:after="120" w:line="360" w:lineRule="auto"/>
        <w:jc w:val="both"/>
        <w:rPr>
          <w:rFonts w:ascii="Garamond" w:hAnsi="Garamond" w:cs="Arial"/>
          <w:sz w:val="24"/>
          <w:szCs w:val="24"/>
        </w:rPr>
      </w:pPr>
      <w:r>
        <w:rPr>
          <w:rFonts w:ascii="Garamond" w:hAnsi="Garamond"/>
          <w:sz w:val="24"/>
        </w:rPr>
        <w:t>Ovime se odobravaju Propisi o zakonskom mjeriteljskom nadzoru nad uređajima za mjerenje zamućenosti ispušnih plinova, koji su priloženi ovom Pravilniku i čine njegov sastavni dio.</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Članak 2.</w:t>
      </w:r>
    </w:p>
    <w:p w14:paraId="209921D8"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Odredba o stavljanju izvan snage</w:t>
      </w:r>
    </w:p>
    <w:p w14:paraId="2DB40EAF" w14:textId="1318F5B8" w:rsidR="00503EE6" w:rsidRPr="003D5AFB" w:rsidRDefault="00503EE6" w:rsidP="00501FB0">
      <w:pPr>
        <w:spacing w:after="120" w:line="360" w:lineRule="auto"/>
        <w:jc w:val="both"/>
        <w:rPr>
          <w:rFonts w:ascii="Garamond" w:hAnsi="Garamond" w:cs="Arial"/>
          <w:sz w:val="24"/>
          <w:szCs w:val="24"/>
        </w:rPr>
      </w:pPr>
      <w:r>
        <w:rPr>
          <w:rFonts w:ascii="Garamond" w:hAnsi="Garamond"/>
          <w:sz w:val="24"/>
        </w:rPr>
        <w:t>Pravilnik br. 797/2009 od 1. prosinca stavlja se izvan snage.</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Članak 3.</w:t>
      </w:r>
    </w:p>
    <w:p w14:paraId="05D48045"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Stupanje na snagu</w:t>
      </w:r>
    </w:p>
    <w:p w14:paraId="06329FD8" w14:textId="0217627E" w:rsidR="000D5C89" w:rsidRPr="000E7B45" w:rsidRDefault="000D5C89" w:rsidP="000D5C89">
      <w:pPr>
        <w:spacing w:after="120" w:line="360" w:lineRule="auto"/>
        <w:jc w:val="both"/>
        <w:rPr>
          <w:rFonts w:ascii="Garamond" w:hAnsi="Garamond" w:cs="Arial"/>
          <w:sz w:val="24"/>
          <w:szCs w:val="24"/>
        </w:rPr>
      </w:pPr>
      <w:r>
        <w:rPr>
          <w:rFonts w:ascii="Garamond" w:hAnsi="Garamond"/>
          <w:sz w:val="24"/>
        </w:rPr>
        <w:t>Ovaj Pravilnik stupa na snagu sljedećeg dana od dana objave.</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rFonts w:ascii="Garamond" w:hAnsi="Garamond" w:cs="Arial"/>
          <w:sz w:val="24"/>
          <w:szCs w:val="24"/>
        </w:rPr>
      </w:pPr>
      <w:r>
        <w:rPr>
          <w:rFonts w:ascii="Garamond" w:hAnsi="Garamond"/>
          <w:sz w:val="24"/>
        </w:rPr>
        <w:t xml:space="preserve">xx xxxxxx 2023. – Državni tajnik za gospodarstvo, </w:t>
      </w:r>
      <w:r>
        <w:rPr>
          <w:rFonts w:ascii="Garamond" w:hAnsi="Garamond"/>
          <w:i/>
          <w:sz w:val="24"/>
        </w:rPr>
        <w:t>Pedro Cilínio</w:t>
      </w:r>
      <w:r>
        <w:rPr>
          <w:rFonts w:ascii="Garamond" w:hAnsi="Garamond"/>
          <w:sz w:val="24"/>
        </w:rPr>
        <w:t>.</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rFonts w:ascii="Garamond" w:hAnsi="Garamond" w:cs="Arial"/>
          <w:sz w:val="24"/>
          <w:szCs w:val="24"/>
        </w:rPr>
      </w:pPr>
      <w:r>
        <w:br w:type="page"/>
      </w:r>
    </w:p>
    <w:p w14:paraId="67F457C7" w14:textId="010A1BD5" w:rsidR="00503EE6" w:rsidRPr="003D5AFB" w:rsidRDefault="00503EE6" w:rsidP="00BF69F3">
      <w:pPr>
        <w:spacing w:after="120" w:line="360" w:lineRule="auto"/>
        <w:jc w:val="center"/>
        <w:rPr>
          <w:rFonts w:ascii="Garamond" w:hAnsi="Garamond" w:cs="Arial"/>
          <w:sz w:val="24"/>
          <w:szCs w:val="24"/>
        </w:rPr>
      </w:pPr>
      <w:r>
        <w:rPr>
          <w:rFonts w:ascii="Garamond" w:hAnsi="Garamond"/>
          <w:sz w:val="24"/>
        </w:rPr>
        <w:lastRenderedPageBreak/>
        <w:t>PRILOG</w:t>
      </w:r>
    </w:p>
    <w:p w14:paraId="7BBDD6D4" w14:textId="792EC905" w:rsidR="00B55531" w:rsidRPr="003D5AFB" w:rsidRDefault="00B55531" w:rsidP="000E7B45">
      <w:pPr>
        <w:spacing w:after="120" w:line="360" w:lineRule="auto"/>
        <w:jc w:val="center"/>
        <w:rPr>
          <w:rFonts w:ascii="Garamond" w:hAnsi="Garamond" w:cs="Arial"/>
          <w:b/>
          <w:bCs/>
          <w:sz w:val="24"/>
          <w:szCs w:val="24"/>
        </w:rPr>
      </w:pPr>
      <w:r>
        <w:rPr>
          <w:rFonts w:ascii="Garamond" w:hAnsi="Garamond"/>
          <w:b/>
          <w:sz w:val="24"/>
        </w:rPr>
        <w:t>PROPISI O ZAKONSKOM MJERITELJSKOM NADZORU NAD UREĐAJIMA ZA MJERENJE ZAMUĆENOSTI ISPUŠNIH PLINOVA</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Članak 1.</w:t>
      </w:r>
    </w:p>
    <w:p w14:paraId="67D520C6"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Područje primjene</w:t>
      </w:r>
    </w:p>
    <w:p w14:paraId="4356A378" w14:textId="58CC8C8E" w:rsidR="00B55531" w:rsidRPr="003D5AFB" w:rsidRDefault="00B55531" w:rsidP="000E7B45">
      <w:pPr>
        <w:spacing w:after="120" w:line="360" w:lineRule="auto"/>
        <w:jc w:val="both"/>
        <w:rPr>
          <w:rFonts w:ascii="Garamond" w:hAnsi="Garamond" w:cs="Arial"/>
          <w:sz w:val="24"/>
          <w:szCs w:val="24"/>
        </w:rPr>
      </w:pPr>
      <w:r>
        <w:rPr>
          <w:rFonts w:ascii="Garamond" w:hAnsi="Garamond"/>
          <w:sz w:val="24"/>
        </w:rPr>
        <w:t>Ovi se Propisi primjenjuju na uređaje za mjerenje zamućenosti ispušnih plinova iz vozila na dizelski pogon.</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Članak 2.</w:t>
      </w:r>
    </w:p>
    <w:p w14:paraId="5FB19F42" w14:textId="3A391A93"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 xml:space="preserve">Definicija </w:t>
      </w:r>
    </w:p>
    <w:p w14:paraId="216E5843" w14:textId="78AA9014" w:rsidR="00A57A1C" w:rsidRDefault="00E144AF" w:rsidP="000E7B45">
      <w:pPr>
        <w:spacing w:after="120" w:line="360" w:lineRule="auto"/>
        <w:jc w:val="both"/>
        <w:rPr>
          <w:rFonts w:ascii="Garamond" w:hAnsi="Garamond" w:cs="Arial"/>
          <w:sz w:val="24"/>
          <w:szCs w:val="24"/>
        </w:rPr>
      </w:pPr>
      <w:r>
        <w:rPr>
          <w:rFonts w:ascii="Garamond" w:hAnsi="Garamond"/>
          <w:sz w:val="24"/>
        </w:rPr>
        <w:t>Za potrebe ovih Propisa uređaji za mjerenje zamućenosti ispušnih plinova znači instrumenti projektirani za neprestano mjerenje zamućenosti ispušnih plinova koje ispuštaju vozila.</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rFonts w:ascii="Garamond" w:hAnsi="Garamond" w:cs="Arial"/>
          <w:sz w:val="24"/>
          <w:szCs w:val="24"/>
        </w:rPr>
      </w:pPr>
      <w:bookmarkStart w:id="1" w:name="_Hlk63432496"/>
      <w:r>
        <w:rPr>
          <w:rFonts w:ascii="Garamond" w:hAnsi="Garamond"/>
          <w:sz w:val="24"/>
        </w:rPr>
        <w:t>Članak 3.</w:t>
      </w:r>
    </w:p>
    <w:bookmarkEnd w:id="1"/>
    <w:p w14:paraId="58D3E434" w14:textId="77777777"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Puštanje u uporabu</w:t>
      </w:r>
    </w:p>
    <w:p w14:paraId="53E67223" w14:textId="39B9CF21" w:rsidR="006D605C" w:rsidRPr="003D5AFB" w:rsidRDefault="006D605C" w:rsidP="006D605C">
      <w:pPr>
        <w:spacing w:after="120" w:line="360" w:lineRule="auto"/>
        <w:jc w:val="both"/>
        <w:rPr>
          <w:rFonts w:ascii="Garamond" w:hAnsi="Garamond" w:cs="Arial"/>
          <w:sz w:val="24"/>
          <w:szCs w:val="24"/>
        </w:rPr>
      </w:pPr>
      <w:r>
        <w:rPr>
          <w:rFonts w:ascii="Garamond" w:hAnsi="Garamond"/>
          <w:sz w:val="24"/>
        </w:rPr>
        <w:t xml:space="preserve">Uređaji za mjerenje zamućenosti ispušnih plinova moraju ispunjavati mjeriteljske i tehničke zahtjeve utvrđene </w:t>
      </w:r>
      <w:bookmarkStart w:id="2" w:name="_Hlk63409046"/>
      <w:bookmarkStart w:id="3" w:name="_Hlk63674255"/>
      <w:r>
        <w:rPr>
          <w:rFonts w:ascii="Garamond" w:hAnsi="Garamond"/>
          <w:sz w:val="24"/>
        </w:rPr>
        <w:t xml:space="preserve">u </w:t>
      </w:r>
      <w:bookmarkEnd w:id="2"/>
      <w:bookmarkEnd w:id="3"/>
      <w:r>
        <w:rPr>
          <w:rFonts w:ascii="Garamond" w:hAnsi="Garamond"/>
          <w:sz w:val="24"/>
        </w:rPr>
        <w:t>normi ISO 11614.</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rFonts w:ascii="Garamond" w:hAnsi="Garamond" w:cs="Arial"/>
          <w:sz w:val="24"/>
          <w:szCs w:val="24"/>
        </w:rPr>
      </w:pPr>
      <w:r>
        <w:rPr>
          <w:rFonts w:ascii="Garamond" w:hAnsi="Garamond"/>
          <w:sz w:val="24"/>
        </w:rPr>
        <w:t>Članak 4.</w:t>
      </w:r>
    </w:p>
    <w:p w14:paraId="75DB895D" w14:textId="58B82272" w:rsidR="00C75076" w:rsidRPr="003D5AFB" w:rsidRDefault="00597F39" w:rsidP="000E7B45">
      <w:pPr>
        <w:spacing w:after="120" w:line="360" w:lineRule="auto"/>
        <w:jc w:val="center"/>
        <w:rPr>
          <w:rFonts w:ascii="Garamond" w:hAnsi="Garamond" w:cs="Arial"/>
          <w:sz w:val="24"/>
          <w:szCs w:val="24"/>
        </w:rPr>
      </w:pPr>
      <w:r>
        <w:rPr>
          <w:rFonts w:ascii="Garamond" w:hAnsi="Garamond"/>
          <w:b/>
          <w:sz w:val="24"/>
        </w:rPr>
        <w:t>Očitanja</w:t>
      </w:r>
    </w:p>
    <w:p w14:paraId="7F87933E" w14:textId="542F813F"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(1) Očitanje uređaja za mjerenje zamućenosti ispušnih plinova izražava se pomoću koeficijenta apsorpcije svjetlosti, koji predstavlja simbol k, u jedinici m</w:t>
      </w:r>
      <w:r>
        <w:rPr>
          <w:rFonts w:ascii="Garamond" w:hAnsi="Garamond"/>
          <w:sz w:val="24"/>
          <w:vertAlign w:val="superscript"/>
        </w:rPr>
        <w:t>-1</w:t>
      </w:r>
      <w:r>
        <w:rPr>
          <w:rFonts w:ascii="Garamond" w:hAnsi="Garamond"/>
          <w:sz w:val="24"/>
        </w:rPr>
        <w:t>.</w:t>
      </w:r>
    </w:p>
    <w:p w14:paraId="0F28A0DF" w14:textId="3D7E2FD2"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(2) Vrijednosti zamućenosti izražavaju se u postocima pomoću simbola N.</w:t>
      </w:r>
    </w:p>
    <w:p w14:paraId="7B029027" w14:textId="571AF0FE" w:rsidR="001B79B7" w:rsidRPr="003D5AFB" w:rsidRDefault="00197A36" w:rsidP="00197A36">
      <w:pPr>
        <w:spacing w:after="120" w:line="360" w:lineRule="auto"/>
        <w:jc w:val="both"/>
        <w:rPr>
          <w:rFonts w:ascii="Garamond" w:hAnsi="Garamond" w:cs="Arial"/>
          <w:sz w:val="24"/>
          <w:szCs w:val="24"/>
        </w:rPr>
      </w:pPr>
      <w:r>
        <w:rPr>
          <w:rFonts w:ascii="Garamond" w:hAnsi="Garamond"/>
          <w:sz w:val="24"/>
        </w:rPr>
        <w:t>(3) Ako je konverzijski faktor propisno izražen, mogu se prihvatiti druge jednakovrijedne jedinice na temelju jedinica Međunarodnog sustava jedinica (SI).</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8C2EBC">
      <w:pPr>
        <w:keepNext/>
        <w:spacing w:after="120" w:line="360" w:lineRule="auto"/>
        <w:jc w:val="center"/>
        <w:rPr>
          <w:rFonts w:ascii="Garamond" w:hAnsi="Garamond" w:cs="Arial"/>
          <w:sz w:val="24"/>
          <w:szCs w:val="24"/>
        </w:rPr>
      </w:pPr>
      <w:r>
        <w:rPr>
          <w:rFonts w:ascii="Garamond" w:hAnsi="Garamond"/>
          <w:sz w:val="24"/>
        </w:rPr>
        <w:lastRenderedPageBreak/>
        <w:t>Članak 5.</w:t>
      </w:r>
    </w:p>
    <w:p w14:paraId="7A1BEF1E" w14:textId="77777777" w:rsidR="00503EE6" w:rsidRPr="003D5AFB" w:rsidRDefault="00503EE6" w:rsidP="005024E2">
      <w:pPr>
        <w:spacing w:after="120" w:line="360" w:lineRule="auto"/>
        <w:jc w:val="center"/>
        <w:rPr>
          <w:rFonts w:ascii="Garamond" w:hAnsi="Garamond" w:cs="Arial"/>
          <w:b/>
          <w:bCs/>
          <w:sz w:val="24"/>
          <w:szCs w:val="24"/>
        </w:rPr>
      </w:pPr>
      <w:r>
        <w:rPr>
          <w:rFonts w:ascii="Garamond" w:hAnsi="Garamond"/>
          <w:b/>
          <w:sz w:val="24"/>
        </w:rPr>
        <w:t>Zakonski mjeriteljski nadzor</w:t>
      </w:r>
    </w:p>
    <w:p w14:paraId="1A8C137B" w14:textId="3F9C24C1" w:rsidR="00A57A1C" w:rsidRPr="003D5AFB" w:rsidRDefault="00503EE6" w:rsidP="005024E2">
      <w:pPr>
        <w:spacing w:after="120" w:line="360" w:lineRule="auto"/>
        <w:jc w:val="both"/>
        <w:rPr>
          <w:rFonts w:ascii="Garamond" w:hAnsi="Garamond" w:cs="Arial"/>
          <w:sz w:val="24"/>
          <w:szCs w:val="24"/>
        </w:rPr>
      </w:pPr>
      <w:r>
        <w:rPr>
          <w:rFonts w:ascii="Garamond" w:hAnsi="Garamond"/>
          <w:sz w:val="24"/>
        </w:rPr>
        <w:t xml:space="preserve">Za zakonski mjeriteljski nadzor </w:t>
      </w:r>
      <w:bookmarkStart w:id="4" w:name="_Hlk106875133"/>
      <w:r>
        <w:rPr>
          <w:rFonts w:ascii="Garamond" w:hAnsi="Garamond"/>
          <w:sz w:val="24"/>
        </w:rPr>
        <w:t xml:space="preserve">uređaja za mjerenje zamućenosti ispušnih plinova </w:t>
      </w:r>
      <w:bookmarkEnd w:id="4"/>
      <w:r>
        <w:rPr>
          <w:rFonts w:ascii="Garamond" w:hAnsi="Garamond"/>
          <w:sz w:val="24"/>
        </w:rPr>
        <w:t>odgovoran je Portugalski institut za kvalitetu, I. P. (IPQ, I. P.), i obuhvaća postupke odobrenja tipa, prve provjere, redovne provjere i izvanredne provjere.</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rFonts w:ascii="Garamond" w:hAnsi="Garamond" w:cs="Arial"/>
          <w:sz w:val="24"/>
          <w:szCs w:val="24"/>
        </w:rPr>
      </w:pPr>
      <w:r>
        <w:rPr>
          <w:rFonts w:ascii="Garamond" w:hAnsi="Garamond"/>
          <w:sz w:val="24"/>
        </w:rPr>
        <w:t>Članak 6.</w:t>
      </w:r>
    </w:p>
    <w:p w14:paraId="2FD67190" w14:textId="19023FF4" w:rsidR="00503EE6" w:rsidRPr="003D5AFB" w:rsidRDefault="00727801" w:rsidP="00104E49">
      <w:pPr>
        <w:spacing w:after="120" w:line="360" w:lineRule="auto"/>
        <w:jc w:val="center"/>
        <w:rPr>
          <w:rFonts w:ascii="Garamond" w:hAnsi="Garamond" w:cs="Arial"/>
          <w:b/>
          <w:bCs/>
          <w:sz w:val="24"/>
          <w:szCs w:val="24"/>
        </w:rPr>
      </w:pPr>
      <w:r>
        <w:rPr>
          <w:rFonts w:ascii="Garamond" w:hAnsi="Garamond"/>
          <w:b/>
          <w:sz w:val="24"/>
        </w:rPr>
        <w:t>Odobrenje tipa</w:t>
      </w:r>
    </w:p>
    <w:p w14:paraId="07DF1D43" w14:textId="149EC1C6" w:rsidR="00BF3396" w:rsidRDefault="00BF3396" w:rsidP="00BF3396">
      <w:pPr>
        <w:spacing w:after="120" w:line="360" w:lineRule="auto"/>
        <w:jc w:val="both"/>
        <w:rPr>
          <w:rFonts w:ascii="Garamond" w:hAnsi="Garamond"/>
          <w:sz w:val="24"/>
          <w:szCs w:val="24"/>
        </w:rPr>
      </w:pPr>
      <w:r>
        <w:rPr>
          <w:rFonts w:ascii="Garamond" w:hAnsi="Garamond"/>
          <w:sz w:val="24"/>
        </w:rPr>
        <w:t>(1) Odobrenje tipa mora biti u skladu sa zahtjevima iz članka 7. Uredbe sa zakonskom snagom br. 29/2022 od 7. travnja i članka 2. Uredbe priložene Pravilniku br. 211/2022 od 23. kolovoza.</w:t>
      </w:r>
    </w:p>
    <w:p w14:paraId="157246D2" w14:textId="297C8A92" w:rsidR="00BF3396" w:rsidRDefault="00BF3396" w:rsidP="00BF3396">
      <w:pPr>
        <w:spacing w:after="120" w:line="360" w:lineRule="auto"/>
        <w:jc w:val="both"/>
        <w:rPr>
          <w:rFonts w:ascii="Garamond" w:hAnsi="Garamond"/>
          <w:color w:val="000000"/>
          <w:sz w:val="24"/>
          <w:szCs w:val="24"/>
        </w:rPr>
      </w:pPr>
      <w:r>
        <w:rPr>
          <w:rFonts w:ascii="Garamond" w:hAnsi="Garamond"/>
          <w:sz w:val="24"/>
        </w:rPr>
        <w:t>(2) Tijekom razdoblja valjanosti odobrenja tipa sve izmjene odobrenog tipa, neovisno o tome je li do njih došlo zamjenom sastavnih dijelova, dodavanjem dodatnog uređaja, promjenom računalnog programa (softvera) ili izmjenama koje mogu utjecati na rezultate mjerenja ili regulatorne uvjete uporabe, zahtijevaju dodatno odobrenje tipa.</w:t>
      </w:r>
    </w:p>
    <w:p w14:paraId="5C139199" w14:textId="0E76FCE2" w:rsidR="00BF3396" w:rsidRDefault="00BF3396" w:rsidP="00BF3396">
      <w:pPr>
        <w:spacing w:after="120" w:line="360" w:lineRule="auto"/>
        <w:jc w:val="both"/>
        <w:rPr>
          <w:rFonts w:ascii="Garamond" w:hAnsi="Garamond"/>
          <w:color w:val="000000"/>
          <w:sz w:val="24"/>
          <w:szCs w:val="24"/>
        </w:rPr>
      </w:pPr>
      <w:r>
        <w:rPr>
          <w:rFonts w:ascii="Garamond" w:hAnsi="Garamond"/>
          <w:color w:val="000000"/>
          <w:sz w:val="24"/>
        </w:rPr>
        <w:t xml:space="preserve">(3) Računalnim programima koje upotrebljavaju </w:t>
      </w:r>
      <w:bookmarkStart w:id="5" w:name="_Hlk126936097"/>
      <w:r>
        <w:rPr>
          <w:rFonts w:ascii="Garamond" w:hAnsi="Garamond"/>
          <w:sz w:val="24"/>
        </w:rPr>
        <w:t>uređaji za mjerenje zamućenosti ispušnih plinova</w:t>
      </w:r>
      <w:r>
        <w:rPr>
          <w:rFonts w:ascii="Garamond" w:hAnsi="Garamond"/>
          <w:color w:val="000000"/>
          <w:sz w:val="24"/>
        </w:rPr>
        <w:t xml:space="preserve"> </w:t>
      </w:r>
      <w:bookmarkEnd w:id="5"/>
      <w:r>
        <w:rPr>
          <w:rFonts w:ascii="Garamond" w:hAnsi="Garamond"/>
          <w:color w:val="000000"/>
          <w:sz w:val="24"/>
        </w:rPr>
        <w:t>moraju biti zajamčene cjelovitost i povjerljivost dobivenih i dostavljenih podataka, a također moraju biti podložni jedinstvenoj i nedvosmislenoj identifikaciji.</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rFonts w:ascii="Garamond" w:hAnsi="Garamond" w:cs="Arial"/>
          <w:sz w:val="24"/>
          <w:szCs w:val="24"/>
        </w:rPr>
      </w:pPr>
      <w:r>
        <w:rPr>
          <w:rFonts w:ascii="Garamond" w:hAnsi="Garamond"/>
          <w:sz w:val="24"/>
        </w:rPr>
        <w:t>Članak 7.</w:t>
      </w:r>
    </w:p>
    <w:p w14:paraId="34626D98" w14:textId="7B508073" w:rsidR="00F97B29" w:rsidRPr="003D5AFB" w:rsidRDefault="00570BD9" w:rsidP="002C68EA">
      <w:pPr>
        <w:spacing w:after="120" w:line="360" w:lineRule="auto"/>
        <w:jc w:val="center"/>
        <w:rPr>
          <w:rFonts w:ascii="Garamond" w:hAnsi="Garamond" w:cs="Arial"/>
          <w:b/>
          <w:bCs/>
          <w:sz w:val="24"/>
          <w:szCs w:val="24"/>
        </w:rPr>
      </w:pPr>
      <w:r>
        <w:rPr>
          <w:rFonts w:ascii="Garamond" w:hAnsi="Garamond"/>
          <w:b/>
          <w:sz w:val="24"/>
        </w:rPr>
        <w:t>Prva provjera</w:t>
      </w:r>
    </w:p>
    <w:p w14:paraId="43E5DF15" w14:textId="05439965" w:rsidR="0087542F" w:rsidRPr="003D5AFB" w:rsidRDefault="0087542F" w:rsidP="002C68EA">
      <w:pPr>
        <w:spacing w:after="120" w:line="360" w:lineRule="auto"/>
        <w:jc w:val="both"/>
        <w:rPr>
          <w:rFonts w:ascii="Garamond" w:hAnsi="Garamond" w:cs="Arial"/>
          <w:sz w:val="24"/>
          <w:szCs w:val="24"/>
        </w:rPr>
      </w:pPr>
      <w:r>
        <w:rPr>
          <w:rFonts w:ascii="Garamond" w:hAnsi="Garamond"/>
          <w:sz w:val="24"/>
        </w:rPr>
        <w:t>(1) Prva provjera provodi se prije stavljanja instrumenta na tržište ili nakon njegova popravka te svaki put kad dođe do kvara na sustavu brtvljenja, pri čemu se te godine ne provodi redovna provjera, s istim razdobljem valjanosti.</w:t>
      </w:r>
    </w:p>
    <w:p w14:paraId="5A2368F9" w14:textId="167DAACC" w:rsidR="003842F2" w:rsidRPr="003D5AFB" w:rsidRDefault="003842F2" w:rsidP="002C68EA">
      <w:pPr>
        <w:spacing w:after="120" w:line="360" w:lineRule="auto"/>
        <w:jc w:val="both"/>
        <w:rPr>
          <w:rFonts w:ascii="Garamond" w:hAnsi="Garamond" w:cs="Arial"/>
          <w:sz w:val="24"/>
          <w:szCs w:val="24"/>
        </w:rPr>
      </w:pPr>
      <w:r>
        <w:rPr>
          <w:rFonts w:ascii="Garamond" w:hAnsi="Garamond"/>
          <w:sz w:val="24"/>
        </w:rPr>
        <w:t>(2) Ispitivanja u okviru prve provjere provode se u skladu s mjeriteljskim i tehničkim zahtjevima utvrđenima u članku 3. ovih Propisa.</w:t>
      </w:r>
    </w:p>
    <w:p w14:paraId="320CE689" w14:textId="6E0E1DB0" w:rsidR="00A17F17" w:rsidRDefault="003842F2" w:rsidP="00A17F17">
      <w:pPr>
        <w:jc w:val="both"/>
        <w:rPr>
          <w:rFonts w:ascii="Garamond" w:hAnsi="Garamond" w:cs="Arial"/>
          <w:sz w:val="24"/>
          <w:szCs w:val="24"/>
        </w:rPr>
      </w:pPr>
      <w:bookmarkStart w:id="6" w:name="_Hlk63414812"/>
      <w:r>
        <w:rPr>
          <w:rFonts w:ascii="Garamond" w:hAnsi="Garamond"/>
          <w:sz w:val="24"/>
        </w:rPr>
        <w:t>(3)</w:t>
      </w:r>
      <w:bookmarkEnd w:id="6"/>
      <w:r>
        <w:rPr>
          <w:rFonts w:ascii="Garamond" w:hAnsi="Garamond"/>
          <w:sz w:val="24"/>
        </w:rPr>
        <w:t xml:space="preserve"> Najveće dopuštene vrijednosti pogreške za prvu provjeru iznose ± 2 % zamućenosti, N.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8C2EBC">
      <w:pPr>
        <w:keepNext/>
        <w:spacing w:after="120" w:line="360" w:lineRule="auto"/>
        <w:jc w:val="center"/>
        <w:rPr>
          <w:rFonts w:ascii="Garamond" w:hAnsi="Garamond" w:cs="Arial"/>
          <w:sz w:val="24"/>
          <w:szCs w:val="24"/>
        </w:rPr>
      </w:pPr>
      <w:r>
        <w:rPr>
          <w:rFonts w:ascii="Garamond" w:hAnsi="Garamond"/>
          <w:sz w:val="24"/>
        </w:rPr>
        <w:lastRenderedPageBreak/>
        <w:t>Članak 8.</w:t>
      </w:r>
    </w:p>
    <w:p w14:paraId="177F56D3" w14:textId="77777777" w:rsidR="00503EE6" w:rsidRPr="003D5AFB" w:rsidRDefault="00503EE6" w:rsidP="008C2EBC">
      <w:pPr>
        <w:keepNext/>
        <w:spacing w:after="120" w:line="360" w:lineRule="auto"/>
        <w:jc w:val="center"/>
        <w:rPr>
          <w:rFonts w:ascii="Garamond" w:hAnsi="Garamond" w:cs="Arial"/>
          <w:b/>
          <w:bCs/>
          <w:sz w:val="24"/>
          <w:szCs w:val="24"/>
        </w:rPr>
      </w:pPr>
      <w:r>
        <w:rPr>
          <w:rFonts w:ascii="Garamond" w:hAnsi="Garamond"/>
          <w:b/>
          <w:sz w:val="24"/>
        </w:rPr>
        <w:t>Redovna provjera</w:t>
      </w:r>
    </w:p>
    <w:p w14:paraId="62D7103A" w14:textId="3D028C7A" w:rsidR="005E797A" w:rsidRDefault="005E797A" w:rsidP="005E797A">
      <w:pPr>
        <w:spacing w:after="120" w:line="360" w:lineRule="auto"/>
        <w:jc w:val="both"/>
        <w:rPr>
          <w:rFonts w:ascii="Garamond" w:hAnsi="Garamond" w:cs="Arial"/>
          <w:sz w:val="24"/>
          <w:szCs w:val="24"/>
        </w:rPr>
      </w:pPr>
      <w:bookmarkStart w:id="7" w:name="_Hlk107869984"/>
      <w:bookmarkStart w:id="8" w:name="_Hlk107936171"/>
      <w:r>
        <w:rPr>
          <w:rFonts w:ascii="Garamond" w:hAnsi="Garamond"/>
          <w:sz w:val="24"/>
        </w:rPr>
        <w:t>(1) Redovna provjera provodi se na godišnjoj osnovi i vrijedi godinu dana nakon provedbe.</w:t>
      </w:r>
    </w:p>
    <w:bookmarkEnd w:id="7"/>
    <w:bookmarkEnd w:id="8"/>
    <w:p w14:paraId="583B7830" w14:textId="4D5C067E" w:rsidR="002B5F8C" w:rsidRPr="003D5AFB" w:rsidRDefault="002B5F8C" w:rsidP="002B5F8C">
      <w:pPr>
        <w:spacing w:after="120" w:line="360" w:lineRule="auto"/>
        <w:jc w:val="both"/>
        <w:rPr>
          <w:rFonts w:ascii="Garamond" w:hAnsi="Garamond" w:cs="Arial"/>
          <w:sz w:val="24"/>
          <w:szCs w:val="24"/>
        </w:rPr>
      </w:pPr>
      <w:r>
        <w:rPr>
          <w:rFonts w:ascii="Garamond" w:hAnsi="Garamond"/>
          <w:sz w:val="24"/>
        </w:rPr>
        <w:t>(2) Ispitivanja u okviru redovne provjere jednaka su ispitivanjima utvrđenima za prvu provjeru.</w:t>
      </w:r>
    </w:p>
    <w:p w14:paraId="6E7C93C7" w14:textId="5E71EEB5" w:rsidR="0073637C" w:rsidRPr="003D5AFB" w:rsidRDefault="002B5F8C">
      <w:pPr>
        <w:spacing w:after="120" w:line="360" w:lineRule="auto"/>
        <w:jc w:val="both"/>
        <w:rPr>
          <w:rFonts w:ascii="Garamond" w:hAnsi="Garamond" w:cs="Arial"/>
          <w:sz w:val="24"/>
          <w:szCs w:val="24"/>
        </w:rPr>
      </w:pPr>
      <w:r>
        <w:rPr>
          <w:rFonts w:ascii="Garamond" w:hAnsi="Garamond"/>
          <w:sz w:val="24"/>
        </w:rPr>
        <w:t>(3) Vrijednosti najvećih dopuštenih pogrešaka tijekom redovne provjere jednake su vrijednostima najvećih dopuštenih pogrešaka utvrđenima za prvu provjeru.</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t>Članak 9.</w:t>
      </w:r>
    </w:p>
    <w:p w14:paraId="62B7028E"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Izvanredna provjera</w:t>
      </w:r>
    </w:p>
    <w:p w14:paraId="21E9EEE9" w14:textId="5CC7507F" w:rsidR="00503EE6" w:rsidRPr="003D5AFB" w:rsidRDefault="00944E05" w:rsidP="002C68EA">
      <w:pPr>
        <w:spacing w:after="120" w:line="360" w:lineRule="auto"/>
        <w:jc w:val="both"/>
        <w:rPr>
          <w:rFonts w:ascii="Garamond" w:hAnsi="Garamond" w:cs="Arial"/>
          <w:sz w:val="24"/>
          <w:szCs w:val="24"/>
        </w:rPr>
      </w:pPr>
      <w:r>
        <w:rPr>
          <w:rFonts w:ascii="Garamond" w:hAnsi="Garamond"/>
          <w:sz w:val="24"/>
        </w:rPr>
        <w:t>(1) Izvanredna provjera uključuje ispitivanja u okviru redovne provjere.</w:t>
      </w:r>
    </w:p>
    <w:p w14:paraId="7447DA07" w14:textId="6567F499" w:rsidR="00503EE6" w:rsidRPr="003D5AFB" w:rsidRDefault="00503EE6">
      <w:pPr>
        <w:spacing w:after="120" w:line="360" w:lineRule="auto"/>
        <w:jc w:val="both"/>
        <w:rPr>
          <w:rFonts w:ascii="Garamond" w:hAnsi="Garamond" w:cs="Arial"/>
          <w:sz w:val="24"/>
          <w:szCs w:val="24"/>
        </w:rPr>
      </w:pPr>
      <w:r>
        <w:rPr>
          <w:rFonts w:ascii="Garamond" w:hAnsi="Garamond"/>
          <w:sz w:val="24"/>
        </w:rPr>
        <w:t>(2) Vrijednosti najvećih dopuštenih pogrešaka za izvanrednu provjeru jednake su vrijednostima najvećih dopuštenih pogrešaka utvrđenih za redovnu provjeru.</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rFonts w:ascii="Garamond" w:hAnsi="Garamond" w:cs="Arial"/>
          <w:sz w:val="24"/>
          <w:szCs w:val="24"/>
        </w:rPr>
      </w:pPr>
      <w:r>
        <w:rPr>
          <w:rFonts w:ascii="Garamond" w:hAnsi="Garamond"/>
          <w:sz w:val="24"/>
        </w:rPr>
        <w:t>Članak 10.</w:t>
      </w:r>
    </w:p>
    <w:p w14:paraId="39298155" w14:textId="53987728" w:rsidR="000A231E" w:rsidRPr="003D5AFB" w:rsidRDefault="000A231E" w:rsidP="007366C9">
      <w:pPr>
        <w:spacing w:after="120" w:line="360" w:lineRule="auto"/>
        <w:jc w:val="center"/>
        <w:rPr>
          <w:rFonts w:ascii="Garamond" w:hAnsi="Garamond" w:cs="Arial"/>
          <w:b/>
          <w:bCs/>
          <w:sz w:val="24"/>
          <w:szCs w:val="24"/>
        </w:rPr>
      </w:pPr>
      <w:r>
        <w:rPr>
          <w:rFonts w:ascii="Garamond" w:hAnsi="Garamond"/>
          <w:b/>
          <w:sz w:val="24"/>
        </w:rPr>
        <w:t>Natpisi i oznake</w:t>
      </w:r>
    </w:p>
    <w:p w14:paraId="7A96B35F" w14:textId="514B3BE3" w:rsidR="004A5897" w:rsidRPr="003D5AFB" w:rsidRDefault="004A5897" w:rsidP="00BF69F3">
      <w:pPr>
        <w:spacing w:after="120" w:line="360" w:lineRule="auto"/>
        <w:jc w:val="both"/>
        <w:rPr>
          <w:rFonts w:ascii="Garamond" w:hAnsi="Garamond" w:cs="Arial"/>
          <w:sz w:val="24"/>
          <w:szCs w:val="24"/>
        </w:rPr>
      </w:pPr>
      <w:bookmarkStart w:id="9" w:name="_Hlk82391725"/>
      <w:bookmarkStart w:id="10" w:name="_Hlk82391591"/>
      <w:r>
        <w:rPr>
          <w:rFonts w:ascii="Garamond" w:hAnsi="Garamond"/>
          <w:sz w:val="24"/>
        </w:rPr>
        <w:t>(1) Na uređajima za mjerenje zamućenosti ispušnih plinova moraju na vidljiv i čitljiv način biti prikazani natpisi i oznake u skladu s mjeriteljskim zahtjevima utvrđenima u članku 3. ovih Propisa.</w:t>
      </w:r>
    </w:p>
    <w:p w14:paraId="28620774" w14:textId="7685BCFA" w:rsidR="004A5897" w:rsidRPr="003D5AFB" w:rsidRDefault="004A5897" w:rsidP="00BF69F3">
      <w:pPr>
        <w:spacing w:after="120" w:line="360" w:lineRule="auto"/>
        <w:jc w:val="both"/>
        <w:rPr>
          <w:rFonts w:ascii="Garamond" w:hAnsi="Garamond" w:cs="Arial"/>
          <w:sz w:val="24"/>
          <w:szCs w:val="24"/>
        </w:rPr>
      </w:pPr>
      <w:r>
        <w:rPr>
          <w:rFonts w:ascii="Garamond" w:hAnsi="Garamond"/>
          <w:sz w:val="24"/>
        </w:rPr>
        <w:t>(2)</w:t>
      </w:r>
      <w:bookmarkEnd w:id="9"/>
      <w:r>
        <w:rPr>
          <w:rFonts w:ascii="Garamond" w:hAnsi="Garamond"/>
          <w:sz w:val="24"/>
        </w:rPr>
        <w:t xml:space="preserve"> Uređaji za mjerenje zamućenosti ispušnih plinova također moraju nositi simbol odobrenja tipa te ostale simbole ili upućivanja korisna za njihovu uporabu.</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BF69F3">
      <w:pPr>
        <w:spacing w:after="120" w:line="360" w:lineRule="auto"/>
        <w:jc w:val="center"/>
        <w:rPr>
          <w:rFonts w:ascii="Garamond" w:hAnsi="Garamond" w:cs="Arial"/>
          <w:sz w:val="24"/>
          <w:szCs w:val="24"/>
        </w:rPr>
      </w:pPr>
      <w:bookmarkStart w:id="11" w:name="_Hlk63417111"/>
      <w:r>
        <w:rPr>
          <w:rFonts w:ascii="Garamond" w:hAnsi="Garamond"/>
          <w:sz w:val="24"/>
        </w:rPr>
        <w:t>Članak 11.</w:t>
      </w:r>
    </w:p>
    <w:p w14:paraId="7F04099F" w14:textId="77777777" w:rsidR="00503EE6" w:rsidRPr="003D5AFB" w:rsidRDefault="00503EE6" w:rsidP="00BF69F3">
      <w:pPr>
        <w:spacing w:after="120" w:line="360" w:lineRule="auto"/>
        <w:jc w:val="center"/>
        <w:rPr>
          <w:rFonts w:ascii="Garamond" w:hAnsi="Garamond" w:cs="Arial"/>
          <w:b/>
          <w:bCs/>
          <w:sz w:val="24"/>
          <w:szCs w:val="24"/>
        </w:rPr>
      </w:pPr>
      <w:r>
        <w:rPr>
          <w:rFonts w:ascii="Garamond" w:hAnsi="Garamond"/>
          <w:b/>
          <w:sz w:val="24"/>
        </w:rPr>
        <w:t>Prijelazna odredba</w:t>
      </w:r>
    </w:p>
    <w:bookmarkEnd w:id="11"/>
    <w:p w14:paraId="441DDFF2" w14:textId="48C08D7A" w:rsidR="00D24055" w:rsidRPr="003D5AFB" w:rsidRDefault="00D24055" w:rsidP="00BF69F3">
      <w:pPr>
        <w:spacing w:after="120" w:line="360" w:lineRule="auto"/>
        <w:jc w:val="both"/>
        <w:rPr>
          <w:rFonts w:ascii="Garamond" w:hAnsi="Garamond" w:cs="Arial"/>
          <w:sz w:val="24"/>
          <w:szCs w:val="24"/>
        </w:rPr>
      </w:pPr>
      <w:r>
        <w:rPr>
          <w:rFonts w:ascii="Garamond" w:hAnsi="Garamond"/>
          <w:sz w:val="24"/>
        </w:rPr>
        <w:t>Instrumenti koji su u uporabi ostaju u uporabi sve dok su u dobrom stanju te sve dok tijekom ispitivanja u okviru mjeriteljske provjere prikazuju pogreške koje ne premašuju najveće dopuštene pogreške.</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BF69F3">
      <w:pPr>
        <w:spacing w:after="120" w:line="360" w:lineRule="auto"/>
        <w:jc w:val="center"/>
        <w:rPr>
          <w:rFonts w:ascii="Garamond" w:hAnsi="Garamond" w:cs="Arial"/>
          <w:sz w:val="24"/>
          <w:szCs w:val="24"/>
        </w:rPr>
      </w:pPr>
      <w:r>
        <w:rPr>
          <w:rFonts w:ascii="Garamond" w:hAnsi="Garamond"/>
          <w:sz w:val="24"/>
        </w:rPr>
        <w:lastRenderedPageBreak/>
        <w:t>Članak 12.</w:t>
      </w:r>
    </w:p>
    <w:p w14:paraId="00AFCFB4" w14:textId="2D0E9E49" w:rsidR="0014394D" w:rsidRPr="003D5AFB" w:rsidRDefault="00336A88" w:rsidP="00BF69F3">
      <w:pPr>
        <w:spacing w:after="120" w:line="360" w:lineRule="auto"/>
        <w:jc w:val="center"/>
        <w:rPr>
          <w:rFonts w:ascii="Garamond" w:hAnsi="Garamond" w:cs="Arial"/>
          <w:b/>
          <w:bCs/>
          <w:sz w:val="24"/>
          <w:szCs w:val="24"/>
        </w:rPr>
      </w:pPr>
      <w:r>
        <w:rPr>
          <w:rFonts w:ascii="Garamond" w:hAnsi="Garamond"/>
          <w:b/>
          <w:sz w:val="24"/>
        </w:rPr>
        <w:t xml:space="preserve">Konačna odredba </w:t>
      </w:r>
    </w:p>
    <w:p w14:paraId="745D5232" w14:textId="79E15894" w:rsidR="00181C8E" w:rsidRPr="003D5AFB" w:rsidRDefault="00181C8E" w:rsidP="00BF69F3">
      <w:pPr>
        <w:spacing w:after="120" w:line="360" w:lineRule="auto"/>
        <w:jc w:val="both"/>
        <w:rPr>
          <w:rFonts w:ascii="Garamond" w:hAnsi="Garamond" w:cs="Arial"/>
          <w:sz w:val="24"/>
          <w:szCs w:val="24"/>
        </w:rPr>
      </w:pPr>
      <w:r>
        <w:rPr>
          <w:rFonts w:ascii="Garamond" w:hAnsi="Garamond"/>
          <w:sz w:val="24"/>
        </w:rPr>
        <w:t>Odredbe prethodnih članaka ne sprečavaju stavljanje na tržište ili daljnju uporabu uređaja za mjerenje zamućenosti ispušnih plinova za koje su dostupne potvrde ocjenjivanju sukladnosti koje su izdala tijela priznata u skladu s primjenjivim zakonodavstvom Europske unije, u okviru zakonske mjeriteljske djelatnosti, na temelju specifikacija i postupaka kojima se osigurava mjeriteljska kakvoća istovjetna onoj iz ovih Propisa, pri čemu istovjetnost ocjenjuje IPQ, I.P.</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7FC3"/>
    <w:rsid w:val="00172C89"/>
    <w:rsid w:val="00181C8E"/>
    <w:rsid w:val="00187C7C"/>
    <w:rsid w:val="00191916"/>
    <w:rsid w:val="00197A36"/>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5AFB"/>
    <w:rsid w:val="003E427B"/>
    <w:rsid w:val="003E6488"/>
    <w:rsid w:val="003F0878"/>
    <w:rsid w:val="0043441C"/>
    <w:rsid w:val="00437F7F"/>
    <w:rsid w:val="004629AB"/>
    <w:rsid w:val="0047061A"/>
    <w:rsid w:val="00473279"/>
    <w:rsid w:val="004A5897"/>
    <w:rsid w:val="004D2E9B"/>
    <w:rsid w:val="004D6DB6"/>
    <w:rsid w:val="004E5050"/>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97C78"/>
    <w:rsid w:val="008A7813"/>
    <w:rsid w:val="008C2EBC"/>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Props1.xml><?xml version="1.0" encoding="utf-8"?>
<ds:datastoreItem xmlns:ds="http://schemas.openxmlformats.org/officeDocument/2006/customXml" ds:itemID="{3D0F512B-875A-4B06-8BC4-34DF7F15D44F}">
  <ds:schemaRefs>
    <ds:schemaRef ds:uri="http://schemas.microsoft.com/sharepoint/v3/contenttype/forms"/>
  </ds:schemaRefs>
</ds:datastoreItem>
</file>

<file path=customXml/itemProps2.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3.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917</Words>
  <Characters>5233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Liana Brili</cp:lastModifiedBy>
  <cp:revision>4</cp:revision>
  <dcterms:created xsi:type="dcterms:W3CDTF">2023-04-03T15:23:00Z</dcterms:created>
  <dcterms:modified xsi:type="dcterms:W3CDTF">2023-04-18T13:45:00Z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