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A5A5" w14:textId="602FEEEB"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ECONOMIA E AFFARI MARITTIMI</w:t>
      </w:r>
    </w:p>
    <w:p w14:paraId="4BE6550D"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Ufficio del sottosegretario di Stato all'Economia</w:t>
      </w:r>
    </w:p>
    <w:p w14:paraId="5E59B0B5"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lang w:eastAsia="pt-PT"/>
        </w:rPr>
      </w:pPr>
    </w:p>
    <w:p w14:paraId="31DCF98E" w14:textId="51AB327C"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Ordinanza n. XXX/2023</w:t>
      </w:r>
    </w:p>
    <w:p w14:paraId="055E8259" w14:textId="77777777" w:rsidR="00CD6108" w:rsidRPr="00912F31" w:rsidRDefault="00CD6108" w:rsidP="00CD6108">
      <w:pPr>
        <w:shd w:val="clear" w:color="auto" w:fill="FFFFFF" w:themeFill="background1"/>
        <w:spacing w:after="225" w:line="360" w:lineRule="auto"/>
        <w:rPr>
          <w:rFonts w:ascii="Garamond" w:eastAsia="Times New Roman" w:hAnsi="Garamond" w:cs="Times New Roman"/>
          <w:bCs/>
          <w:sz w:val="24"/>
          <w:szCs w:val="24"/>
          <w:lang w:eastAsia="pt-PT"/>
        </w:rPr>
      </w:pPr>
    </w:p>
    <w:p w14:paraId="15BB47EF" w14:textId="51345528" w:rsidR="00CD6108" w:rsidRDefault="00CD6108" w:rsidP="00CD6108">
      <w:pPr>
        <w:shd w:val="clear" w:color="auto" w:fill="FFFFFF" w:themeFill="background1"/>
        <w:spacing w:after="225" w:line="360" w:lineRule="auto"/>
        <w:jc w:val="both"/>
        <w:rPr>
          <w:rFonts w:ascii="Garamond" w:eastAsia="Times New Roman" w:hAnsi="Garamond" w:cs="Times New Roman"/>
          <w:bCs/>
          <w:sz w:val="24"/>
          <w:szCs w:val="24"/>
        </w:rPr>
      </w:pPr>
      <w:r>
        <w:rPr>
          <w:rFonts w:ascii="Garamond" w:hAnsi="Garamond"/>
          <w:sz w:val="24"/>
        </w:rPr>
        <w:t>Sintesi: Ordinanza recante regolamento sul controllo metrologico legale degli opacimetri.</w:t>
      </w:r>
    </w:p>
    <w:p w14:paraId="4AE88BD5" w14:textId="0D92811E" w:rsidR="00501FB0" w:rsidRDefault="00752C59" w:rsidP="00501FB0">
      <w:pPr>
        <w:spacing w:after="120" w:line="360" w:lineRule="auto"/>
        <w:jc w:val="both"/>
        <w:rPr>
          <w:rFonts w:ascii="Garamond" w:hAnsi="Garamond" w:cs="Arial"/>
          <w:sz w:val="24"/>
          <w:szCs w:val="24"/>
        </w:rPr>
      </w:pPr>
      <w:r>
        <w:rPr>
          <w:rFonts w:ascii="Garamond" w:hAnsi="Garamond"/>
          <w:sz w:val="24"/>
        </w:rPr>
        <w:t>Il controllo metrologico dei metodi e degli strumenti di misura in Portogallo è conforme al regime generale approvato con il decreto legge n. 29/2022 del 7 aprile, alle disposizioni normative generali stabilite nel regolamento generale sul controllo metrologico approvato con l'ordinanza n. 211/2022 del 23 agosto, nonché alle disposizioni contenute nelle ordinanze specifiche di ogni strumento di misura.</w:t>
      </w:r>
    </w:p>
    <w:p w14:paraId="0689E6B7" w14:textId="3B86FDFE" w:rsidR="00CB623B" w:rsidRDefault="00CB623B" w:rsidP="00B86C46">
      <w:pPr>
        <w:shd w:val="clear" w:color="auto" w:fill="FFFFFF" w:themeFill="background1"/>
        <w:spacing w:after="120" w:line="360" w:lineRule="auto"/>
        <w:jc w:val="both"/>
        <w:rPr>
          <w:rFonts w:ascii="Garamond" w:hAnsi="Garamond" w:cs="Arial"/>
          <w:sz w:val="24"/>
          <w:szCs w:val="24"/>
        </w:rPr>
      </w:pPr>
      <w:bookmarkStart w:id="0" w:name="_Hlk66124405"/>
      <w:r>
        <w:rPr>
          <w:rFonts w:ascii="Garamond" w:hAnsi="Garamond"/>
          <w:sz w:val="24"/>
        </w:rPr>
        <w:t>In vista della pubblicazione di questa posizione giuridica, si rende necessaria l'adozione del regolamento specifico che deve essere rispettato dal controllo metrologico degli opacimetri, abrogando l'ordinanza n. 797/2009 del 1° dicembre.</w:t>
      </w:r>
    </w:p>
    <w:p w14:paraId="44CADCEE" w14:textId="5BD42CB3" w:rsidR="00473279" w:rsidRPr="00B86C46" w:rsidRDefault="00473279" w:rsidP="00B86C46">
      <w:pPr>
        <w:shd w:val="clear" w:color="auto" w:fill="FFFFFF" w:themeFill="background1"/>
        <w:spacing w:after="120" w:line="360" w:lineRule="auto"/>
        <w:jc w:val="both"/>
        <w:rPr>
          <w:rFonts w:ascii="Garamond" w:eastAsia="Times New Roman" w:hAnsi="Garamond" w:cs="Times New Roman"/>
          <w:bCs/>
          <w:sz w:val="24"/>
          <w:szCs w:val="24"/>
        </w:rPr>
      </w:pPr>
      <w:r>
        <w:rPr>
          <w:rFonts w:ascii="Garamond" w:hAnsi="Garamond"/>
          <w:sz w:val="24"/>
        </w:rPr>
        <w:t>La presente ordinanza è stata soggetta alla procedura d'informazione nel settore delle regolamentazioni tecniche e delle norme sui servizi della società dell'informazione di cui alla direttiva (UE) 2015/1535 del Parlamento europeo e del Consiglio, del 9 settembre 2015.</w:t>
      </w:r>
    </w:p>
    <w:bookmarkEnd w:id="0"/>
    <w:p w14:paraId="03472A57" w14:textId="157F5F06" w:rsidR="00752C59" w:rsidRPr="003D5AFB" w:rsidRDefault="001E2713" w:rsidP="000E7B45">
      <w:pPr>
        <w:spacing w:after="120" w:line="360" w:lineRule="auto"/>
        <w:jc w:val="both"/>
        <w:rPr>
          <w:rFonts w:ascii="Garamond" w:hAnsi="Garamond" w:cs="Arial"/>
          <w:sz w:val="24"/>
          <w:szCs w:val="24"/>
        </w:rPr>
      </w:pPr>
      <w:r>
        <w:rPr>
          <w:rFonts w:ascii="Garamond" w:hAnsi="Garamond"/>
          <w:sz w:val="24"/>
        </w:rPr>
        <w:t>Pertanto:</w:t>
      </w:r>
    </w:p>
    <w:p w14:paraId="675622A4" w14:textId="215B8811" w:rsidR="00CB623B" w:rsidRPr="00CA3DB1" w:rsidRDefault="00CB623B" w:rsidP="00CB623B">
      <w:pPr>
        <w:spacing w:after="120" w:line="360" w:lineRule="auto"/>
        <w:jc w:val="both"/>
        <w:rPr>
          <w:rFonts w:ascii="Garamond" w:hAnsi="Garamond" w:cs="Arial"/>
          <w:sz w:val="24"/>
          <w:szCs w:val="24"/>
        </w:rPr>
      </w:pPr>
      <w:r>
        <w:rPr>
          <w:rFonts w:ascii="Garamond" w:hAnsi="Garamond"/>
          <w:sz w:val="24"/>
        </w:rPr>
        <w:t>Ai sensi dell'articolo 2, lettera a), e dell'articolo 25, paragrafo 1, del decreto legge n. 29/2022 del 7 aprile, in combinato disposto con le disposizioni dell'articolo 1, paragrafo 4, del regolamento allegato all'ordinanza n. 211/2022 del 23 agosto, il Governo, per mezzo del sottosegretario di Stato all'Economia, dà mandato di procedere come segue:</w:t>
      </w:r>
    </w:p>
    <w:p w14:paraId="222F76DE" w14:textId="77777777" w:rsidR="00DB3A4E" w:rsidRPr="003D5AFB" w:rsidRDefault="00DB3A4E" w:rsidP="000E7B45">
      <w:pPr>
        <w:spacing w:after="120" w:line="360" w:lineRule="auto"/>
        <w:jc w:val="center"/>
        <w:rPr>
          <w:rFonts w:ascii="Garamond" w:hAnsi="Garamond"/>
          <w:sz w:val="24"/>
          <w:szCs w:val="24"/>
        </w:rPr>
      </w:pPr>
    </w:p>
    <w:p w14:paraId="1AA088A4" w14:textId="127C5176" w:rsidR="00503EE6" w:rsidRPr="003D5AFB" w:rsidRDefault="00503EE6" w:rsidP="000E7B45">
      <w:pPr>
        <w:spacing w:after="120" w:line="360" w:lineRule="auto"/>
        <w:jc w:val="center"/>
        <w:rPr>
          <w:rFonts w:ascii="Garamond" w:hAnsi="Garamond" w:cs="Arial"/>
          <w:b/>
          <w:bCs/>
          <w:sz w:val="24"/>
          <w:szCs w:val="24"/>
        </w:rPr>
      </w:pPr>
      <w:r>
        <w:rPr>
          <w:rFonts w:ascii="Garamond" w:hAnsi="Garamond"/>
          <w:sz w:val="24"/>
        </w:rPr>
        <w:t>Articolo 1</w:t>
      </w:r>
    </w:p>
    <w:p w14:paraId="1BA6C310"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Oggetto</w:t>
      </w:r>
    </w:p>
    <w:p w14:paraId="02F0580C" w14:textId="4858DA5D" w:rsidR="00572E2D" w:rsidRPr="003D5AFB" w:rsidRDefault="00503EE6" w:rsidP="00501FB0">
      <w:pPr>
        <w:spacing w:after="120" w:line="360" w:lineRule="auto"/>
        <w:jc w:val="both"/>
        <w:rPr>
          <w:rFonts w:ascii="Garamond" w:hAnsi="Garamond" w:cs="Arial"/>
          <w:sz w:val="24"/>
          <w:szCs w:val="24"/>
        </w:rPr>
      </w:pPr>
      <w:r>
        <w:rPr>
          <w:rFonts w:ascii="Garamond" w:hAnsi="Garamond"/>
          <w:sz w:val="24"/>
        </w:rPr>
        <w:t>Il regolamento sul controllo metrologico legale degli opacimetri allegato alla presente ordinanza, di cui costituisce parte integrante, è approvato.</w:t>
      </w:r>
    </w:p>
    <w:p w14:paraId="3265F547" w14:textId="77777777" w:rsidR="00A57A1C" w:rsidRPr="003D5AFB" w:rsidRDefault="00A57A1C" w:rsidP="00501FB0">
      <w:pPr>
        <w:spacing w:after="120" w:line="360" w:lineRule="auto"/>
        <w:jc w:val="both"/>
        <w:rPr>
          <w:rFonts w:ascii="Garamond" w:hAnsi="Garamond" w:cs="Arial"/>
          <w:sz w:val="24"/>
          <w:szCs w:val="24"/>
        </w:rPr>
      </w:pPr>
    </w:p>
    <w:p w14:paraId="198BBB32" w14:textId="65BF9CD4"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lastRenderedPageBreak/>
        <w:t>Articolo 2</w:t>
      </w:r>
    </w:p>
    <w:p w14:paraId="209921D8"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Clausola di abrogazione</w:t>
      </w:r>
    </w:p>
    <w:p w14:paraId="2DB40EAF" w14:textId="1318F5B8" w:rsidR="00503EE6" w:rsidRPr="003D5AFB" w:rsidRDefault="00503EE6" w:rsidP="00501FB0">
      <w:pPr>
        <w:spacing w:after="120" w:line="360" w:lineRule="auto"/>
        <w:jc w:val="both"/>
        <w:rPr>
          <w:rFonts w:ascii="Garamond" w:hAnsi="Garamond" w:cs="Arial"/>
          <w:sz w:val="24"/>
          <w:szCs w:val="24"/>
        </w:rPr>
      </w:pPr>
      <w:r>
        <w:rPr>
          <w:rFonts w:ascii="Garamond" w:hAnsi="Garamond"/>
          <w:sz w:val="24"/>
        </w:rPr>
        <w:t>L'ordinanza n. 797/2009 del 1 dicembre è abrogata.</w:t>
      </w:r>
    </w:p>
    <w:p w14:paraId="0F60FE99" w14:textId="77777777" w:rsidR="00A57A1C" w:rsidRPr="003D5AFB" w:rsidRDefault="00A57A1C" w:rsidP="00501FB0">
      <w:pPr>
        <w:spacing w:after="120" w:line="360" w:lineRule="auto"/>
        <w:jc w:val="both"/>
        <w:rPr>
          <w:rFonts w:ascii="Garamond" w:hAnsi="Garamond" w:cs="Arial"/>
          <w:sz w:val="24"/>
          <w:szCs w:val="24"/>
        </w:rPr>
      </w:pPr>
    </w:p>
    <w:p w14:paraId="6FA41C09" w14:textId="77777777"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Articolo 3</w:t>
      </w:r>
    </w:p>
    <w:p w14:paraId="05D48045"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Entrata in vigore</w:t>
      </w:r>
    </w:p>
    <w:p w14:paraId="06329FD8" w14:textId="0217627E" w:rsidR="000D5C89" w:rsidRPr="000E7B45" w:rsidRDefault="000D5C89" w:rsidP="000D5C89">
      <w:pPr>
        <w:spacing w:after="120" w:line="360" w:lineRule="auto"/>
        <w:jc w:val="both"/>
        <w:rPr>
          <w:rFonts w:ascii="Garamond" w:hAnsi="Garamond" w:cs="Arial"/>
          <w:sz w:val="24"/>
          <w:szCs w:val="24"/>
        </w:rPr>
      </w:pPr>
      <w:r>
        <w:rPr>
          <w:rFonts w:ascii="Garamond" w:hAnsi="Garamond"/>
          <w:sz w:val="24"/>
        </w:rPr>
        <w:t>La presente ordinanza entra in vigore il giorno successivo alla pubblicazione.</w:t>
      </w:r>
    </w:p>
    <w:p w14:paraId="5F2AE5CD" w14:textId="77777777" w:rsidR="000D5C89" w:rsidRDefault="000D5C89" w:rsidP="000D5C89">
      <w:pPr>
        <w:spacing w:after="120" w:line="360" w:lineRule="auto"/>
        <w:jc w:val="both"/>
        <w:rPr>
          <w:rFonts w:ascii="Garamond" w:hAnsi="Garamond" w:cs="Arial"/>
          <w:sz w:val="24"/>
          <w:szCs w:val="24"/>
        </w:rPr>
      </w:pPr>
    </w:p>
    <w:p w14:paraId="0BBEDC7E" w14:textId="77777777" w:rsidR="000D5C89" w:rsidRDefault="000D5C89" w:rsidP="000D5C89">
      <w:pPr>
        <w:spacing w:after="120" w:line="360" w:lineRule="auto"/>
        <w:jc w:val="both"/>
        <w:rPr>
          <w:rFonts w:ascii="Garamond" w:hAnsi="Garamond" w:cs="Arial"/>
          <w:sz w:val="24"/>
          <w:szCs w:val="24"/>
        </w:rPr>
      </w:pPr>
    </w:p>
    <w:p w14:paraId="341D7A48" w14:textId="652BB506" w:rsidR="000D5C89" w:rsidRPr="00BF69F3" w:rsidRDefault="000D5C89" w:rsidP="000D5C89">
      <w:pPr>
        <w:spacing w:after="120" w:line="360" w:lineRule="auto"/>
        <w:rPr>
          <w:rFonts w:ascii="Garamond" w:hAnsi="Garamond" w:cs="Arial"/>
          <w:sz w:val="24"/>
          <w:szCs w:val="24"/>
        </w:rPr>
      </w:pPr>
      <w:r>
        <w:rPr>
          <w:rFonts w:ascii="Garamond" w:hAnsi="Garamond"/>
          <w:sz w:val="24"/>
        </w:rPr>
        <w:t>xx xxxxxx 2023. – Il sottosegretario di Stato all'Economia,</w:t>
      </w:r>
      <w:r>
        <w:rPr>
          <w:rFonts w:ascii="Garamond" w:hAnsi="Garamond"/>
          <w:i/>
          <w:sz w:val="24"/>
        </w:rPr>
        <w:t xml:space="preserve"> Pedro Cilínio</w:t>
      </w:r>
      <w:r>
        <w:rPr>
          <w:rFonts w:ascii="Garamond" w:hAnsi="Garamond"/>
          <w:sz w:val="24"/>
        </w:rPr>
        <w:t>.</w:t>
      </w:r>
    </w:p>
    <w:p w14:paraId="2FABC214" w14:textId="77777777" w:rsidR="00FC7BA5" w:rsidRPr="003D5AFB" w:rsidRDefault="00FC7BA5" w:rsidP="00BF69F3">
      <w:pPr>
        <w:spacing w:after="120" w:line="360" w:lineRule="auto"/>
        <w:jc w:val="both"/>
        <w:rPr>
          <w:rFonts w:ascii="Garamond" w:hAnsi="Garamond" w:cs="Arial"/>
          <w:sz w:val="24"/>
          <w:szCs w:val="24"/>
        </w:rPr>
      </w:pPr>
    </w:p>
    <w:p w14:paraId="7BDA659C" w14:textId="77777777" w:rsidR="00327929" w:rsidRPr="003D5AFB" w:rsidRDefault="00327929">
      <w:pPr>
        <w:rPr>
          <w:rFonts w:ascii="Garamond" w:hAnsi="Garamond" w:cs="Arial"/>
          <w:sz w:val="24"/>
          <w:szCs w:val="24"/>
        </w:rPr>
      </w:pPr>
      <w:r>
        <w:br w:type="page"/>
      </w:r>
    </w:p>
    <w:p w14:paraId="67F457C7" w14:textId="010A1BD5" w:rsidR="00503EE6" w:rsidRPr="003D5AFB" w:rsidRDefault="00503EE6" w:rsidP="00BF69F3">
      <w:pPr>
        <w:spacing w:after="120" w:line="360" w:lineRule="auto"/>
        <w:jc w:val="center"/>
        <w:rPr>
          <w:rFonts w:ascii="Garamond" w:hAnsi="Garamond" w:cs="Arial"/>
          <w:sz w:val="24"/>
          <w:szCs w:val="24"/>
        </w:rPr>
      </w:pPr>
      <w:r>
        <w:rPr>
          <w:rFonts w:ascii="Garamond" w:hAnsi="Garamond"/>
          <w:sz w:val="24"/>
        </w:rPr>
        <w:lastRenderedPageBreak/>
        <w:t>ALLEGATO</w:t>
      </w:r>
    </w:p>
    <w:p w14:paraId="7BBDD6D4" w14:textId="792EC905" w:rsidR="00B55531" w:rsidRPr="003D5AFB" w:rsidRDefault="00B55531" w:rsidP="000E7B45">
      <w:pPr>
        <w:spacing w:after="120" w:line="360" w:lineRule="auto"/>
        <w:jc w:val="center"/>
        <w:rPr>
          <w:rFonts w:ascii="Garamond" w:hAnsi="Garamond" w:cs="Arial"/>
          <w:b/>
          <w:bCs/>
          <w:sz w:val="24"/>
          <w:szCs w:val="24"/>
        </w:rPr>
      </w:pPr>
      <w:r>
        <w:rPr>
          <w:rFonts w:ascii="Garamond" w:hAnsi="Garamond"/>
          <w:b/>
          <w:sz w:val="24"/>
        </w:rPr>
        <w:t>REGOLAZIONE SUL CONTROLLO METROLOGICO LEGALE DEGLI OPACIMETRI</w:t>
      </w:r>
    </w:p>
    <w:p w14:paraId="1024B4FA" w14:textId="77777777" w:rsidR="00FC7BA5" w:rsidRPr="003D5AFB" w:rsidRDefault="00FC7BA5" w:rsidP="00501FB0">
      <w:pPr>
        <w:spacing w:after="120" w:line="360" w:lineRule="auto"/>
        <w:jc w:val="center"/>
        <w:rPr>
          <w:rFonts w:ascii="Garamond" w:hAnsi="Garamond" w:cs="Arial"/>
          <w:sz w:val="24"/>
          <w:szCs w:val="24"/>
        </w:rPr>
      </w:pPr>
    </w:p>
    <w:p w14:paraId="0E18C89E" w14:textId="0E3486D1"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Articolo 1</w:t>
      </w:r>
    </w:p>
    <w:p w14:paraId="67D520C6"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Campo di applicazione</w:t>
      </w:r>
    </w:p>
    <w:p w14:paraId="4356A378" w14:textId="58CC8C8E" w:rsidR="00B55531" w:rsidRPr="003D5AFB" w:rsidRDefault="00B55531" w:rsidP="000E7B45">
      <w:pPr>
        <w:spacing w:after="120" w:line="360" w:lineRule="auto"/>
        <w:jc w:val="both"/>
        <w:rPr>
          <w:rFonts w:ascii="Garamond" w:hAnsi="Garamond" w:cs="Arial"/>
          <w:sz w:val="24"/>
          <w:szCs w:val="24"/>
        </w:rPr>
      </w:pPr>
      <w:r>
        <w:rPr>
          <w:rFonts w:ascii="Garamond" w:hAnsi="Garamond"/>
          <w:sz w:val="24"/>
        </w:rPr>
        <w:t>Il presente regolamento si applica agli opacimetri destinati a misurare l'opacità delle emissioni di scarico dei veicoli a diesel.</w:t>
      </w:r>
    </w:p>
    <w:p w14:paraId="7531927A" w14:textId="77777777" w:rsidR="00A57A1C" w:rsidRPr="003D5AFB" w:rsidRDefault="00A57A1C" w:rsidP="000E7B45">
      <w:pPr>
        <w:spacing w:after="120" w:line="360" w:lineRule="auto"/>
        <w:jc w:val="both"/>
        <w:rPr>
          <w:rFonts w:ascii="Garamond" w:hAnsi="Garamond" w:cs="Arial"/>
          <w:sz w:val="24"/>
          <w:szCs w:val="24"/>
        </w:rPr>
      </w:pPr>
    </w:p>
    <w:p w14:paraId="38FD58A9" w14:textId="0558B44D"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Articolo 2</w:t>
      </w:r>
    </w:p>
    <w:p w14:paraId="5FB19F42" w14:textId="3A391A93"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 xml:space="preserve">Definizione </w:t>
      </w:r>
    </w:p>
    <w:p w14:paraId="216E5843" w14:textId="78AA9014" w:rsidR="00A57A1C" w:rsidRDefault="00E144AF" w:rsidP="000E7B45">
      <w:pPr>
        <w:spacing w:after="120" w:line="360" w:lineRule="auto"/>
        <w:jc w:val="both"/>
        <w:rPr>
          <w:rFonts w:ascii="Garamond" w:hAnsi="Garamond" w:cs="Arial"/>
          <w:sz w:val="24"/>
          <w:szCs w:val="24"/>
        </w:rPr>
      </w:pPr>
      <w:r>
        <w:rPr>
          <w:rFonts w:ascii="Garamond" w:hAnsi="Garamond"/>
          <w:sz w:val="24"/>
        </w:rPr>
        <w:t>Ai fini del presente regolamento, per "opacimetri" si intendono strumenti progettati per misurare in continuo l'opacità dei gas di scarico emessi dai veicoli.</w:t>
      </w:r>
    </w:p>
    <w:p w14:paraId="0EC431E1" w14:textId="77777777" w:rsidR="00C97828" w:rsidRPr="003D5AFB" w:rsidRDefault="00C97828" w:rsidP="000E7B45">
      <w:pPr>
        <w:spacing w:after="120" w:line="360" w:lineRule="auto"/>
        <w:jc w:val="both"/>
        <w:rPr>
          <w:rFonts w:ascii="Garamond" w:hAnsi="Garamond" w:cs="Arial"/>
          <w:sz w:val="24"/>
          <w:szCs w:val="24"/>
        </w:rPr>
      </w:pPr>
    </w:p>
    <w:p w14:paraId="0C24B2CF" w14:textId="65386484" w:rsidR="00503EE6" w:rsidRPr="003D5AFB" w:rsidRDefault="00503EE6" w:rsidP="000E7B45">
      <w:pPr>
        <w:spacing w:after="120" w:line="360" w:lineRule="auto"/>
        <w:jc w:val="center"/>
        <w:rPr>
          <w:rFonts w:ascii="Garamond" w:hAnsi="Garamond" w:cs="Arial"/>
          <w:sz w:val="24"/>
          <w:szCs w:val="24"/>
        </w:rPr>
      </w:pPr>
      <w:bookmarkStart w:id="1" w:name="_Hlk63432496"/>
      <w:r>
        <w:rPr>
          <w:rFonts w:ascii="Garamond" w:hAnsi="Garamond"/>
          <w:sz w:val="24"/>
        </w:rPr>
        <w:t>Articolo 3</w:t>
      </w:r>
    </w:p>
    <w:bookmarkEnd w:id="1"/>
    <w:p w14:paraId="58D3E434" w14:textId="77777777"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Messa in servizio</w:t>
      </w:r>
    </w:p>
    <w:p w14:paraId="53E67223" w14:textId="39B9CF21" w:rsidR="006D605C" w:rsidRPr="003D5AFB" w:rsidRDefault="006D605C" w:rsidP="006D605C">
      <w:pPr>
        <w:spacing w:after="120" w:line="360" w:lineRule="auto"/>
        <w:jc w:val="both"/>
        <w:rPr>
          <w:rFonts w:ascii="Garamond" w:hAnsi="Garamond" w:cs="Arial"/>
          <w:sz w:val="24"/>
          <w:szCs w:val="24"/>
        </w:rPr>
      </w:pPr>
      <w:r>
        <w:rPr>
          <w:rFonts w:ascii="Garamond" w:hAnsi="Garamond"/>
          <w:sz w:val="24"/>
        </w:rPr>
        <w:t xml:space="preserve">Gli opacimetri devono soddisfare i requisiti metrologici e tecnici definiti </w:t>
      </w:r>
      <w:bookmarkStart w:id="2" w:name="_Hlk63409046"/>
      <w:bookmarkStart w:id="3" w:name="_Hlk63674255"/>
      <w:r>
        <w:rPr>
          <w:rFonts w:ascii="Garamond" w:hAnsi="Garamond"/>
          <w:sz w:val="24"/>
        </w:rPr>
        <w:t xml:space="preserve">nella </w:t>
      </w:r>
      <w:bookmarkEnd w:id="2"/>
      <w:bookmarkEnd w:id="3"/>
      <w:r>
        <w:rPr>
          <w:rFonts w:ascii="Garamond" w:hAnsi="Garamond"/>
          <w:sz w:val="24"/>
        </w:rPr>
        <w:t>norma ISO 11614.</w:t>
      </w:r>
    </w:p>
    <w:p w14:paraId="329073A8" w14:textId="77777777" w:rsidR="00A57A1C" w:rsidRPr="003D5AFB" w:rsidRDefault="00A57A1C" w:rsidP="000E7B45">
      <w:pPr>
        <w:spacing w:after="120" w:line="360" w:lineRule="auto"/>
        <w:jc w:val="both"/>
        <w:rPr>
          <w:rFonts w:ascii="Garamond" w:hAnsi="Garamond" w:cs="Arial"/>
          <w:sz w:val="24"/>
          <w:szCs w:val="24"/>
        </w:rPr>
      </w:pPr>
    </w:p>
    <w:p w14:paraId="110D83CD" w14:textId="43F70083" w:rsidR="00533F9E" w:rsidRPr="003D5AFB" w:rsidRDefault="00533F9E" w:rsidP="000E7B45">
      <w:pPr>
        <w:spacing w:after="120" w:line="360" w:lineRule="auto"/>
        <w:jc w:val="center"/>
        <w:rPr>
          <w:rFonts w:ascii="Garamond" w:hAnsi="Garamond" w:cs="Arial"/>
          <w:sz w:val="24"/>
          <w:szCs w:val="24"/>
        </w:rPr>
      </w:pPr>
      <w:r>
        <w:rPr>
          <w:rFonts w:ascii="Garamond" w:hAnsi="Garamond"/>
          <w:sz w:val="24"/>
        </w:rPr>
        <w:t>Articolo 4</w:t>
      </w:r>
    </w:p>
    <w:p w14:paraId="75DB895D" w14:textId="58B82272" w:rsidR="00C75076" w:rsidRPr="003D5AFB" w:rsidRDefault="00597F39" w:rsidP="000E7B45">
      <w:pPr>
        <w:spacing w:after="120" w:line="360" w:lineRule="auto"/>
        <w:jc w:val="center"/>
        <w:rPr>
          <w:rFonts w:ascii="Garamond" w:hAnsi="Garamond" w:cs="Arial"/>
          <w:sz w:val="24"/>
          <w:szCs w:val="24"/>
        </w:rPr>
      </w:pPr>
      <w:r>
        <w:rPr>
          <w:rFonts w:ascii="Garamond" w:hAnsi="Garamond"/>
          <w:b/>
          <w:sz w:val="24"/>
        </w:rPr>
        <w:t>Indicazione</w:t>
      </w:r>
    </w:p>
    <w:p w14:paraId="7F87933E" w14:textId="542F813F"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(1) L'indicazione degli opacimetri è espressa mediante il coefficiente di assorbimento luminoso, rappresentato dal simbolo k e nell'unità m</w:t>
      </w:r>
      <w:r>
        <w:rPr>
          <w:rFonts w:ascii="Garamond" w:hAnsi="Garamond"/>
          <w:sz w:val="24"/>
          <w:vertAlign w:val="superscript"/>
        </w:rPr>
        <w:t>-1</w:t>
      </w:r>
      <w:r>
        <w:rPr>
          <w:rFonts w:ascii="Garamond" w:hAnsi="Garamond"/>
          <w:sz w:val="24"/>
        </w:rPr>
        <w:t>.</w:t>
      </w:r>
    </w:p>
    <w:p w14:paraId="0F28A0DF" w14:textId="3D7E2FD2"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(2) I valori di opacità sono percentuali e sono espressi mediante il simbolo N.</w:t>
      </w:r>
    </w:p>
    <w:p w14:paraId="7B029027" w14:textId="571AF0FE" w:rsidR="001B79B7" w:rsidRPr="003D5AFB" w:rsidRDefault="00197A36" w:rsidP="00197A36">
      <w:pPr>
        <w:spacing w:after="120" w:line="360" w:lineRule="auto"/>
        <w:jc w:val="both"/>
        <w:rPr>
          <w:rFonts w:ascii="Garamond" w:hAnsi="Garamond" w:cs="Arial"/>
          <w:sz w:val="24"/>
          <w:szCs w:val="24"/>
        </w:rPr>
      </w:pPr>
      <w:r>
        <w:rPr>
          <w:rFonts w:ascii="Garamond" w:hAnsi="Garamond"/>
          <w:sz w:val="24"/>
        </w:rPr>
        <w:t>(3) Quando il fattore di conversione è debitamente espresso, possono essere accettate altre unità equivalenti sulla base delle unità del Sistema internazionale di unità di misura (SI).</w:t>
      </w:r>
    </w:p>
    <w:p w14:paraId="6978003C" w14:textId="77777777" w:rsidR="00A57A1C" w:rsidRPr="003D5AFB" w:rsidRDefault="00A57A1C" w:rsidP="000E7B45">
      <w:pPr>
        <w:spacing w:after="120" w:line="360" w:lineRule="auto"/>
        <w:jc w:val="both"/>
        <w:rPr>
          <w:rFonts w:ascii="Garamond" w:hAnsi="Garamond" w:cs="Arial"/>
          <w:sz w:val="24"/>
          <w:szCs w:val="24"/>
        </w:rPr>
      </w:pPr>
    </w:p>
    <w:p w14:paraId="3488AB2F" w14:textId="3E4CF1F1" w:rsidR="00503EE6" w:rsidRPr="003D5AFB" w:rsidRDefault="00503EE6" w:rsidP="00741C26">
      <w:pPr>
        <w:keepNext/>
        <w:spacing w:after="120" w:line="360" w:lineRule="auto"/>
        <w:jc w:val="center"/>
        <w:rPr>
          <w:rFonts w:ascii="Garamond" w:hAnsi="Garamond" w:cs="Arial"/>
          <w:sz w:val="24"/>
          <w:szCs w:val="24"/>
        </w:rPr>
      </w:pPr>
      <w:r>
        <w:rPr>
          <w:rFonts w:ascii="Garamond" w:hAnsi="Garamond"/>
          <w:sz w:val="24"/>
        </w:rPr>
        <w:lastRenderedPageBreak/>
        <w:t>Articolo 5</w:t>
      </w:r>
    </w:p>
    <w:p w14:paraId="7A1BEF1E" w14:textId="77777777" w:rsidR="00503EE6" w:rsidRPr="003D5AFB" w:rsidRDefault="00503EE6" w:rsidP="005024E2">
      <w:pPr>
        <w:spacing w:after="120" w:line="360" w:lineRule="auto"/>
        <w:jc w:val="center"/>
        <w:rPr>
          <w:rFonts w:ascii="Garamond" w:hAnsi="Garamond" w:cs="Arial"/>
          <w:b/>
          <w:bCs/>
          <w:sz w:val="24"/>
          <w:szCs w:val="24"/>
        </w:rPr>
      </w:pPr>
      <w:r>
        <w:rPr>
          <w:rFonts w:ascii="Garamond" w:hAnsi="Garamond"/>
          <w:b/>
          <w:sz w:val="24"/>
        </w:rPr>
        <w:t>Controllo metrologico legale</w:t>
      </w:r>
    </w:p>
    <w:p w14:paraId="1A8C137B" w14:textId="3F9C24C1" w:rsidR="00A57A1C" w:rsidRPr="003D5AFB" w:rsidRDefault="00503EE6" w:rsidP="005024E2">
      <w:pPr>
        <w:spacing w:after="120" w:line="360" w:lineRule="auto"/>
        <w:jc w:val="both"/>
        <w:rPr>
          <w:rFonts w:ascii="Garamond" w:hAnsi="Garamond" w:cs="Arial"/>
          <w:sz w:val="24"/>
          <w:szCs w:val="24"/>
        </w:rPr>
      </w:pPr>
      <w:r>
        <w:rPr>
          <w:rFonts w:ascii="Garamond" w:hAnsi="Garamond"/>
          <w:sz w:val="24"/>
        </w:rPr>
        <w:t xml:space="preserve">Il controllo metrologico legale degli </w:t>
      </w:r>
      <w:bookmarkStart w:id="4" w:name="_Hlk106875133"/>
      <w:r>
        <w:rPr>
          <w:rFonts w:ascii="Garamond" w:hAnsi="Garamond"/>
          <w:sz w:val="24"/>
        </w:rPr>
        <w:t xml:space="preserve">opacimetri </w:t>
      </w:r>
      <w:bookmarkEnd w:id="4"/>
      <w:r>
        <w:rPr>
          <w:rFonts w:ascii="Garamond" w:hAnsi="Garamond"/>
          <w:sz w:val="24"/>
        </w:rPr>
        <w:t>è di competenza dell'Istituto di qualità portoghese, I. P. (IPQ, I. P.) e comprende le operazioni di Omologazione del modello, Prima verifica, Verifica periodica e Verifica straordinaria.</w:t>
      </w:r>
    </w:p>
    <w:p w14:paraId="70D6A65A" w14:textId="77777777" w:rsidR="00FC7BA5" w:rsidRPr="003D5AFB" w:rsidRDefault="00FC7BA5" w:rsidP="00093EAB">
      <w:pPr>
        <w:spacing w:after="120" w:line="360" w:lineRule="auto"/>
        <w:jc w:val="both"/>
        <w:rPr>
          <w:rFonts w:ascii="Garamond" w:hAnsi="Garamond" w:cs="Arial"/>
          <w:sz w:val="24"/>
          <w:szCs w:val="24"/>
        </w:rPr>
      </w:pPr>
    </w:p>
    <w:p w14:paraId="7B45623B" w14:textId="732021EA" w:rsidR="00503EE6" w:rsidRPr="003D5AFB" w:rsidRDefault="00503EE6" w:rsidP="00104E49">
      <w:pPr>
        <w:spacing w:after="120" w:line="360" w:lineRule="auto"/>
        <w:jc w:val="center"/>
        <w:rPr>
          <w:rFonts w:ascii="Garamond" w:hAnsi="Garamond" w:cs="Arial"/>
          <w:sz w:val="24"/>
          <w:szCs w:val="24"/>
        </w:rPr>
      </w:pPr>
      <w:r>
        <w:rPr>
          <w:rFonts w:ascii="Garamond" w:hAnsi="Garamond"/>
          <w:sz w:val="24"/>
        </w:rPr>
        <w:t>Articolo 6</w:t>
      </w:r>
    </w:p>
    <w:p w14:paraId="2FD67190" w14:textId="19023FF4" w:rsidR="00503EE6" w:rsidRPr="003D5AFB" w:rsidRDefault="00727801" w:rsidP="00104E49">
      <w:pPr>
        <w:spacing w:after="120" w:line="360" w:lineRule="auto"/>
        <w:jc w:val="center"/>
        <w:rPr>
          <w:rFonts w:ascii="Garamond" w:hAnsi="Garamond" w:cs="Arial"/>
          <w:b/>
          <w:bCs/>
          <w:sz w:val="24"/>
          <w:szCs w:val="24"/>
        </w:rPr>
      </w:pPr>
      <w:r>
        <w:rPr>
          <w:rFonts w:ascii="Garamond" w:hAnsi="Garamond"/>
          <w:b/>
          <w:sz w:val="24"/>
        </w:rPr>
        <w:t>Omologazione del modello</w:t>
      </w:r>
    </w:p>
    <w:p w14:paraId="07DF1D43" w14:textId="149EC1C6" w:rsidR="00BF3396" w:rsidRDefault="00BF3396" w:rsidP="00BF3396">
      <w:pPr>
        <w:spacing w:after="120" w:line="360" w:lineRule="auto"/>
        <w:jc w:val="both"/>
        <w:rPr>
          <w:rFonts w:ascii="Garamond" w:hAnsi="Garamond"/>
          <w:sz w:val="24"/>
          <w:szCs w:val="24"/>
        </w:rPr>
      </w:pPr>
      <w:r>
        <w:rPr>
          <w:rFonts w:ascii="Garamond" w:hAnsi="Garamond"/>
          <w:sz w:val="24"/>
        </w:rPr>
        <w:t>(1) L'omologazione del modello deve essere conforme ai requisiti stabiliti dall'articolo 7 del decreto legge n. 29/2022 del 7 aprile e dall'articolo 2 del regolamento allegato all'ordinanza n. 211/2022 del 23 agosto.</w:t>
      </w:r>
    </w:p>
    <w:p w14:paraId="157246D2" w14:textId="297C8A92" w:rsidR="00BF3396" w:rsidRDefault="00BF3396" w:rsidP="00BF3396">
      <w:pPr>
        <w:spacing w:after="120" w:line="360" w:lineRule="auto"/>
        <w:jc w:val="both"/>
        <w:rPr>
          <w:rFonts w:ascii="Garamond" w:hAnsi="Garamond"/>
          <w:color w:val="000000"/>
          <w:sz w:val="24"/>
          <w:szCs w:val="24"/>
        </w:rPr>
      </w:pPr>
      <w:r>
        <w:rPr>
          <w:rFonts w:ascii="Garamond" w:hAnsi="Garamond"/>
          <w:sz w:val="24"/>
        </w:rPr>
        <w:t>(2) Durante il periodo di validità dell'omologazione del modello, tutte le modifiche apportate al modello omologato, mediante la sostituzione di componenti, l'aggiunta di un dispositivo supplementare, la modifica del programma informatico (</w:t>
      </w:r>
      <w:r>
        <w:rPr>
          <w:rFonts w:ascii="Garamond" w:hAnsi="Garamond"/>
          <w:i/>
          <w:iCs/>
          <w:sz w:val="24"/>
        </w:rPr>
        <w:t>software</w:t>
      </w:r>
      <w:r>
        <w:rPr>
          <w:rFonts w:ascii="Garamond" w:hAnsi="Garamond"/>
          <w:sz w:val="24"/>
        </w:rPr>
        <w:t>) installato o le modifiche che possono influenzare i risultati delle misurazioni o le condizioni regolamentari di utilizzo, necessitano di un'omologazione supplementare del modello.</w:t>
      </w:r>
    </w:p>
    <w:p w14:paraId="5C139199" w14:textId="0E76FCE2" w:rsidR="00BF3396" w:rsidRDefault="00BF3396" w:rsidP="00BF3396">
      <w:pPr>
        <w:spacing w:after="120" w:line="360" w:lineRule="auto"/>
        <w:jc w:val="both"/>
        <w:rPr>
          <w:rFonts w:ascii="Garamond" w:hAnsi="Garamond"/>
          <w:color w:val="000000"/>
          <w:sz w:val="24"/>
          <w:szCs w:val="24"/>
        </w:rPr>
      </w:pPr>
      <w:r>
        <w:rPr>
          <w:rFonts w:ascii="Garamond" w:hAnsi="Garamond"/>
          <w:color w:val="000000"/>
          <w:sz w:val="24"/>
        </w:rPr>
        <w:t xml:space="preserve">(3) </w:t>
      </w:r>
      <w:r>
        <w:rPr>
          <w:rFonts w:ascii="Garamond" w:hAnsi="Garamond"/>
          <w:sz w:val="24"/>
        </w:rPr>
        <w:t xml:space="preserve">I programmi informatici utilizzati dagli </w:t>
      </w:r>
      <w:bookmarkStart w:id="5" w:name="_Hlk126936097"/>
      <w:r>
        <w:rPr>
          <w:rFonts w:ascii="Garamond" w:hAnsi="Garamond"/>
          <w:sz w:val="24"/>
        </w:rPr>
        <w:t xml:space="preserve">opacimetri </w:t>
      </w:r>
      <w:bookmarkEnd w:id="5"/>
      <w:r>
        <w:rPr>
          <w:rFonts w:ascii="Garamond" w:hAnsi="Garamond"/>
          <w:sz w:val="24"/>
        </w:rPr>
        <w:t>devono garantire l'integrità e la riservatezza dei dati ottenuti e presentati e devono essere soggetti a un'identificazione unica e univoca.</w:t>
      </w:r>
    </w:p>
    <w:p w14:paraId="2FCFDA57" w14:textId="59631F94" w:rsidR="007204A7" w:rsidRPr="003D5AFB" w:rsidRDefault="007204A7" w:rsidP="002C68EA">
      <w:pPr>
        <w:pStyle w:val="ListParagraph"/>
        <w:spacing w:after="120" w:line="360" w:lineRule="auto"/>
        <w:ind w:left="0"/>
        <w:contextualSpacing w:val="0"/>
        <w:jc w:val="both"/>
        <w:rPr>
          <w:rFonts w:ascii="Garamond" w:hAnsi="Garamond" w:cs="Arial"/>
          <w:sz w:val="24"/>
          <w:szCs w:val="24"/>
        </w:rPr>
      </w:pPr>
    </w:p>
    <w:p w14:paraId="7C0C899C" w14:textId="006A9304" w:rsidR="00F60431" w:rsidRPr="003D5AFB" w:rsidRDefault="00F60431" w:rsidP="002C68EA">
      <w:pPr>
        <w:spacing w:after="120" w:line="360" w:lineRule="auto"/>
        <w:jc w:val="center"/>
        <w:rPr>
          <w:rFonts w:ascii="Garamond" w:hAnsi="Garamond" w:cs="Arial"/>
          <w:sz w:val="24"/>
          <w:szCs w:val="24"/>
        </w:rPr>
      </w:pPr>
      <w:r>
        <w:rPr>
          <w:rFonts w:ascii="Garamond" w:hAnsi="Garamond"/>
          <w:sz w:val="24"/>
        </w:rPr>
        <w:t>Articolo 7</w:t>
      </w:r>
    </w:p>
    <w:p w14:paraId="34626D98" w14:textId="7B508073" w:rsidR="00F97B29" w:rsidRPr="003D5AFB" w:rsidRDefault="00570BD9" w:rsidP="002C68EA">
      <w:pPr>
        <w:spacing w:after="120" w:line="360" w:lineRule="auto"/>
        <w:jc w:val="center"/>
        <w:rPr>
          <w:rFonts w:ascii="Garamond" w:hAnsi="Garamond" w:cs="Arial"/>
          <w:b/>
          <w:bCs/>
          <w:sz w:val="24"/>
          <w:szCs w:val="24"/>
        </w:rPr>
      </w:pPr>
      <w:r>
        <w:rPr>
          <w:rFonts w:ascii="Garamond" w:hAnsi="Garamond"/>
          <w:b/>
          <w:sz w:val="24"/>
        </w:rPr>
        <w:t>Prima verifica</w:t>
      </w:r>
    </w:p>
    <w:p w14:paraId="43E5DF15" w14:textId="05439965" w:rsidR="0087542F" w:rsidRPr="003D5AFB" w:rsidRDefault="0087542F" w:rsidP="002C68EA">
      <w:pPr>
        <w:spacing w:after="120" w:line="360" w:lineRule="auto"/>
        <w:jc w:val="both"/>
        <w:rPr>
          <w:rFonts w:ascii="Garamond" w:hAnsi="Garamond" w:cs="Arial"/>
          <w:sz w:val="24"/>
          <w:szCs w:val="24"/>
        </w:rPr>
      </w:pPr>
      <w:r>
        <w:rPr>
          <w:rFonts w:ascii="Garamond" w:hAnsi="Garamond"/>
          <w:sz w:val="24"/>
        </w:rPr>
        <w:t>(1) La prima verifica è effettuata prima dell'immissione sul mercato dello strumento, o dopo la sua riparazione e ogni volta che si verifica una violazione del sistema di tenuta, senza verifiche periodiche in quell'anno, con lo stesso periodo di validità.</w:t>
      </w:r>
    </w:p>
    <w:p w14:paraId="5A2368F9" w14:textId="167DAACC" w:rsidR="003842F2" w:rsidRPr="003D5AFB" w:rsidRDefault="003842F2" w:rsidP="002C68EA">
      <w:pPr>
        <w:spacing w:after="120" w:line="360" w:lineRule="auto"/>
        <w:jc w:val="both"/>
        <w:rPr>
          <w:rFonts w:ascii="Garamond" w:hAnsi="Garamond" w:cs="Arial"/>
          <w:sz w:val="24"/>
          <w:szCs w:val="24"/>
        </w:rPr>
      </w:pPr>
      <w:r>
        <w:rPr>
          <w:rFonts w:ascii="Garamond" w:hAnsi="Garamond"/>
          <w:sz w:val="24"/>
        </w:rPr>
        <w:t>(2) Le prove di prima verifica devono essere eseguite in conformità ai requisiti metrologici e tecnici di cui all'articolo 3 del presente regolamento.</w:t>
      </w:r>
    </w:p>
    <w:p w14:paraId="320CE689" w14:textId="6E0E1DB0" w:rsidR="00A17F17" w:rsidRDefault="003842F2" w:rsidP="00A17F17">
      <w:pPr>
        <w:jc w:val="both"/>
        <w:rPr>
          <w:rFonts w:ascii="Garamond" w:hAnsi="Garamond" w:cs="Arial"/>
          <w:sz w:val="24"/>
          <w:szCs w:val="24"/>
        </w:rPr>
      </w:pPr>
      <w:bookmarkStart w:id="6" w:name="_Hlk63414812"/>
      <w:r>
        <w:rPr>
          <w:rFonts w:ascii="Garamond" w:hAnsi="Garamond"/>
          <w:sz w:val="24"/>
        </w:rPr>
        <w:t>(3)</w:t>
      </w:r>
      <w:bookmarkEnd w:id="6"/>
      <w:r>
        <w:rPr>
          <w:rFonts w:ascii="Garamond" w:hAnsi="Garamond"/>
          <w:sz w:val="24"/>
        </w:rPr>
        <w:t xml:space="preserve"> I valori massimi di errore ammissibili per la prima verifica sono pari a ± 2% di opacità, N.  </w:t>
      </w:r>
    </w:p>
    <w:p w14:paraId="03EBD602" w14:textId="77777777" w:rsidR="00A57A1C" w:rsidRPr="003D5AFB" w:rsidRDefault="00A57A1C" w:rsidP="002C68EA">
      <w:pPr>
        <w:spacing w:after="120" w:line="360" w:lineRule="auto"/>
        <w:jc w:val="both"/>
        <w:rPr>
          <w:rFonts w:ascii="Garamond" w:hAnsi="Garamond" w:cs="Arial"/>
          <w:sz w:val="24"/>
          <w:szCs w:val="24"/>
        </w:rPr>
      </w:pPr>
    </w:p>
    <w:p w14:paraId="06FC48BE" w14:textId="1622D2EA"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lastRenderedPageBreak/>
        <w:t>Articolo 8</w:t>
      </w:r>
    </w:p>
    <w:p w14:paraId="177F56D3"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Verifica periodica</w:t>
      </w:r>
    </w:p>
    <w:p w14:paraId="62D7103A" w14:textId="3D028C7A" w:rsidR="005E797A" w:rsidRDefault="005E797A" w:rsidP="005E797A">
      <w:pPr>
        <w:spacing w:after="120" w:line="360" w:lineRule="auto"/>
        <w:jc w:val="both"/>
        <w:rPr>
          <w:rFonts w:ascii="Garamond" w:hAnsi="Garamond" w:cs="Arial"/>
          <w:sz w:val="24"/>
          <w:szCs w:val="24"/>
        </w:rPr>
      </w:pPr>
      <w:bookmarkStart w:id="7" w:name="_Hlk107869984"/>
      <w:bookmarkStart w:id="8" w:name="_Hlk107936171"/>
      <w:r>
        <w:rPr>
          <w:rFonts w:ascii="Garamond" w:hAnsi="Garamond"/>
          <w:sz w:val="24"/>
        </w:rPr>
        <w:t>(1) La verifica periodica ha una frequenza annuale ed è valida per un anno dal suo completamento.</w:t>
      </w:r>
    </w:p>
    <w:bookmarkEnd w:id="7"/>
    <w:bookmarkEnd w:id="8"/>
    <w:p w14:paraId="583B7830" w14:textId="4D5C067E" w:rsidR="002B5F8C" w:rsidRPr="003D5AFB" w:rsidRDefault="002B5F8C" w:rsidP="002B5F8C">
      <w:pPr>
        <w:spacing w:after="120" w:line="360" w:lineRule="auto"/>
        <w:jc w:val="both"/>
        <w:rPr>
          <w:rFonts w:ascii="Garamond" w:hAnsi="Garamond" w:cs="Arial"/>
          <w:sz w:val="24"/>
          <w:szCs w:val="24"/>
        </w:rPr>
      </w:pPr>
      <w:r>
        <w:rPr>
          <w:rFonts w:ascii="Garamond" w:hAnsi="Garamond"/>
          <w:sz w:val="24"/>
        </w:rPr>
        <w:t>(2) Le prove di verifica periodica devono essere le stesse di quelle stabilite per la prima verifica.</w:t>
      </w:r>
    </w:p>
    <w:p w14:paraId="6E7C93C7" w14:textId="5E71EEB5" w:rsidR="0073637C" w:rsidRPr="003D5AFB" w:rsidRDefault="002B5F8C">
      <w:pPr>
        <w:spacing w:after="120" w:line="360" w:lineRule="auto"/>
        <w:jc w:val="both"/>
        <w:rPr>
          <w:rFonts w:ascii="Garamond" w:hAnsi="Garamond" w:cs="Arial"/>
          <w:sz w:val="24"/>
          <w:szCs w:val="24"/>
        </w:rPr>
      </w:pPr>
      <w:r>
        <w:rPr>
          <w:rFonts w:ascii="Garamond" w:hAnsi="Garamond"/>
          <w:sz w:val="24"/>
        </w:rPr>
        <w:t>(3) I valori degli errori massimi ammissibili nella verifica periodica devono essere uguali ai valori degli errori massimi ammissibili stabiliti per la prima verifica.</w:t>
      </w:r>
    </w:p>
    <w:p w14:paraId="3A15EA1F" w14:textId="77777777" w:rsidR="00A57A1C" w:rsidRPr="003D5AFB" w:rsidRDefault="00A57A1C">
      <w:pPr>
        <w:spacing w:after="120" w:line="360" w:lineRule="auto"/>
        <w:jc w:val="both"/>
        <w:rPr>
          <w:rFonts w:ascii="Garamond" w:hAnsi="Garamond" w:cs="Arial"/>
          <w:sz w:val="24"/>
          <w:szCs w:val="24"/>
        </w:rPr>
      </w:pPr>
    </w:p>
    <w:p w14:paraId="484A3A9A" w14:textId="243DF155"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t>Articolo 9</w:t>
      </w:r>
    </w:p>
    <w:p w14:paraId="62B7028E"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Verifica straordinaria</w:t>
      </w:r>
    </w:p>
    <w:p w14:paraId="21E9EEE9" w14:textId="5CC7507F" w:rsidR="00503EE6" w:rsidRPr="003D5AFB" w:rsidRDefault="00944E05" w:rsidP="002C68EA">
      <w:pPr>
        <w:spacing w:after="120" w:line="360" w:lineRule="auto"/>
        <w:jc w:val="both"/>
        <w:rPr>
          <w:rFonts w:ascii="Garamond" w:hAnsi="Garamond" w:cs="Arial"/>
          <w:sz w:val="24"/>
          <w:szCs w:val="24"/>
        </w:rPr>
      </w:pPr>
      <w:r>
        <w:rPr>
          <w:rFonts w:ascii="Garamond" w:hAnsi="Garamond"/>
          <w:sz w:val="24"/>
        </w:rPr>
        <w:t>(1) La verifica straordinaria comprende le prove di verifica periodica.</w:t>
      </w:r>
    </w:p>
    <w:p w14:paraId="7447DA07" w14:textId="6567F499" w:rsidR="00503EE6" w:rsidRPr="003D5AFB" w:rsidRDefault="00503EE6">
      <w:pPr>
        <w:spacing w:after="120" w:line="360" w:lineRule="auto"/>
        <w:jc w:val="both"/>
        <w:rPr>
          <w:rFonts w:ascii="Garamond" w:hAnsi="Garamond" w:cs="Arial"/>
          <w:sz w:val="24"/>
          <w:szCs w:val="24"/>
        </w:rPr>
      </w:pPr>
      <w:r>
        <w:rPr>
          <w:rFonts w:ascii="Garamond" w:hAnsi="Garamond"/>
          <w:sz w:val="24"/>
        </w:rPr>
        <w:t>(2) Nella verifica straordinaria, i valori degli errori massimi ammissibili devono essere uguali ai valori degli errori massimi ammissibili stabiliti per la verifica periodica.</w:t>
      </w:r>
    </w:p>
    <w:p w14:paraId="0BE4205E" w14:textId="77777777" w:rsidR="0073637C" w:rsidRPr="003D5AFB" w:rsidRDefault="0073637C" w:rsidP="002C68EA">
      <w:pPr>
        <w:spacing w:after="120" w:line="360" w:lineRule="auto"/>
        <w:jc w:val="both"/>
        <w:rPr>
          <w:rFonts w:ascii="Garamond" w:hAnsi="Garamond" w:cs="Arial"/>
          <w:sz w:val="24"/>
          <w:szCs w:val="24"/>
        </w:rPr>
      </w:pPr>
    </w:p>
    <w:p w14:paraId="7C617DDA" w14:textId="72BADA5C" w:rsidR="000A231E" w:rsidRPr="003D5AFB" w:rsidRDefault="000A231E" w:rsidP="007366C9">
      <w:pPr>
        <w:spacing w:after="120" w:line="360" w:lineRule="auto"/>
        <w:jc w:val="center"/>
        <w:rPr>
          <w:rFonts w:ascii="Garamond" w:hAnsi="Garamond" w:cs="Arial"/>
          <w:sz w:val="24"/>
          <w:szCs w:val="24"/>
        </w:rPr>
      </w:pPr>
      <w:r>
        <w:rPr>
          <w:rFonts w:ascii="Garamond" w:hAnsi="Garamond"/>
          <w:sz w:val="24"/>
        </w:rPr>
        <w:t>Articolo 10</w:t>
      </w:r>
    </w:p>
    <w:p w14:paraId="39298155" w14:textId="53987728" w:rsidR="000A231E" w:rsidRPr="003D5AFB" w:rsidRDefault="000A231E" w:rsidP="007366C9">
      <w:pPr>
        <w:spacing w:after="120" w:line="360" w:lineRule="auto"/>
        <w:jc w:val="center"/>
        <w:rPr>
          <w:rFonts w:ascii="Garamond" w:hAnsi="Garamond" w:cs="Arial"/>
          <w:b/>
          <w:bCs/>
          <w:sz w:val="24"/>
          <w:szCs w:val="24"/>
        </w:rPr>
      </w:pPr>
      <w:r>
        <w:rPr>
          <w:rFonts w:ascii="Garamond" w:hAnsi="Garamond"/>
          <w:b/>
          <w:sz w:val="24"/>
        </w:rPr>
        <w:t>Iscrizioni e marcature</w:t>
      </w:r>
    </w:p>
    <w:p w14:paraId="7A96B35F" w14:textId="514B3BE3" w:rsidR="004A5897" w:rsidRPr="003D5AFB" w:rsidRDefault="004A5897" w:rsidP="00BF69F3">
      <w:pPr>
        <w:spacing w:after="120" w:line="360" w:lineRule="auto"/>
        <w:jc w:val="both"/>
        <w:rPr>
          <w:rFonts w:ascii="Garamond" w:hAnsi="Garamond" w:cs="Arial"/>
          <w:sz w:val="24"/>
          <w:szCs w:val="24"/>
        </w:rPr>
      </w:pPr>
      <w:bookmarkStart w:id="9" w:name="_Hlk82391725"/>
      <w:bookmarkStart w:id="10" w:name="_Hlk82391591"/>
      <w:r>
        <w:rPr>
          <w:rFonts w:ascii="Garamond" w:hAnsi="Garamond"/>
          <w:sz w:val="24"/>
        </w:rPr>
        <w:t>(1) Gli opacimetri presentano, in modo visibile e leggibile, iscrizioni e marcature conformi alle prescrizioni metrologiche di cui all'articolo 3 del presente regolamento.</w:t>
      </w:r>
    </w:p>
    <w:p w14:paraId="28620774" w14:textId="7685BCFA" w:rsidR="004A5897" w:rsidRPr="003D5AFB" w:rsidRDefault="004A5897" w:rsidP="00BF69F3">
      <w:pPr>
        <w:spacing w:after="120" w:line="360" w:lineRule="auto"/>
        <w:jc w:val="both"/>
        <w:rPr>
          <w:rFonts w:ascii="Garamond" w:hAnsi="Garamond" w:cs="Arial"/>
          <w:sz w:val="24"/>
          <w:szCs w:val="24"/>
        </w:rPr>
      </w:pPr>
      <w:r>
        <w:rPr>
          <w:rFonts w:ascii="Garamond" w:hAnsi="Garamond"/>
          <w:sz w:val="24"/>
        </w:rPr>
        <w:t>(2)</w:t>
      </w:r>
      <w:bookmarkEnd w:id="9"/>
      <w:r>
        <w:rPr>
          <w:rFonts w:ascii="Garamond" w:hAnsi="Garamond"/>
          <w:sz w:val="24"/>
        </w:rPr>
        <w:t xml:space="preserve"> Gli opacimetri recano anche il simbolo di omologazione del modello e altri simboli o riferimenti vantaggiosi per il loro utilizzo.</w:t>
      </w:r>
    </w:p>
    <w:bookmarkEnd w:id="10"/>
    <w:p w14:paraId="7ACAD7AE" w14:textId="6B227A09" w:rsidR="00FC57F5" w:rsidRPr="003D5AFB" w:rsidRDefault="00FC57F5" w:rsidP="00BF69F3">
      <w:pPr>
        <w:autoSpaceDE w:val="0"/>
        <w:autoSpaceDN w:val="0"/>
        <w:adjustRightInd w:val="0"/>
        <w:spacing w:after="120" w:line="360" w:lineRule="auto"/>
        <w:jc w:val="both"/>
        <w:rPr>
          <w:rFonts w:ascii="Garamond" w:hAnsi="Garamond" w:cs="Arial"/>
          <w:sz w:val="24"/>
          <w:szCs w:val="24"/>
        </w:rPr>
      </w:pPr>
    </w:p>
    <w:p w14:paraId="03842174" w14:textId="79CCA1CF" w:rsidR="00503EE6" w:rsidRPr="003D5AFB" w:rsidRDefault="00503EE6" w:rsidP="00BF69F3">
      <w:pPr>
        <w:spacing w:after="120" w:line="360" w:lineRule="auto"/>
        <w:jc w:val="center"/>
        <w:rPr>
          <w:rFonts w:ascii="Garamond" w:hAnsi="Garamond" w:cs="Arial"/>
          <w:sz w:val="24"/>
          <w:szCs w:val="24"/>
        </w:rPr>
      </w:pPr>
      <w:bookmarkStart w:id="11" w:name="_Hlk63417111"/>
      <w:r>
        <w:rPr>
          <w:rFonts w:ascii="Garamond" w:hAnsi="Garamond"/>
          <w:sz w:val="24"/>
        </w:rPr>
        <w:t>Articolo 11</w:t>
      </w:r>
    </w:p>
    <w:p w14:paraId="7F04099F" w14:textId="77777777" w:rsidR="00503EE6" w:rsidRPr="003D5AFB" w:rsidRDefault="00503EE6" w:rsidP="00BF69F3">
      <w:pPr>
        <w:spacing w:after="120" w:line="360" w:lineRule="auto"/>
        <w:jc w:val="center"/>
        <w:rPr>
          <w:rFonts w:ascii="Garamond" w:hAnsi="Garamond" w:cs="Arial"/>
          <w:b/>
          <w:bCs/>
          <w:sz w:val="24"/>
          <w:szCs w:val="24"/>
        </w:rPr>
      </w:pPr>
      <w:r>
        <w:rPr>
          <w:rFonts w:ascii="Garamond" w:hAnsi="Garamond"/>
          <w:b/>
          <w:sz w:val="24"/>
        </w:rPr>
        <w:t>Disposizione transitoria</w:t>
      </w:r>
    </w:p>
    <w:bookmarkEnd w:id="11"/>
    <w:p w14:paraId="441DDFF2" w14:textId="48C08D7A" w:rsidR="00D24055" w:rsidRPr="003D5AFB" w:rsidRDefault="00D24055" w:rsidP="00BF69F3">
      <w:pPr>
        <w:spacing w:after="120" w:line="360" w:lineRule="auto"/>
        <w:jc w:val="both"/>
        <w:rPr>
          <w:rFonts w:ascii="Garamond" w:hAnsi="Garamond" w:cs="Arial"/>
          <w:sz w:val="24"/>
          <w:szCs w:val="24"/>
        </w:rPr>
      </w:pPr>
      <w:r>
        <w:rPr>
          <w:rFonts w:ascii="Garamond" w:hAnsi="Garamond"/>
          <w:sz w:val="24"/>
        </w:rPr>
        <w:t>Gli strumenti in uso possono rimanere in uso in buone condizioni e se, nelle prove di verifica metrologica, riportano errori che non superano i massimi errori ammissibili.</w:t>
      </w:r>
    </w:p>
    <w:p w14:paraId="12DE1FBE" w14:textId="77777777" w:rsidR="00BF69F3" w:rsidRPr="003D5AFB" w:rsidRDefault="00BF69F3" w:rsidP="00BF69F3">
      <w:pPr>
        <w:spacing w:after="120" w:line="360" w:lineRule="auto"/>
        <w:jc w:val="center"/>
        <w:rPr>
          <w:rFonts w:ascii="Garamond" w:hAnsi="Garamond" w:cs="Arial"/>
          <w:sz w:val="24"/>
          <w:szCs w:val="24"/>
        </w:rPr>
      </w:pPr>
    </w:p>
    <w:p w14:paraId="1F4559B5" w14:textId="100C162E" w:rsidR="00336A88" w:rsidRPr="003D5AFB" w:rsidRDefault="00336A88" w:rsidP="00741C26">
      <w:pPr>
        <w:keepNext/>
        <w:spacing w:after="120" w:line="360" w:lineRule="auto"/>
        <w:jc w:val="center"/>
        <w:rPr>
          <w:rFonts w:ascii="Garamond" w:hAnsi="Garamond" w:cs="Arial"/>
          <w:sz w:val="24"/>
          <w:szCs w:val="24"/>
        </w:rPr>
      </w:pPr>
      <w:r>
        <w:rPr>
          <w:rFonts w:ascii="Garamond" w:hAnsi="Garamond"/>
          <w:sz w:val="24"/>
        </w:rPr>
        <w:lastRenderedPageBreak/>
        <w:t>Articolo 12</w:t>
      </w:r>
    </w:p>
    <w:p w14:paraId="00AFCFB4" w14:textId="2D0E9E49" w:rsidR="0014394D" w:rsidRPr="003D5AFB" w:rsidRDefault="00336A88" w:rsidP="00BF69F3">
      <w:pPr>
        <w:spacing w:after="120" w:line="360" w:lineRule="auto"/>
        <w:jc w:val="center"/>
        <w:rPr>
          <w:rFonts w:ascii="Garamond" w:hAnsi="Garamond" w:cs="Arial"/>
          <w:b/>
          <w:bCs/>
          <w:sz w:val="24"/>
          <w:szCs w:val="24"/>
        </w:rPr>
      </w:pPr>
      <w:r>
        <w:rPr>
          <w:rFonts w:ascii="Garamond" w:hAnsi="Garamond"/>
          <w:b/>
          <w:sz w:val="24"/>
        </w:rPr>
        <w:t xml:space="preserve">Disposizione finale </w:t>
      </w:r>
    </w:p>
    <w:p w14:paraId="745D5232" w14:textId="79E15894" w:rsidR="00181C8E" w:rsidRPr="003D5AFB" w:rsidRDefault="00181C8E" w:rsidP="00BF69F3">
      <w:pPr>
        <w:spacing w:after="120" w:line="360" w:lineRule="auto"/>
        <w:jc w:val="both"/>
        <w:rPr>
          <w:rFonts w:ascii="Garamond" w:hAnsi="Garamond" w:cs="Arial"/>
          <w:sz w:val="24"/>
          <w:szCs w:val="24"/>
        </w:rPr>
      </w:pPr>
      <w:r>
        <w:rPr>
          <w:rFonts w:ascii="Garamond" w:hAnsi="Garamond"/>
          <w:sz w:val="24"/>
        </w:rPr>
        <w:t>Le disposizioni degli articoli precedenti non impediscono la commercializzazione o l'ulteriore utilizzo di opacimetri, corredati da certificati di valutazione della conformità rilasciati da organismi riconosciuti ai sensi della legislazione dell'Unione europea applicabile, nell'ambito dell'attività di metrologia legale, sulla base di specifiche e procedure che garantiscano una qualità metrologica pari a quella di cui al presente regolamento, essendo l'equivalenza valutata da IPQ, I.P.</w:t>
      </w:r>
    </w:p>
    <w:sectPr w:rsidR="00181C8E" w:rsidRPr="003D5A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B060" w14:textId="77777777" w:rsidR="008A7813" w:rsidRDefault="008A7813" w:rsidP="00344923">
      <w:pPr>
        <w:spacing w:after="0" w:line="240" w:lineRule="auto"/>
      </w:pPr>
      <w:r>
        <w:separator/>
      </w:r>
    </w:p>
  </w:endnote>
  <w:endnote w:type="continuationSeparator" w:id="0">
    <w:p w14:paraId="1FBDF394" w14:textId="77777777" w:rsidR="008A7813" w:rsidRDefault="008A7813" w:rsidP="0034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418B" w14:textId="77777777" w:rsidR="008A7813" w:rsidRDefault="008A7813" w:rsidP="00344923">
      <w:pPr>
        <w:spacing w:after="0" w:line="240" w:lineRule="auto"/>
      </w:pPr>
      <w:r>
        <w:separator/>
      </w:r>
    </w:p>
  </w:footnote>
  <w:footnote w:type="continuationSeparator" w:id="0">
    <w:p w14:paraId="5E8F1505" w14:textId="77777777" w:rsidR="008A7813" w:rsidRDefault="008A7813" w:rsidP="0034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F1B24"/>
    <w:multiLevelType w:val="hybridMultilevel"/>
    <w:tmpl w:val="EC52C694"/>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 w15:restartNumberingAfterBreak="0">
    <w:nsid w:val="5C19704B"/>
    <w:multiLevelType w:val="hybridMultilevel"/>
    <w:tmpl w:val="600AF8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EB2209D"/>
    <w:multiLevelType w:val="hybridMultilevel"/>
    <w:tmpl w:val="DC60F11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CE30405"/>
    <w:multiLevelType w:val="hybridMultilevel"/>
    <w:tmpl w:val="CAEC66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72118954">
    <w:abstractNumId w:val="0"/>
  </w:num>
  <w:num w:numId="2" w16cid:durableId="2119715062">
    <w:abstractNumId w:val="2"/>
  </w:num>
  <w:num w:numId="3" w16cid:durableId="1937520543">
    <w:abstractNumId w:val="3"/>
  </w:num>
  <w:num w:numId="4" w16cid:durableId="2774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D"/>
    <w:rsid w:val="00000BDE"/>
    <w:rsid w:val="0001190B"/>
    <w:rsid w:val="00013DAB"/>
    <w:rsid w:val="00032B15"/>
    <w:rsid w:val="00073EEC"/>
    <w:rsid w:val="0008627E"/>
    <w:rsid w:val="00093EAB"/>
    <w:rsid w:val="000A115E"/>
    <w:rsid w:val="000A231E"/>
    <w:rsid w:val="000D5C89"/>
    <w:rsid w:val="000E0638"/>
    <w:rsid w:val="000E597C"/>
    <w:rsid w:val="000E7B45"/>
    <w:rsid w:val="00104E49"/>
    <w:rsid w:val="00120B97"/>
    <w:rsid w:val="001248EE"/>
    <w:rsid w:val="0014090F"/>
    <w:rsid w:val="0014394D"/>
    <w:rsid w:val="00150079"/>
    <w:rsid w:val="00157B9F"/>
    <w:rsid w:val="00167FC3"/>
    <w:rsid w:val="00172C89"/>
    <w:rsid w:val="00181C8E"/>
    <w:rsid w:val="00187C7C"/>
    <w:rsid w:val="00191916"/>
    <w:rsid w:val="00197A36"/>
    <w:rsid w:val="001B79B7"/>
    <w:rsid w:val="001D20BF"/>
    <w:rsid w:val="001D7B24"/>
    <w:rsid w:val="001E2713"/>
    <w:rsid w:val="002008BE"/>
    <w:rsid w:val="00206996"/>
    <w:rsid w:val="002129E8"/>
    <w:rsid w:val="00213547"/>
    <w:rsid w:val="002207D6"/>
    <w:rsid w:val="002208C1"/>
    <w:rsid w:val="00221DEC"/>
    <w:rsid w:val="002261C4"/>
    <w:rsid w:val="00233473"/>
    <w:rsid w:val="00257208"/>
    <w:rsid w:val="002635B9"/>
    <w:rsid w:val="00272BB1"/>
    <w:rsid w:val="00291C0B"/>
    <w:rsid w:val="002A55E9"/>
    <w:rsid w:val="002B4130"/>
    <w:rsid w:val="002B5F8C"/>
    <w:rsid w:val="002C3FD8"/>
    <w:rsid w:val="002C51F6"/>
    <w:rsid w:val="002C68EA"/>
    <w:rsid w:val="002F11E4"/>
    <w:rsid w:val="003027CF"/>
    <w:rsid w:val="0031578E"/>
    <w:rsid w:val="0032043E"/>
    <w:rsid w:val="00327929"/>
    <w:rsid w:val="00336A88"/>
    <w:rsid w:val="00344923"/>
    <w:rsid w:val="00355D97"/>
    <w:rsid w:val="003602EC"/>
    <w:rsid w:val="00383640"/>
    <w:rsid w:val="003842F2"/>
    <w:rsid w:val="00392067"/>
    <w:rsid w:val="00394E9F"/>
    <w:rsid w:val="003D5AFB"/>
    <w:rsid w:val="003E427B"/>
    <w:rsid w:val="003E6488"/>
    <w:rsid w:val="003F0878"/>
    <w:rsid w:val="0043441C"/>
    <w:rsid w:val="00437F7F"/>
    <w:rsid w:val="004629AB"/>
    <w:rsid w:val="0047061A"/>
    <w:rsid w:val="00473279"/>
    <w:rsid w:val="004A5897"/>
    <w:rsid w:val="004D2E9B"/>
    <w:rsid w:val="004D6DB6"/>
    <w:rsid w:val="004E5050"/>
    <w:rsid w:val="004F3F34"/>
    <w:rsid w:val="004F6C7F"/>
    <w:rsid w:val="004F7424"/>
    <w:rsid w:val="00501FB0"/>
    <w:rsid w:val="005024E2"/>
    <w:rsid w:val="00503EE6"/>
    <w:rsid w:val="0050525F"/>
    <w:rsid w:val="00525093"/>
    <w:rsid w:val="00533F9E"/>
    <w:rsid w:val="00550D71"/>
    <w:rsid w:val="00552B46"/>
    <w:rsid w:val="00556EE6"/>
    <w:rsid w:val="00561A2D"/>
    <w:rsid w:val="0056458D"/>
    <w:rsid w:val="00570BD9"/>
    <w:rsid w:val="00572E2D"/>
    <w:rsid w:val="00584418"/>
    <w:rsid w:val="00584675"/>
    <w:rsid w:val="0058561B"/>
    <w:rsid w:val="005935A3"/>
    <w:rsid w:val="00593E38"/>
    <w:rsid w:val="0059504B"/>
    <w:rsid w:val="00597F39"/>
    <w:rsid w:val="005B3B89"/>
    <w:rsid w:val="005D6074"/>
    <w:rsid w:val="005E017D"/>
    <w:rsid w:val="005E797A"/>
    <w:rsid w:val="005F1A28"/>
    <w:rsid w:val="006116CE"/>
    <w:rsid w:val="00617915"/>
    <w:rsid w:val="00624047"/>
    <w:rsid w:val="006246CC"/>
    <w:rsid w:val="00624B50"/>
    <w:rsid w:val="00643D18"/>
    <w:rsid w:val="00644DCE"/>
    <w:rsid w:val="00645700"/>
    <w:rsid w:val="0064792A"/>
    <w:rsid w:val="00664687"/>
    <w:rsid w:val="00664E24"/>
    <w:rsid w:val="00676C90"/>
    <w:rsid w:val="00690D4A"/>
    <w:rsid w:val="00694D01"/>
    <w:rsid w:val="00695633"/>
    <w:rsid w:val="006D605C"/>
    <w:rsid w:val="006E2787"/>
    <w:rsid w:val="00713821"/>
    <w:rsid w:val="007204A7"/>
    <w:rsid w:val="00727801"/>
    <w:rsid w:val="00727A58"/>
    <w:rsid w:val="0073637C"/>
    <w:rsid w:val="007366C9"/>
    <w:rsid w:val="00741C26"/>
    <w:rsid w:val="00752C59"/>
    <w:rsid w:val="00754149"/>
    <w:rsid w:val="007600B5"/>
    <w:rsid w:val="007728C9"/>
    <w:rsid w:val="0078610F"/>
    <w:rsid w:val="007A512B"/>
    <w:rsid w:val="007C0464"/>
    <w:rsid w:val="007C6DD2"/>
    <w:rsid w:val="007E5832"/>
    <w:rsid w:val="007E5C60"/>
    <w:rsid w:val="008100B7"/>
    <w:rsid w:val="00814D47"/>
    <w:rsid w:val="0081718A"/>
    <w:rsid w:val="008218A2"/>
    <w:rsid w:val="00826185"/>
    <w:rsid w:val="00826762"/>
    <w:rsid w:val="008317C9"/>
    <w:rsid w:val="00834A86"/>
    <w:rsid w:val="0084050B"/>
    <w:rsid w:val="00841515"/>
    <w:rsid w:val="008552E9"/>
    <w:rsid w:val="00862940"/>
    <w:rsid w:val="0087542F"/>
    <w:rsid w:val="00897C78"/>
    <w:rsid w:val="008A7813"/>
    <w:rsid w:val="008D118F"/>
    <w:rsid w:val="008D4310"/>
    <w:rsid w:val="008E740B"/>
    <w:rsid w:val="008E76A4"/>
    <w:rsid w:val="00921B47"/>
    <w:rsid w:val="00921FB3"/>
    <w:rsid w:val="00933FA6"/>
    <w:rsid w:val="0093713E"/>
    <w:rsid w:val="00944E05"/>
    <w:rsid w:val="0095516A"/>
    <w:rsid w:val="00956E26"/>
    <w:rsid w:val="00960D0F"/>
    <w:rsid w:val="0096781D"/>
    <w:rsid w:val="00974B6D"/>
    <w:rsid w:val="00991E2E"/>
    <w:rsid w:val="009A06F9"/>
    <w:rsid w:val="009B2CD5"/>
    <w:rsid w:val="009B3585"/>
    <w:rsid w:val="009C3031"/>
    <w:rsid w:val="009E4A31"/>
    <w:rsid w:val="00A06037"/>
    <w:rsid w:val="00A11D7E"/>
    <w:rsid w:val="00A137F1"/>
    <w:rsid w:val="00A17F17"/>
    <w:rsid w:val="00A264B0"/>
    <w:rsid w:val="00A271F7"/>
    <w:rsid w:val="00A31292"/>
    <w:rsid w:val="00A36AE0"/>
    <w:rsid w:val="00A55ED6"/>
    <w:rsid w:val="00A57A1C"/>
    <w:rsid w:val="00A653AF"/>
    <w:rsid w:val="00A67E46"/>
    <w:rsid w:val="00A77330"/>
    <w:rsid w:val="00A86454"/>
    <w:rsid w:val="00A87329"/>
    <w:rsid w:val="00A94101"/>
    <w:rsid w:val="00AD15A5"/>
    <w:rsid w:val="00AE1812"/>
    <w:rsid w:val="00AE5805"/>
    <w:rsid w:val="00AF2A91"/>
    <w:rsid w:val="00B42A12"/>
    <w:rsid w:val="00B438A7"/>
    <w:rsid w:val="00B45C40"/>
    <w:rsid w:val="00B55531"/>
    <w:rsid w:val="00B85EFB"/>
    <w:rsid w:val="00B86C46"/>
    <w:rsid w:val="00BB424A"/>
    <w:rsid w:val="00BC41EE"/>
    <w:rsid w:val="00BE0BC3"/>
    <w:rsid w:val="00BF3396"/>
    <w:rsid w:val="00BF69F3"/>
    <w:rsid w:val="00BF701A"/>
    <w:rsid w:val="00BF7C4A"/>
    <w:rsid w:val="00C01D7B"/>
    <w:rsid w:val="00C110C9"/>
    <w:rsid w:val="00C116B9"/>
    <w:rsid w:val="00C32240"/>
    <w:rsid w:val="00C342DF"/>
    <w:rsid w:val="00C37AFB"/>
    <w:rsid w:val="00C40024"/>
    <w:rsid w:val="00C62C54"/>
    <w:rsid w:val="00C65889"/>
    <w:rsid w:val="00C75076"/>
    <w:rsid w:val="00C87710"/>
    <w:rsid w:val="00C96A98"/>
    <w:rsid w:val="00C97828"/>
    <w:rsid w:val="00CA3DB1"/>
    <w:rsid w:val="00CB4532"/>
    <w:rsid w:val="00CB479D"/>
    <w:rsid w:val="00CB623B"/>
    <w:rsid w:val="00CC6BCA"/>
    <w:rsid w:val="00CD6108"/>
    <w:rsid w:val="00CD6DFD"/>
    <w:rsid w:val="00CE4CC9"/>
    <w:rsid w:val="00CF41B0"/>
    <w:rsid w:val="00CF57EB"/>
    <w:rsid w:val="00D10CD1"/>
    <w:rsid w:val="00D24055"/>
    <w:rsid w:val="00D25AFC"/>
    <w:rsid w:val="00D32597"/>
    <w:rsid w:val="00D3733D"/>
    <w:rsid w:val="00D44515"/>
    <w:rsid w:val="00D4592B"/>
    <w:rsid w:val="00D61662"/>
    <w:rsid w:val="00D62496"/>
    <w:rsid w:val="00D629C3"/>
    <w:rsid w:val="00D749D5"/>
    <w:rsid w:val="00D7502D"/>
    <w:rsid w:val="00D82562"/>
    <w:rsid w:val="00DA1DE2"/>
    <w:rsid w:val="00DA4432"/>
    <w:rsid w:val="00DB0ED2"/>
    <w:rsid w:val="00DB3A4E"/>
    <w:rsid w:val="00DB5B5F"/>
    <w:rsid w:val="00DB710D"/>
    <w:rsid w:val="00DC17F8"/>
    <w:rsid w:val="00DD5624"/>
    <w:rsid w:val="00DE6AEC"/>
    <w:rsid w:val="00DE7ABD"/>
    <w:rsid w:val="00E0501D"/>
    <w:rsid w:val="00E0652D"/>
    <w:rsid w:val="00E144AF"/>
    <w:rsid w:val="00E257B2"/>
    <w:rsid w:val="00E37926"/>
    <w:rsid w:val="00E51F0B"/>
    <w:rsid w:val="00E60B65"/>
    <w:rsid w:val="00E73797"/>
    <w:rsid w:val="00E77C9F"/>
    <w:rsid w:val="00E9606F"/>
    <w:rsid w:val="00EA7E19"/>
    <w:rsid w:val="00EB3C2E"/>
    <w:rsid w:val="00EC1B91"/>
    <w:rsid w:val="00EF7D48"/>
    <w:rsid w:val="00F02FF6"/>
    <w:rsid w:val="00F071F7"/>
    <w:rsid w:val="00F220CE"/>
    <w:rsid w:val="00F31C27"/>
    <w:rsid w:val="00F359E3"/>
    <w:rsid w:val="00F376A5"/>
    <w:rsid w:val="00F5051C"/>
    <w:rsid w:val="00F60431"/>
    <w:rsid w:val="00F721C3"/>
    <w:rsid w:val="00F97B29"/>
    <w:rsid w:val="00FC57F5"/>
    <w:rsid w:val="00FC7BA5"/>
    <w:rsid w:val="00FD3C18"/>
    <w:rsid w:val="00FD5141"/>
    <w:rsid w:val="00FE18CA"/>
    <w:rsid w:val="00FE2F77"/>
    <w:rsid w:val="00FE5AA9"/>
    <w:rsid w:val="00FF0061"/>
    <w:rsid w:val="00FF6905"/>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2D4C"/>
  <w15:chartTrackingRefBased/>
  <w15:docId w15:val="{209064F1-3177-49F8-BAE4-0A4F8AC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23"/>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4923"/>
  </w:style>
  <w:style w:type="paragraph" w:styleId="Footer">
    <w:name w:val="footer"/>
    <w:basedOn w:val="Normal"/>
    <w:link w:val="FooterChar"/>
    <w:uiPriority w:val="99"/>
    <w:unhideWhenUsed/>
    <w:rsid w:val="003449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4923"/>
  </w:style>
  <w:style w:type="paragraph" w:styleId="ListParagraph">
    <w:name w:val="List Paragraph"/>
    <w:basedOn w:val="Normal"/>
    <w:uiPriority w:val="34"/>
    <w:qFormat/>
    <w:rsid w:val="00355D97"/>
    <w:pPr>
      <w:ind w:left="720"/>
      <w:contextualSpacing/>
    </w:pPr>
  </w:style>
  <w:style w:type="character" w:styleId="CommentReference">
    <w:name w:val="annotation reference"/>
    <w:basedOn w:val="DefaultParagraphFont"/>
    <w:uiPriority w:val="99"/>
    <w:semiHidden/>
    <w:unhideWhenUsed/>
    <w:rsid w:val="00533F9E"/>
    <w:rPr>
      <w:sz w:val="16"/>
      <w:szCs w:val="16"/>
    </w:rPr>
  </w:style>
  <w:style w:type="paragraph" w:styleId="CommentText">
    <w:name w:val="annotation text"/>
    <w:basedOn w:val="Normal"/>
    <w:link w:val="CommentTextChar"/>
    <w:uiPriority w:val="99"/>
    <w:unhideWhenUsed/>
    <w:rsid w:val="00533F9E"/>
    <w:pPr>
      <w:spacing w:line="240" w:lineRule="auto"/>
    </w:pPr>
    <w:rPr>
      <w:sz w:val="20"/>
      <w:szCs w:val="20"/>
    </w:rPr>
  </w:style>
  <w:style w:type="character" w:customStyle="1" w:styleId="CommentTextChar">
    <w:name w:val="Comment Text Char"/>
    <w:basedOn w:val="DefaultParagraphFont"/>
    <w:link w:val="CommentText"/>
    <w:uiPriority w:val="99"/>
    <w:rsid w:val="00533F9E"/>
    <w:rPr>
      <w:sz w:val="20"/>
      <w:szCs w:val="20"/>
    </w:rPr>
  </w:style>
  <w:style w:type="paragraph" w:styleId="CommentSubject">
    <w:name w:val="annotation subject"/>
    <w:basedOn w:val="CommentText"/>
    <w:next w:val="CommentText"/>
    <w:link w:val="CommentSubjectChar"/>
    <w:uiPriority w:val="99"/>
    <w:semiHidden/>
    <w:unhideWhenUsed/>
    <w:rsid w:val="00533F9E"/>
    <w:rPr>
      <w:b/>
      <w:bCs/>
    </w:rPr>
  </w:style>
  <w:style w:type="character" w:customStyle="1" w:styleId="CommentSubjectChar">
    <w:name w:val="Comment Subject Char"/>
    <w:basedOn w:val="CommentTextChar"/>
    <w:link w:val="CommentSubject"/>
    <w:uiPriority w:val="99"/>
    <w:semiHidden/>
    <w:rsid w:val="00533F9E"/>
    <w:rPr>
      <w:b/>
      <w:bCs/>
      <w:sz w:val="20"/>
      <w:szCs w:val="20"/>
    </w:rPr>
  </w:style>
  <w:style w:type="paragraph" w:styleId="BalloonText">
    <w:name w:val="Balloon Text"/>
    <w:basedOn w:val="Normal"/>
    <w:link w:val="BalloonTextChar"/>
    <w:uiPriority w:val="99"/>
    <w:semiHidden/>
    <w:unhideWhenUsed/>
    <w:rsid w:val="0053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9E"/>
    <w:rPr>
      <w:rFonts w:ascii="Segoe UI" w:hAnsi="Segoe UI" w:cs="Segoe UI"/>
      <w:sz w:val="18"/>
      <w:szCs w:val="18"/>
    </w:rPr>
  </w:style>
  <w:style w:type="paragraph" w:styleId="Revision">
    <w:name w:val="Revision"/>
    <w:hidden/>
    <w:uiPriority w:val="99"/>
    <w:semiHidden/>
    <w:rsid w:val="00A17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0B068D4DB638D4D83CFEF74C12CB670" ma:contentTypeVersion="4" ma:contentTypeDescription="Create a new document." ma:contentTypeScope="" ma:versionID="29f85d568f2483290e2dfc2f2d882393">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6b16a7-de2f-47cc-9eaa-991bdb9199e1">IPQDOC-224-38341</_dlc_DocId>
    <_dlc_DocIdUrl xmlns="716b16a7-de2f-47cc-9eaa-991bdb9199e1">
      <Url>http://ipq1sapp01:9999/DMET/_layouts/DocIdRedir.aspx?ID=IPQDOC-224-38341</Url>
      <Description>IPQDOC-224-38341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6EA6A-55BD-4596-87D2-826D3BE138BD}">
  <ds:schemaRefs>
    <ds:schemaRef ds:uri="http://schemas.microsoft.com/sharepoint/events"/>
  </ds:schemaRefs>
</ds:datastoreItem>
</file>

<file path=customXml/itemProps2.xml><?xml version="1.0" encoding="utf-8"?>
<ds:datastoreItem xmlns:ds="http://schemas.openxmlformats.org/officeDocument/2006/customXml" ds:itemID="{5F014FB8-1673-4D40-ADD5-EBE585697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54567-45D1-4A3C-88CC-5B9388739A6A}">
  <ds:schemaRefs>
    <ds:schemaRef ds:uri="http://schemas.microsoft.com/office/2006/metadata/properties"/>
    <ds:schemaRef ds:uri="http://schemas.microsoft.com/office/infopath/2007/PartnerControls"/>
    <ds:schemaRef ds:uri="716b16a7-de2f-47cc-9eaa-991bdb9199e1"/>
  </ds:schemaRefs>
</ds:datastoreItem>
</file>

<file path=customXml/itemProps4.xml><?xml version="1.0" encoding="utf-8"?>
<ds:datastoreItem xmlns:ds="http://schemas.openxmlformats.org/officeDocument/2006/customXml" ds:itemID="{3D0F512B-875A-4B06-8BC4-34DF7F15D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947</Words>
  <Characters>5402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MCFerreira@ipq.pt</dc:creator>
  <cp:keywords/>
  <dc:description/>
  <cp:lastModifiedBy>Liana Brili</cp:lastModifiedBy>
  <cp:revision>4</cp:revision>
  <dcterms:created xsi:type="dcterms:W3CDTF">2023-04-03T15:23:00Z</dcterms:created>
  <dcterms:modified xsi:type="dcterms:W3CDTF">2023-04-19T15:42:00Z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4600ee9b-d3c1-4d72-9efa-04b38c3a2de3</vt:lpwstr>
  </property>
  <property fmtid="{D5CDD505-2E9C-101B-9397-08002B2CF9AE}" pid="3" name="ContentTypeId">
    <vt:lpwstr>0x01010090B068D4DB638D4D83CFEF74C12CB670</vt:lpwstr>
  </property>
</Properties>
</file>