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ECONOMIE EN MARITIEME ZAKEN</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Kabinet van de Staatssecretaris van Economische Zaken</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Verordening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Samenvatting: Verordening tot vaststelling van een Verordening betreffende de wettelijke metrologische controle van opaciteitsmeters.</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De metrologische controle van meetmethoden en -instrumenten in Portugal voldoet aan de algemene regeling die is goedgekeurd bij wetsbesluit nr. 29/2022 van 7 april, aan de algemene regelgevingsbepalingen van de algemene Verordening inzake de metrologische controle, goedgekeurd bij Verordening nr. 211/2022 van 23 augustus, en ook aan de bepalingen in de specifieke verordeningen van elk meetinstrument.</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Met het oog op de bekendmaking van deze rechtspositie dient de specifieke verordening te worden vastgesteld waaraan de metrologische controle van opaciteitsmeters dient te voldoen, waarbij Verordening nr. 797/2009 van 1 december wordt ingetrokken.</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Deze Verordening wordt onderworpen aan de informatieprocedure op het gebied van technische voorschriften en regels betreffende de diensten van de informatiemaatschappij als bedoeld in Richtlijn (EU) 2015/1535 van het Europees Parlement en de Raad van 9 september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Derhalve:</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Krachtens artikel 2, onder a), en artikel 25, lid 1, van wetsbesluit nr. 29/2022 van 7 april, in samenhang met de bepalingen van artikel 1, lid 4, van de Verordening gehecht aan Verordening nr. 211/2022 van 23 augustus, bepaalt de regering, bij de Staatssecretaris van Economische Zaken, het volgende:</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894A16">
      <w:pPr>
        <w:keepNext/>
        <w:spacing w:after="120" w:line="360" w:lineRule="auto"/>
        <w:jc w:val="center"/>
        <w:rPr>
          <w:rFonts w:ascii="Garamond" w:hAnsi="Garamond" w:cs="Arial"/>
          <w:b/>
          <w:bCs/>
          <w:sz w:val="24"/>
          <w:szCs w:val="24"/>
        </w:rPr>
      </w:pPr>
      <w:r>
        <w:rPr>
          <w:rFonts w:ascii="Garamond" w:hAnsi="Garamond"/>
          <w:sz w:val="24"/>
        </w:rPr>
        <w:lastRenderedPageBreak/>
        <w:t>Artikel 1</w:t>
      </w:r>
    </w:p>
    <w:p w14:paraId="1BA6C310" w14:textId="77777777" w:rsidR="00503EE6" w:rsidRPr="003D5AFB" w:rsidRDefault="00503EE6" w:rsidP="00894A16">
      <w:pPr>
        <w:keepNext/>
        <w:spacing w:after="120" w:line="360" w:lineRule="auto"/>
        <w:jc w:val="center"/>
        <w:rPr>
          <w:rFonts w:ascii="Garamond" w:hAnsi="Garamond" w:cs="Arial"/>
          <w:b/>
          <w:bCs/>
          <w:sz w:val="24"/>
          <w:szCs w:val="24"/>
        </w:rPr>
      </w:pPr>
      <w:r>
        <w:rPr>
          <w:rFonts w:ascii="Garamond" w:hAnsi="Garamond"/>
          <w:b/>
          <w:sz w:val="24"/>
        </w:rPr>
        <w:t>Onderwerp</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De Verordening betreffende de wettelijke metrologische controle van opaciteitsmeters, gehecht aan deze Verordening waarvan zij een integrerend deel uitmaakt, wordt hierbij goedgekeurd.</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Intrekkingsclausule</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Verordening nr. 797/2009 van 1 december wordt hierbij ingetrokken.</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Inwerkingtreding</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Deze Verordening treedt in werking op de dag na de bekendmaking ervan.</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xx xxxxxx 2023. – De staatssecretaris van Economische Zaken,</w:t>
      </w:r>
      <w:r>
        <w:rPr>
          <w:rFonts w:ascii="Garamond" w:hAnsi="Garamond"/>
          <w:i/>
          <w:sz w:val="24"/>
        </w:rPr>
        <w:t xml:space="preserve"> 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BIJLAGE</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VERORDENING VAN WETTELIJKE METROLOGISCHE CONTROLE VAN OPACITEITSMETERS</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1</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Toepassingsgebied</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Deze Verordening is van toepassing op opaciteitsmeters die zijn bestemd voor het meten van de opaciteit van uitlaatemissies van dieselvoertuigen.</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Artikel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Definitie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Voor de toepassing van deze Verordening wordt onder opaciteitsmeter verstaan, instrumenten die zijn ontworpen voor het continu meten van de opaciteit van uitlaatgassen die door voertuigen worden uitgestoten.</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Artikel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In gebruik nemen</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De opacimeters dienen te voldoen aan de gedefinieerde metrologische en technische voorschriften </w:t>
      </w:r>
      <w:bookmarkStart w:id="2" w:name="_Hlk63409046"/>
      <w:bookmarkStart w:id="3" w:name="_Hlk63674255"/>
      <w:r>
        <w:rPr>
          <w:rFonts w:ascii="Garamond" w:hAnsi="Garamond"/>
          <w:sz w:val="24"/>
        </w:rPr>
        <w:t xml:space="preserve">in de </w:t>
      </w:r>
      <w:bookmarkEnd w:id="2"/>
      <w:bookmarkEnd w:id="3"/>
      <w:r>
        <w:rPr>
          <w:rFonts w:ascii="Garamond" w:hAnsi="Garamond"/>
          <w:sz w:val="24"/>
        </w:rPr>
        <w:t>norm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Artikel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Aanduiding</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De aanduiding van de opaciteitsmeters wordt uitgedrukt door middel van de lichtgevende absorptiecoëfficiënt, vertegenwoordigd door het symbool k, en in de eenheid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De opaciteitswaarden zijn percentages en worden uitgedrukt door het symbool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Wanneer de omrekeningsfactor naar behoren wordt uitgedrukt, kunnen andere equivalente eenheden worden aanvaard op basis van het Internationaal Stelsel van Eenheden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5024E2">
      <w:pPr>
        <w:spacing w:after="120" w:line="360" w:lineRule="auto"/>
        <w:jc w:val="center"/>
        <w:rPr>
          <w:rFonts w:ascii="Garamond" w:hAnsi="Garamond" w:cs="Arial"/>
          <w:sz w:val="24"/>
          <w:szCs w:val="24"/>
        </w:rPr>
      </w:pPr>
      <w:r>
        <w:rPr>
          <w:rFonts w:ascii="Garamond" w:hAnsi="Garamond"/>
          <w:sz w:val="24"/>
        </w:rPr>
        <w:t>Artikel 5</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Wettelijke metrologische controle</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De wettelijke metrologische controle van de </w:t>
      </w:r>
      <w:bookmarkStart w:id="4" w:name="_Hlk106875133"/>
      <w:r>
        <w:rPr>
          <w:rFonts w:ascii="Garamond" w:hAnsi="Garamond"/>
          <w:sz w:val="24"/>
        </w:rPr>
        <w:t xml:space="preserve">opaciteitsmeters </w:t>
      </w:r>
      <w:bookmarkEnd w:id="4"/>
      <w:r>
        <w:rPr>
          <w:rFonts w:ascii="Garamond" w:hAnsi="Garamond"/>
          <w:sz w:val="24"/>
        </w:rPr>
        <w:t>is de verantwoordelijkheid van het Portugese Kwaliteitsinstituut, I.P. (IPQ, I.P.) en omvat de bewerkingen van modelgoedkeuring, eerste verificatie, periodieke verificatie en buitengewone verificatie.</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Artikel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Modelgoedkeuring</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De modelgoedkeuring dient te voldoen aan de voorschriften van artikel 7 van wetsbesluit nr. 29/2022 van 7 april en artikel 2 van de Verordening gehecht aan Verordening nr. 211/2022 van 23 augustus.</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Tijdens de geldigheidsduur van de modelgoedkeuring hebben alle wijzigingen in het goedgekeurde model, door vervanging van onderdelen, door toevoeging van een aanvullend apparaat, wijziging in het geïnstalleerde </w:t>
      </w:r>
      <w:r>
        <w:rPr>
          <w:rFonts w:ascii="Garamond" w:hAnsi="Garamond"/>
          <w:color w:val="000000"/>
          <w:sz w:val="24"/>
        </w:rPr>
        <w:t xml:space="preserve">computerprogramma </w:t>
      </w:r>
      <w:r>
        <w:rPr>
          <w:rFonts w:ascii="Garamond" w:hAnsi="Garamond"/>
          <w:i/>
          <w:color w:val="000000"/>
          <w:sz w:val="24"/>
        </w:rPr>
        <w:t>(software)</w:t>
      </w:r>
      <w:r>
        <w:rPr>
          <w:rFonts w:ascii="Garamond" w:hAnsi="Garamond"/>
          <w:color w:val="000000"/>
          <w:sz w:val="24"/>
        </w:rPr>
        <w:t xml:space="preserve"> of door wijzigingen die de resultaten van metingen of de regelgevende gebruiksvoorwaarden kunnen beïnvloeden, een aanvullende modelgoedkeuring nodig.</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De </w:t>
      </w:r>
      <w:r>
        <w:rPr>
          <w:rFonts w:ascii="Garamond" w:hAnsi="Garamond"/>
          <w:sz w:val="24"/>
        </w:rPr>
        <w:t>computer</w:t>
      </w:r>
      <w:r>
        <w:rPr>
          <w:rFonts w:ascii="Garamond" w:hAnsi="Garamond"/>
          <w:color w:val="000000"/>
          <w:sz w:val="24"/>
        </w:rPr>
        <w:t xml:space="preserve">programma’s die door de </w:t>
      </w:r>
      <w:bookmarkStart w:id="5" w:name="_Hlk126936097"/>
      <w:r>
        <w:rPr>
          <w:rFonts w:ascii="Garamond" w:hAnsi="Garamond"/>
          <w:sz w:val="24"/>
        </w:rPr>
        <w:t>opacimeters</w:t>
      </w:r>
      <w:r>
        <w:rPr>
          <w:rFonts w:ascii="Garamond" w:hAnsi="Garamond"/>
          <w:color w:val="000000"/>
          <w:sz w:val="24"/>
        </w:rPr>
        <w:t xml:space="preserve"> </w:t>
      </w:r>
      <w:bookmarkEnd w:id="5"/>
      <w:r>
        <w:rPr>
          <w:rFonts w:ascii="Garamond" w:hAnsi="Garamond"/>
          <w:color w:val="000000"/>
          <w:sz w:val="24"/>
        </w:rPr>
        <w:t>worden gebruikt, dienen de integriteit en vertrouwelijkheid van de verkregen en gepresenteerde gegevens te waarborgen, en dienen tevens te worden onderworpen aan een unieke en ondubbelzinnige identificatie.</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Artikel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Eerste verificatie</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De eerste verificatie wordt uitgevoerd voordat het instrument in de handel wordt gebracht, of na de reparatie ervan, en telkens wanneer er sprake is van een inbreuk op het verzegelingssysteem, zonder periodieke verificatie in dat jaar, met dezelfde geldigheidsduur.</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De eerste verificatietests worden uitgevoerd overeenkomstig de metrologische en technische voorschriften van artikel 3 van deze Verordening.</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De maximaal toelaatbare foutwaarden voor de eerste verificatie zijn gelijk aan ± 2 % opaciteit,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Artikel 8</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Periodieke verificatie</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Periodieke verificatie heeft een jaarlijkse frequentie en is geldig gedurende een jaar na de voltooiing ervan.</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Periodieke verificatietests zijn dezelfde als die welke zijn vastgesteld voor de eerste verificatie.</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De waarden van de maximaal toelaatbare fouten bij de periodieke verificatie zijn gelijk aan de waarden van de maximaal toelaatbare fouten die voor de eerste verificatie zijn vastgesteld.</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Artikel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Buitengewone verificatie</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Buitengewone verificatie omvat de periodieke verificatietests.</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Bij de buitengewone verificatie zijn de waarden van de maximaal toelaatbare fouten gelijk aan de waarden van de maximaal toelaatbare fouten die voor de periodieke controle zijn vastgesteld.</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Artikel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Opschriften en markeringen</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Op opaciteitsmeters dienen zichtbare en leesbare opschriften en markeringen te worden aangebracht in overeenstemming met de metrologische voorschriften van artikel 3 van deze Verordening.</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Opaciteitsmeters dienen ook te zijn voorzien van het modelgoedkeuringssymbool en andere symbolen of referenties die voordelig zijn voor het gebruik ervan.</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894A16">
      <w:pPr>
        <w:keepNext/>
        <w:spacing w:after="120" w:line="360" w:lineRule="auto"/>
        <w:jc w:val="center"/>
        <w:rPr>
          <w:rFonts w:ascii="Garamond" w:hAnsi="Garamond" w:cs="Arial"/>
          <w:sz w:val="24"/>
          <w:szCs w:val="24"/>
        </w:rPr>
      </w:pPr>
      <w:bookmarkStart w:id="11" w:name="_Hlk63417111"/>
      <w:r>
        <w:rPr>
          <w:rFonts w:ascii="Garamond" w:hAnsi="Garamond"/>
          <w:sz w:val="24"/>
        </w:rPr>
        <w:lastRenderedPageBreak/>
        <w:t>Artikel 11</w:t>
      </w:r>
    </w:p>
    <w:p w14:paraId="7F04099F" w14:textId="77777777" w:rsidR="00503EE6" w:rsidRPr="003D5AFB" w:rsidRDefault="00503EE6" w:rsidP="00894A16">
      <w:pPr>
        <w:keepNext/>
        <w:spacing w:after="120" w:line="360" w:lineRule="auto"/>
        <w:jc w:val="center"/>
        <w:rPr>
          <w:rFonts w:ascii="Garamond" w:hAnsi="Garamond" w:cs="Arial"/>
          <w:b/>
          <w:bCs/>
          <w:sz w:val="24"/>
          <w:szCs w:val="24"/>
        </w:rPr>
      </w:pPr>
      <w:r>
        <w:rPr>
          <w:rFonts w:ascii="Garamond" w:hAnsi="Garamond"/>
          <w:b/>
          <w:sz w:val="24"/>
        </w:rPr>
        <w:t>Overgangsbepaling</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De instrumenten die al in gebruik zijn, mogen in goede staat in gebruik blijven en als zich fouten voordoen in de metrologische verificatietests, mogen die fouten de maximaal toelaatbare fouten niet overschrijden.</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rFonts w:ascii="Garamond" w:hAnsi="Garamond" w:cs="Arial"/>
          <w:sz w:val="24"/>
          <w:szCs w:val="24"/>
        </w:rPr>
      </w:pPr>
      <w:r>
        <w:rPr>
          <w:rFonts w:ascii="Garamond" w:hAnsi="Garamond"/>
          <w:sz w:val="24"/>
        </w:rPr>
        <w:t>Artikel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Definitieve beschikking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De bepalingen van de voorgaande artikelen vormen geen beletsel voor het in de handel brengen of verdere gebruik van opaciteitsmeters, vergezeld van conformiteitsbeoordelingscertificaten die zijn afgegeven door krachtens de toepasselijke wetgeving van de Europese Unie erkende instanties, in het kader van de wettelijke metrologische activiteit, op basis van specificaties en procedures die een metrologische kwaliteit waarborgen ten opzichte van de in deze Verordening bedoelde instanties, waarbij de gelijkwaardigheid wordt beoordeeld door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4A16"/>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Props1.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2.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3.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1006</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