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1A0AF" w14:textId="6E015C20" w:rsidR="00341F8F" w:rsidRPr="002E5171" w:rsidRDefault="00341F8F" w:rsidP="009D5D83">
      <w:pPr>
        <w:rPr>
          <w:rFonts w:ascii="Arial" w:hAnsi="Arial" w:cs="Arial"/>
          <w:b/>
          <w:i/>
          <w:sz w:val="22"/>
          <w:szCs w:val="22"/>
        </w:rPr>
      </w:pPr>
    </w:p>
    <w:p w14:paraId="72EE155D" w14:textId="1512F31E" w:rsidR="00341F8F" w:rsidRPr="001E7C87" w:rsidRDefault="00341F8F" w:rsidP="007B0C9B">
      <w:pPr>
        <w:jc w:val="both"/>
        <w:rPr>
          <w:strike/>
          <w:sz w:val="24"/>
          <w:szCs w:val="24"/>
          <w:rFonts w:ascii="Arial" w:hAnsi="Arial" w:cs="Arial"/>
        </w:rPr>
      </w:pPr>
      <w:r>
        <w:rPr>
          <w:b/>
          <w:sz w:val="24"/>
          <w:rFonts w:ascii="Arial" w:hAnsi="Arial"/>
        </w:rPr>
        <w:t xml:space="preserve">PROJEKT DEKRETU KRÓLEWSKIEGO W SPRAWIE REGULACJI UZNAWANYCH W HISZPANII KRAJOWYCH OZNACZEŃ HANDLOWYCH I NAZW ŻYWNOŚCI KONSERWOWANEJ I PRZETWORZONEJ MAJĄCYCH ZASTOSOWANIE DO PRODUKTÓW RYBOŁÓWSTWA I AKWAKULTURY</w:t>
      </w:r>
    </w:p>
    <w:p w14:paraId="32B68F0A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209A4F06" w14:textId="77777777" w:rsidR="00341F8F" w:rsidRPr="001E7C87" w:rsidRDefault="00341F8F" w:rsidP="009D5D83">
      <w:pPr>
        <w:ind w:firstLine="708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Artykuł 169 Traktatu o funkcjonowaniu Unii Europejskiej (TFUE) stanowi, że dążąc do popierania interesów konsumentów i zapewnienia wysokiego poziomu ochrony konsumentów, Unia przyczynia się do ochrony ich zdrowia, bezpieczeństwa i interesów gospodarczych, jak również wspierania ich prawa do informacji.</w:t>
      </w:r>
      <w:r>
        <w:rPr>
          <w:sz w:val="24"/>
          <w:rFonts w:ascii="Arial" w:hAnsi="Arial"/>
        </w:rPr>
        <w:t xml:space="preserve"> </w:t>
      </w:r>
    </w:p>
    <w:p w14:paraId="5AD64B3B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6A10FD28" w14:textId="77777777" w:rsidR="00341F8F" w:rsidRPr="001E7C87" w:rsidRDefault="00341F8F" w:rsidP="009D5D83">
      <w:pPr>
        <w:ind w:firstLine="708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Swobodny przepływ bezpiecznej i zdrowej żywności ma zasadnicze znaczenie dla rynku wewnętrznego i stanowi kluczowy wkład w zdrowie i dobrostan obywateli, a także ich interesy społeczne i gospodarcze.</w:t>
      </w:r>
      <w:r>
        <w:rPr>
          <w:sz w:val="24"/>
          <w:rFonts w:ascii="Arial" w:hAnsi="Arial"/>
        </w:rPr>
        <w:t xml:space="preserve"> </w:t>
      </w:r>
    </w:p>
    <w:p w14:paraId="28CCE8DC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580E0707" w14:textId="77777777" w:rsidR="00341F8F" w:rsidRPr="001E7C87" w:rsidRDefault="00341F8F" w:rsidP="009D5D83">
      <w:pPr>
        <w:ind w:firstLine="708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Aby osiągnąć wysoki poziom ochrony zdrowia konsumentów i zagwarantować im prawo do informacji, konsumenci muszą posiadać odpowiednie informacje na temat spożywanej przez nich żywności.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Na decyzje konsumentów mogą wpływać czynniki zdrowotne, ekonomiczne, środowiskowe, społeczne, etyczne i inne.</w:t>
      </w:r>
    </w:p>
    <w:p w14:paraId="2D307FD8" w14:textId="77777777" w:rsidR="00341F8F" w:rsidRPr="001E7C87" w:rsidRDefault="00341F8F" w:rsidP="00EC748B">
      <w:pPr>
        <w:tabs>
          <w:tab w:val="left" w:pos="2205"/>
        </w:tabs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ab/>
      </w:r>
    </w:p>
    <w:p w14:paraId="38A55550" w14:textId="77777777" w:rsidR="00341F8F" w:rsidRPr="001E7C87" w:rsidRDefault="00341F8F" w:rsidP="009D5D83">
      <w:pPr>
        <w:ind w:firstLine="708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Zgodnie z rozporządzeniem (WE) nr 178/2002 Parlamentu Europejskiego i Rady z dnia 28 stycznia 2002 r. ustanawiającym ogólne zasady i wymagania prawa żywnościowego, powołującym Europejski Urząd ds. Bezpieczeństwa Żywności oraz ustanawiającym procedury w zakresie bezpieczeństwa żywności ogólną zasadą prawa żywnościowego jest zapewnienie konsumentom podstawy dokonywania świadomego wyboru związanego ze spożywaną przez nich żywnością oraz unikanie wszelkich innych praktyk mogących wprowadzać konsumenta w błąd.</w:t>
      </w:r>
    </w:p>
    <w:p w14:paraId="39C6C1B8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190279A7" w14:textId="77777777" w:rsidR="00341F8F" w:rsidRPr="001E7C87" w:rsidRDefault="00341F8F" w:rsidP="009D5D83">
      <w:pPr>
        <w:ind w:firstLine="708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W związku z tym etykietowanie żywności jest główną formą komunikacji między producentami żywności a konsumentami końcowymi, co czyni je kluczowym narzędziem umożliwiającym świadomy wybór żywności, którą kupują i spożywają.</w:t>
      </w:r>
    </w:p>
    <w:p w14:paraId="0F01ABED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4E2D55AC" w14:textId="77777777" w:rsidR="00341F8F" w:rsidRPr="001E7C87" w:rsidRDefault="00341F8F" w:rsidP="009D5D83">
      <w:pPr>
        <w:ind w:firstLine="708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Ze swojej strony rozporządzenie Parlamentu Europejskiego i Rady (UE) nr 1380/2013 z dnia 11 grudnia 2013 r. w sprawie wspólnej polityki rybołówstwa, zmieniające rozporządzenia Rady (WE) nr 1954/2003 i (WE) nr 1224/2009 oraz uchylające rozporządzenia Rady (WE) nr 2371/2002 i (WE) nr 639/2004 oraz decyzję Rady 2004/585/WE stanowi, że wspólna polityka rybołówstwa przyczynia się do efektywnego i przejrzystego rynku wewnętrznego dla produktów rybołówstwa i akwakultury, a także do zapewnienia równych warunków dla produktów rybołówstwa i akwakultury podlegających obrotowi oraz uwzględnia interesy zarówno konsumentów, jak i producentów.</w:t>
      </w:r>
      <w:r>
        <w:rPr>
          <w:sz w:val="24"/>
          <w:rFonts w:ascii="Arial" w:hAnsi="Arial"/>
        </w:rPr>
        <w:t xml:space="preserve"> </w:t>
      </w:r>
    </w:p>
    <w:p w14:paraId="3C3C98A0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7BB8169A" w14:textId="72440F18" w:rsidR="00341F8F" w:rsidRPr="001E7C87" w:rsidRDefault="00341F8F" w:rsidP="009D5D83">
      <w:pPr>
        <w:ind w:firstLine="708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W rzeczywistości rozporządzenie Parlamentu Europejskiego i Rady (UE) nr 1380/2013 z dnia 11 grudnia 2013 r. stanowi, że wspólna organizacja rynków powinna zwiększyć przejrzystość i stabilność rynków, zapewnić większe zrównoważenie podziału wartości dodanej wśród uczestników łańcucha dostaw w sektorze oraz poprawy informowania i świadomości konsumentów dzięki oznakowaniom lub etykietom zawierającym zrozumiałe informacje.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W szczególności musi ona dostarczać konsumentowi jasnych i wyczerpujących informacji dotyczących pochodzenia produktu i sposobu jego wyprodukowania, w szczególności przez oznaczanie i etykietowanie.</w:t>
      </w:r>
    </w:p>
    <w:p w14:paraId="60480209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45830948" w14:textId="77777777" w:rsidR="00341F8F" w:rsidRPr="001E7C87" w:rsidRDefault="00341F8F" w:rsidP="009D5D83">
      <w:pPr>
        <w:ind w:firstLine="708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W związku z tym rozporządzenie Parlamentu Europejskiego i Rady (UE) nr 1379/2013 z dnia 11 grudnia 2013 r. w sprawie wspólnej organizacji rynków produktów rybołówstwa i akwakultury wskazuje, że aby umożliwić konsumentom dokonywanie świadomych wyborów, konieczne jest dostarczenie im jasnych i wyczerpujących informacji.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Celem wyżej wymienionego rozporządzenia jest dążenie do wysokiego poziomu ochrony zdrowia konsumentów i ostatecznie ochrona ich prawa do informacji, tak aby mogli oni dokonywać świadomych wyborów.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W tym celu rozdział IV tego rozporządzenia reguluje informacje przeznaczone dla konsumenta końcowego, które, bez uszczerbku dla rozporządzenia Parlamentu Europejskiego i Rady (UE) nr 1169/2011 z dnia 25 października 2011 r. w sprawie przekazywania konsumentom informacji na temat żywności, zmiany rozporządzeń Parlamentu Europejskiego i Rady (WE) nr 1924/2006 i (WE) nr 1925/2006 oraz uchylenia dyrektywy Komisji 87/250/EWG, dyrektywy Rady 90/496/EWG, dyrektywy Komisji 1999/10/WE, dyrektywy 2000/13/WE Parlamentu Europejskiego i Rady, dyrektyw Komisji 2002/67/WE i 2008/5/WE oraz rozporządzenia Komisji (WE) nr 608/2004 mają zastosowanie do produktów rybołówstwa i akwakultury wymienionych w lit. a), b), c) i e) załącznika I do wspólnej organizacji rynku.</w:t>
      </w:r>
      <w:r>
        <w:rPr>
          <w:sz w:val="24"/>
          <w:rFonts w:ascii="Arial" w:hAnsi="Arial"/>
        </w:rPr>
        <w:t xml:space="preserve"> </w:t>
      </w:r>
    </w:p>
    <w:p w14:paraId="4F07EC37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7DFDEABE" w14:textId="77777777" w:rsidR="00341F8F" w:rsidRPr="001E7C87" w:rsidRDefault="00341F8F" w:rsidP="009D5D83">
      <w:pPr>
        <w:ind w:firstLine="708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W szczególności art. 37 wyżej wymienionego rozporządzenia Parlamentu Europejskiego i Rady (UE) nr 1379/2013 z dnia 11 grudnia 2013 r. stanowi, że do celów obowiązkowych informacji dla konsumentów każde państwo członkowskie musi opublikować wykaz oznaczeń handlowych zaakceptowanych na jego terytorium, wraz z ich nazwami systematycznymi, dla produktów wymienionych w lit. a), b), c) i e) załącznika I do wspomnianego rozporządzenia.</w:t>
      </w:r>
      <w:r>
        <w:rPr>
          <w:sz w:val="24"/>
          <w:rFonts w:ascii="Arial" w:hAnsi="Arial"/>
        </w:rPr>
        <w:t xml:space="preserve"> </w:t>
      </w:r>
    </w:p>
    <w:p w14:paraId="11238964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1B5A794D" w14:textId="77777777" w:rsidR="00341F8F" w:rsidRPr="001E7C87" w:rsidRDefault="00341F8F" w:rsidP="009D5D83">
      <w:pPr>
        <w:ind w:firstLine="708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W związku z tym Sekretariat Generalny ds. Rybołówstwa publikuje roczny wykaz oznaczeń handlowych gatunków rybołówstwa i akwakultury zaakceptowanych w Hiszpanii, ostatnio w drodze decyzji z dnia 24 maja 2019 r.</w:t>
      </w:r>
    </w:p>
    <w:p w14:paraId="78EC4CBF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1C492A0F" w14:textId="77777777" w:rsidR="00341F8F" w:rsidRPr="001E7C87" w:rsidRDefault="00341F8F" w:rsidP="009D5D83">
      <w:pPr>
        <w:ind w:firstLine="708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Ten wykaz oznaczeń handlowych nie obejmuje jednak oznaczeń mających zastosowanie do produktów wymienionych w lit. h) lub i) wyżej wymienionego załącznika I do rozporządzenia (UE) nr 1379/2013, tj. przetworzonych lub zakonserwowanych ryb, mięczaków, skorupiaków i innych bezkręgowców wodnych objętych pozycjami taryfowymi 1604 i 1605 Nomenklatury Scalonej.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Produkty te podlegają obowiązkowym wymogom informacyjnym określonym w rozporządzeniu Parlamentu Europejskiego i Rady (UE) nr 1169/2011 w sprawie przekazywania konsumentom informacji na temat żywności, w szczególności w odniesieniu do oznaczania żywności.</w:t>
      </w:r>
    </w:p>
    <w:p w14:paraId="3DDF3FDD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38A1E6E4" w14:textId="77777777" w:rsidR="00341F8F" w:rsidRPr="001E7C87" w:rsidRDefault="00341F8F" w:rsidP="009D5D83">
      <w:pPr>
        <w:pStyle w:val="Default"/>
        <w:ind w:firstLine="708"/>
        <w:jc w:val="both"/>
        <w:rPr>
          <w:color w:val="auto"/>
          <w:rFonts w:ascii="Arial" w:hAnsi="Arial" w:cs="Arial"/>
        </w:rPr>
      </w:pPr>
      <w:r>
        <w:rPr>
          <w:color w:val="auto"/>
          <w:rFonts w:ascii="Arial" w:hAnsi="Arial"/>
        </w:rPr>
        <w:t xml:space="preserve">W odniesieniu do tych ostatnich należy zauważyć, że znormalizowane oznaczenia mające zastosowanie do konserwowanych produktów rybołówstwa, które były stosowane w Hiszpanii, to oznaczenia zawarte w obecnym załączniku IV do dekretu królewskiego 1521/1984 z dnia 1 sierpnia 1984 r. przyjmującego techniczne przepisy zdrowotne dotyczące zakładów rybołówstwa i akwakultury oraz produktów rybołówstwa i akwakultury przeznaczonych do spożycia przez ludzi, który został częściowo uchylony, z wyjątkiem wyżej wymienionych załączników IV, załącznika VII oraz art. 3 i 4.</w:t>
      </w:r>
      <w:r>
        <w:rPr>
          <w:color w:val="auto"/>
          <w:rFonts w:ascii="Arial" w:hAnsi="Arial"/>
        </w:rPr>
        <w:t xml:space="preserve"> </w:t>
      </w:r>
      <w:r>
        <w:rPr>
          <w:color w:val="auto"/>
          <w:rFonts w:ascii="Arial" w:hAnsi="Arial"/>
        </w:rPr>
        <w:t xml:space="preserve">W związku z tym, biorąc pod uwagę upływ czasu i zgodnie ze zmianami w europejskich i krajowych przepisach dotyczących rybołówstwa, informacji żywnościowych i bezpieczeństwa żywności, władze uznają za konieczne dostosowanie definicji podanych w tych przepisach dotyczących form prezentacji, konserwacji i wprowadzania do obrotu produktów rybołówstwa i akwakultury oraz części produktów rybołówstwa.</w:t>
      </w:r>
      <w:r>
        <w:rPr>
          <w:color w:val="auto"/>
          <w:rFonts w:ascii="Arial" w:hAnsi="Arial"/>
        </w:rPr>
        <w:t xml:space="preserve"> </w:t>
      </w:r>
      <w:r>
        <w:rPr>
          <w:color w:val="auto"/>
          <w:rFonts w:ascii="Arial" w:hAnsi="Arial"/>
        </w:rPr>
        <w:t xml:space="preserve">Jednocześnie konieczne jest również zastąpienie wyżej wymienionego załącznika IV do dekretu królewskiego 1521/1984 z dnia 1 sierpnia 1984 r. przepisami nowego załącznika do tego dekretu królewskiego.</w:t>
      </w:r>
      <w:r>
        <w:rPr>
          <w:color w:val="auto"/>
          <w:rFonts w:ascii="Arial" w:hAnsi="Arial"/>
        </w:rPr>
        <w:t xml:space="preserve"> </w:t>
      </w:r>
    </w:p>
    <w:p w14:paraId="362377FE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09BF29D6" w14:textId="77777777" w:rsidR="00341F8F" w:rsidRPr="001E7C87" w:rsidRDefault="00341F8F" w:rsidP="009D5D83">
      <w:pPr>
        <w:ind w:firstLine="708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Ponadto należy dokonać przeglądu niektórych przepisów, które wymagają aktualizacji w tej dziedzinie, pod kątem wewnętrznej spójności hiszpańskiego systemu prawnego, w szczególności rozporządzenia z dnia 15 października 1985 r. w sprawie przyjęcia normy jakości dla konserwowanych omułków, małży i sercówek oraz rozporządzenia z dnia 15 października 1985 r. w sprawie przyjęcia normy jakości dla gotowanych i mrożonych omułków, które regulują aspekty związane z oznaczeniem tych produktów.</w:t>
      </w:r>
      <w:r>
        <w:rPr>
          <w:sz w:val="24"/>
          <w:rFonts w:ascii="Arial" w:hAnsi="Arial"/>
        </w:rPr>
        <w:t xml:space="preserve"> </w:t>
      </w:r>
    </w:p>
    <w:p w14:paraId="05B4B310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004628C2" w14:textId="77777777" w:rsidR="00341F8F" w:rsidRPr="001E7C87" w:rsidRDefault="00341F8F" w:rsidP="009D5D83">
      <w:pPr>
        <w:ind w:firstLine="708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Oba rozporządzenia są w tej dziedzinie bardzo cenne i muszą zostać zastąpione treścią tego dekretu królewskiego, biorąc pod uwagę rozwój produkcji żywności na jednolitym rynku, nowe wzorce i nawyki konsumpcyjne, a wreszcie i przede wszystkim podstawową odpowiedzialność przedsiębiorców i podmiotów gospodarczych uczestniczących w łańcuchu żywnościowym za zapewnienie bezpieczeństwa poprzez dostarczanie konsumentom odpowiednich informacji, od produkcji podstawowej począwszy, a skończywszy na przetwórstwie, dystrybucji i sprzedaży, co oznacza, że wszystkie przedsiębiorstwa sektora spożywczego muszą zagwarantować bezpieczeństwo swoich produktów na etapach łańcucha żywnościowego, za które są odpowiedzialne, od produkcji do sprzedaży konsumentowi końcowemu.</w:t>
      </w:r>
    </w:p>
    <w:p w14:paraId="1E9659F1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090546A0" w14:textId="77777777" w:rsidR="00341F8F" w:rsidRPr="001E7C87" w:rsidRDefault="00341F8F" w:rsidP="009D5D83">
      <w:pPr>
        <w:ind w:firstLine="708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Z drugiej strony należy również zauważyć, że władze europejskie przyjęły wspólne normy handlowe w odniesieniu do niektórych produktów.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Dotyczy to rozporządzenia Rady (EWG) nr 1536/92 z dnia 9 czerwca 1992 r. ustanawiającego wspólne normy handlowe w odniesieniu do konserwowanego tuńczyka i bonito oraz rozporządzenia Rady (EWG) nr 2136/89 z dnia 21 czerwca 1989 r. ustanawiającego wspólne normy handlowe w odniesieniu do konserwowanych sardynek.</w:t>
      </w:r>
      <w:r>
        <w:rPr>
          <w:sz w:val="24"/>
          <w:rFonts w:ascii="Arial" w:hAnsi="Arial"/>
        </w:rPr>
        <w:t xml:space="preserve"> </w:t>
      </w:r>
    </w:p>
    <w:p w14:paraId="2A732259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1DF968FB" w14:textId="77777777" w:rsidR="00341F8F" w:rsidRPr="001E7C87" w:rsidRDefault="00341F8F" w:rsidP="009D5D83">
      <w:pPr>
        <w:ind w:firstLine="708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Współistnienie wielu różnych wykazów</w:t>
      </w:r>
      <w:r>
        <w:t xml:space="preserve"> </w:t>
      </w:r>
      <w:r>
        <w:rPr>
          <w:sz w:val="24"/>
          <w:rFonts w:ascii="Arial" w:hAnsi="Arial"/>
        </w:rPr>
        <w:t xml:space="preserve">oznaczeń różnych produktów rybołówstwa i akwakultury, wraz z kilkoma wspólnymi normami handlowymi mającymi zastosowanie do niektórych produktów, skłania władze do dokonania przeglądu wszystkich tych oznaczeń i przekształcenia ich w jeden tekst w celu stworzenia jednolitego wykazu, który Sekretariat Generalny ds. Rybołówstwa może skutecznie aktualizować, biorąc pod uwagę rozwój naukowy i taksonomiczny, a także impuls handlowy i technologiczny, z którego korzystał hiszpański sektor przetwórstwa w ostatnich dziesięcioleciach, wraz z pojawieniem się nowych produktów i procesów, a jednocześnie w celu zwiększenia pewności prawnej dla podmiotów i konsumentów.</w:t>
      </w:r>
    </w:p>
    <w:p w14:paraId="043D24F4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38BF47DC" w14:textId="77777777" w:rsidR="00341F8F" w:rsidRPr="001E7C87" w:rsidRDefault="00341F8F" w:rsidP="009D5D83">
      <w:pPr>
        <w:ind w:firstLine="708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Z drugiej strony art. 75 ustawy nr 3/2001 z dnia 26 marca 2001 r. o krajowym rybołówstwie morskim określa instrumenty polityki wprowadzania do obrotu i przetwarzania produktów rybołówstwa, w tym możliwość podejmowania środków w celu ujednolicenia produktów w całym łańcuchu obrotu, zapewniając w ten sposób przejrzystość rynku i umożliwiając konsumentom uzyskanie odpowiednich informacji, w szczególności na temat charakteru i pochodzenia produktów.</w:t>
      </w:r>
      <w:r>
        <w:rPr>
          <w:sz w:val="24"/>
          <w:rFonts w:ascii="Arial" w:hAnsi="Arial"/>
        </w:rPr>
        <w:t xml:space="preserve"> </w:t>
      </w:r>
    </w:p>
    <w:p w14:paraId="1D3484A3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02D12029" w14:textId="77777777" w:rsidR="00341F8F" w:rsidRPr="001E7C87" w:rsidRDefault="00341F8F" w:rsidP="009D5D83">
      <w:pPr>
        <w:ind w:firstLine="708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Przepisy niniejszego dekretu królewskiego mają zastosowanie bez uszczerbku dla ogólnego prawa żywnościowego, w szczególności rozporządzenia (UE) nr 1169/2011 z dnia 25 października 2011 r. w sprawie przekazywania konsumentom informacji na temat żywności, rozporządzenia (UE) nr 1151/2012 z dnia 21 listopada 2012 r. w sprawie systemów jakości produktów rolnych i środków spożywczych, rozporządzenia Parlamentu Europejskiego i Rady (UE) 2018/848 z dnia 30 maja 2018 r. w sprawie produkcji ekologicznej i znakowania produktów ekologicznych i uchylającego rozporządzenie Rady (WE) nr 834/2007, w szczególności w sprawie przepisów dotyczących bezpieczeństwa żywności, oświadczeń żywieniowych i zdrowotnych, do etykietowania produktów pochodnych nowej żywności, organizmów modyfikowanych genetycznie, żywności przeznaczonej dla niemowląt i małych dzieci, żywności specjalnego przeznaczenia medycznego i środków spożywczych zastępujących całodzienną dietę, do kontroli masy ciała.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Ponadto mają one zastosowanie bez uszczerbku dla wszelkich dobrowolnych informacji, które przedsiębiorcy mogą zamieszczać w ramach rozporządzenia Parlamentu Europejskiego i Rady (UE) nr 1379/2013 z dnia 11 grudnia 2013 r. oraz rozporządzenia Parlamentu Europejskiego i Rady (UE) nr 1169/2011 z dnia 25 października 2011 r.</w:t>
      </w:r>
    </w:p>
    <w:p w14:paraId="2BCB6830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3568C21F" w14:textId="77777777" w:rsidR="00341F8F" w:rsidRPr="001E7C87" w:rsidRDefault="00341F8F" w:rsidP="009D5D83">
      <w:pPr>
        <w:ind w:firstLine="708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Aby usprawnić procedury rozpatrywania wniosków o dostosowanie wykazu do hierarchii ustawodawczej, dekret królewski przewiduje przyszły mechanizm aktualizacji, z zastrzeżeniem ujawnienia i pewności prawa dla przedsiębiorców, ustalany corocznie w zarządzeniu, które aktualizuje obecny załącznik w celu zapewnienia właściwego powiadamiania, a wszystko to bez uszczerbku dla uprawnień organów do stosowania </w:t>
      </w:r>
      <w:r>
        <w:rPr>
          <w:sz w:val="24"/>
          <w:i/>
          <w:rFonts w:ascii="Arial" w:hAnsi="Arial"/>
        </w:rPr>
        <w:t xml:space="preserve">ex-officio</w:t>
      </w:r>
      <w:r>
        <w:rPr>
          <w:sz w:val="24"/>
          <w:rFonts w:ascii="Arial" w:hAnsi="Arial"/>
        </w:rPr>
        <w:t xml:space="preserve"> zmian w wykazie w razie potrzeby.</w:t>
      </w:r>
    </w:p>
    <w:p w14:paraId="0EEBF116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0C8C99F5" w14:textId="77777777" w:rsidR="00341F8F" w:rsidRPr="001E7C87" w:rsidRDefault="00341F8F" w:rsidP="009D5D83">
      <w:pPr>
        <w:ind w:firstLine="708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Zgodnie z dyrektywą Parlamentu Europejskiego i Rady (UE) 2015/1535 z dnia 9 września 2015 r. ustanawiającą procedurę udzielania informacji w zakresie przepisów technicznych i zasad dotyczących usług społeczeństwa informacyjnego oraz dekretem królewskim 1337/1999 z dnia 31 lipca 1999 r. regulującym udzielanie informacji w zakresie przepisów i norm technicznych oraz zasad dotyczących usług społeczeństwa informacyjnego, niniejsze rozporządzenie zostało przedłożone Komisji Europejskiej i pozostałym państwom członkowskim.</w:t>
      </w:r>
      <w:r>
        <w:rPr>
          <w:sz w:val="24"/>
          <w:rFonts w:ascii="Arial" w:hAnsi="Arial"/>
        </w:rPr>
        <w:t xml:space="preserve"> </w:t>
      </w:r>
    </w:p>
    <w:p w14:paraId="08FB11FE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22EDE36A" w14:textId="77777777" w:rsidR="00341F8F" w:rsidRPr="001E7C87" w:rsidRDefault="00341F8F" w:rsidP="009D5D83">
      <w:pPr>
        <w:ind w:firstLine="708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Treść niniejszego dekretu królewskiego jest zgodna z zasadami dobrego stanowienia prawa określonymi w art. 129 ustawy nr 39/2015 z dnia 1 października 2015 r. o powszechnym postępowaniu administracyjnym organów administracji publicznej.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W związku z tym, zgodnie z zasadami konieczności i skuteczności, niniejsze rozporządzenie jest uzasadnione koniecznością przyjęcia odpowiednich ram dla oznaczeń żywności konserwowanej lub przetworzonej oraz oznaczeń handlowych zaakceptowanych w Hiszpanii w odniesieniu do produktów rybołówstwa i akwakultury, zgodnie z przepisami prawa europejskiego,</w:t>
      </w:r>
      <w:r>
        <w:t xml:space="preserve"> </w:t>
      </w:r>
      <w:r>
        <w:rPr>
          <w:sz w:val="24"/>
          <w:rFonts w:ascii="Arial" w:hAnsi="Arial"/>
        </w:rPr>
        <w:t xml:space="preserve">a także spełnia potrzebę, o której mowa w art. 37 rozporządzenia Parlamentu Europejskiego i Rady (UE) nr 1379/2013 z dnia 11 grudnia 2013 r.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Podobnie spełnia ona zasady efektywności i proporcjonalności, zapewniając poziom regulacji ściśle niezbędny do osiągnięcia zamierzonych celów.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Zgodnie z zasadą przejrzystości oraz w ramach wysłuchania publicznego proces opracowywania tego rozporządzenia obejmował konsultacje ze wspólnotami autonomicznymi i podmiotami reprezentującymi zainteresowane sektory.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Wreszcie, niniejszy dekret królewski jest zgodny z zasadą pewności prawa, zachowując spójność z pozostałymi obowiązującymi ramami prawnymi i zapewniając przedsiębiorcom niezbędne okresy przejściowe na dostosowanie się.</w:t>
      </w:r>
    </w:p>
    <w:p w14:paraId="1B3A1E72" w14:textId="77777777" w:rsidR="00341F8F" w:rsidRPr="00DE1B43" w:rsidRDefault="00341F8F" w:rsidP="00EC748B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1FAEB317" w14:textId="77777777" w:rsidR="00341F8F" w:rsidRPr="001E7C87" w:rsidRDefault="00341F8F" w:rsidP="009D5D83">
      <w:pPr>
        <w:ind w:firstLine="708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Rozporządzenie to zawiera również model współpracy międzyadministracyjnej, który uznaje jurysdykcję zarówno państwa, jak i wspólnot autonomicznych, zapewniając właściwe współdziałanie obu organów.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W związku z tym, zgodnie z odpowiednimi przepisami europejskimi, państwo, jako organ wyższy, jest uprawnione do promowania jednolitego wykazu oznaczeń handlowych dla całego kraju.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Wykaz ten obejmuje zarówno wykaz oznaczeń handlowych mających zastosowanie na całym terytorium kraju, przyjęty zgodnie z niniejszym dekretem królewskim, jak i wszelkie wykazy przyjęte przez właściwe organy wspólnot autonomicznych w odniesieniu do oznaczeń handlowych przyjętych na ich terytoriach, które będą uzupełniać wykazy krajowe, ale nigdy ich nie zastąpią.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Wykazy te muszą być również opublikowane w ich odpowiednich dziennikach urzędowych, a w styczniu każdego roku właściwe organy wspólnot autonomicznych muszą powiadomić Sekretariat Generalny ds. Rybołówstwa o decyzjach przyjmujących te wykazy uzupełniające, w celu ich zestawienia i opublikowania w wyżej wymienionym zarządzeniu rocznym, aby zachować aktualność tych oznaczeń i zapewnić pewność prawa oraz ochronę interesów konsumentów.</w:t>
      </w:r>
      <w:r>
        <w:rPr>
          <w:sz w:val="24"/>
          <w:rFonts w:ascii="Arial" w:hAnsi="Arial"/>
        </w:rPr>
        <w:t xml:space="preserve"> </w:t>
      </w:r>
    </w:p>
    <w:p w14:paraId="0C192B43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3C9D5BC4" w14:textId="77777777" w:rsidR="00341F8F" w:rsidRPr="001E7C87" w:rsidRDefault="00341F8F" w:rsidP="009D5D83">
      <w:pPr>
        <w:ind w:firstLine="708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W procesie opracowywania niniejszego rozporządzenia</w:t>
      </w:r>
      <w:r>
        <w:rPr>
          <w:sz w:val="24"/>
        </w:rPr>
        <w:t xml:space="preserve"> </w:t>
      </w:r>
      <w:r>
        <w:rPr>
          <w:sz w:val="24"/>
          <w:rFonts w:ascii="Arial" w:hAnsi="Arial"/>
        </w:rPr>
        <w:t xml:space="preserve">przeprowadzono obowiązkowe uprzednie konsultacje społeczne, wysłuchanie i procedury informacyjne.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Ponadto władze skonsultowały się ze wspólnotami autonomicznymi i podmiotami reprezentującymi odnośne sektory, a Międzyministerialny Komitet ds. Gospodarki Żywnościowej wydał swoje obowiązkowe sprawozdanie.</w:t>
      </w:r>
    </w:p>
    <w:p w14:paraId="7BD65168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67FDEF80" w14:textId="77777777" w:rsidR="00341F8F" w:rsidRPr="001E7C87" w:rsidRDefault="00341F8F" w:rsidP="009D5D83">
      <w:pPr>
        <w:ind w:firstLine="708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Artykuł 149 ust. 1 pkt 13) konstytucji hiszpańskiej stanowi podstawę prawną przyjęcia tego rozporządzenia dekretem królewskim jako rozporządzenie podstawowe.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Zgodnie z orzecznictwem Trybunału Konstytucyjnego opiera się to na wyraźnie technicznym charakterze celu rozporządzenia oraz na potrzebie ustanowienia jednolitych ram regulacyjnych mających zastosowanie na całym terytorium kraju i zapewniających jednolite traktowanie wszystkich producentów.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Podobnie jego przyjęcie jest zgodne z wyłącznymi kompetencjami państwa w dziedzinie handlu zagranicznego w odniesieniu do tego rodzaju stosunków zgodnie z art. 149 ust. 1 pkt 10).</w:t>
      </w:r>
    </w:p>
    <w:p w14:paraId="13D9F0EC" w14:textId="77777777" w:rsidR="00341F8F" w:rsidRPr="00DE1B43" w:rsidRDefault="00341F8F" w:rsidP="00EC748B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2AFC4508" w14:textId="66216D7B" w:rsidR="00341F8F" w:rsidRPr="001E7C87" w:rsidRDefault="00341F8F" w:rsidP="009D5D83">
      <w:pPr>
        <w:ind w:firstLine="708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Zgodnie z powyższym, na wniosek Ministra Rolnictwa, Rybołówstwa i Żywności oraz Ministra ds. Ochrony Konsumentów, za uprzednią zgodą Ministra Finansów i Służby Cywilnej, ……………….. Rady Państwa oraz po rozpatrzeniu przez Radę Ministrów na posiedzeniu w dniu xx xxxx 2019 r.,</w:t>
      </w:r>
    </w:p>
    <w:p w14:paraId="2AF11FB2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7F59B6B1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2FC2ABFF" w14:textId="77777777" w:rsidR="00341F8F" w:rsidRPr="001E7C87" w:rsidRDefault="00341F8F" w:rsidP="00EC748B">
      <w:pPr>
        <w:jc w:val="both"/>
        <w:rPr>
          <w:b/>
          <w:sz w:val="24"/>
          <w:szCs w:val="24"/>
          <w:rFonts w:ascii="Arial" w:hAnsi="Arial" w:cs="Arial"/>
        </w:rPr>
      </w:pPr>
      <w:r>
        <w:rPr>
          <w:b/>
          <w:sz w:val="24"/>
          <w:rFonts w:ascii="Arial" w:hAnsi="Arial"/>
        </w:rPr>
        <w:t xml:space="preserve">NINIEJSZYM ROZPORZĄDZAM, CO NASTĘPUJE:</w:t>
      </w:r>
    </w:p>
    <w:p w14:paraId="5A4D2DAD" w14:textId="77777777" w:rsidR="00341F8F" w:rsidRPr="001E7C87" w:rsidRDefault="00341F8F" w:rsidP="00EC748B">
      <w:pPr>
        <w:jc w:val="both"/>
        <w:rPr>
          <w:rFonts w:ascii="Arial" w:hAnsi="Arial" w:cs="Arial"/>
          <w:b/>
          <w:sz w:val="24"/>
          <w:szCs w:val="24"/>
        </w:rPr>
      </w:pPr>
    </w:p>
    <w:p w14:paraId="5DDE3018" w14:textId="77777777" w:rsidR="00341F8F" w:rsidRPr="009D5D83" w:rsidRDefault="00341F8F" w:rsidP="00EC748B">
      <w:pPr>
        <w:jc w:val="both"/>
        <w:rPr>
          <w:b/>
          <w:sz w:val="24"/>
          <w:szCs w:val="24"/>
          <w:rFonts w:ascii="Arial" w:hAnsi="Arial" w:cs="Arial"/>
        </w:rPr>
      </w:pPr>
      <w:r>
        <w:rPr>
          <w:b/>
          <w:sz w:val="24"/>
          <w:rFonts w:ascii="Arial" w:hAnsi="Arial"/>
        </w:rPr>
        <w:t xml:space="preserve">Artykuł 1.</w:t>
      </w:r>
      <w:r>
        <w:rPr>
          <w:b/>
          <w:sz w:val="24"/>
          <w:rFonts w:ascii="Arial" w:hAnsi="Arial"/>
        </w:rPr>
        <w:t xml:space="preserve"> </w:t>
      </w:r>
      <w:r>
        <w:rPr>
          <w:b/>
          <w:sz w:val="24"/>
          <w:i/>
          <w:rFonts w:ascii="Arial" w:hAnsi="Arial"/>
        </w:rPr>
        <w:t xml:space="preserve">Cel</w:t>
      </w:r>
      <w:r>
        <w:rPr>
          <w:b/>
          <w:sz w:val="24"/>
          <w:rFonts w:ascii="Arial" w:hAnsi="Arial"/>
        </w:rPr>
        <w:t xml:space="preserve"> </w:t>
      </w:r>
    </w:p>
    <w:p w14:paraId="2FE7F84A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712CF41D" w14:textId="20D920A9" w:rsidR="00341F8F" w:rsidRPr="009D5D83" w:rsidRDefault="009D5D83" w:rsidP="009D5D83">
      <w:p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1.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Przedmiotem niniejszego dekretu królewskiego jest:</w:t>
      </w:r>
    </w:p>
    <w:p w14:paraId="649DF671" w14:textId="77777777" w:rsidR="00341F8F" w:rsidRPr="001E7C87" w:rsidRDefault="00341F8F" w:rsidP="00EC748B">
      <w:pPr>
        <w:pStyle w:val="ListParagraph"/>
        <w:ind w:left="360"/>
        <w:jc w:val="both"/>
        <w:rPr>
          <w:rFonts w:ascii="Arial" w:hAnsi="Arial" w:cs="Arial"/>
          <w:sz w:val="24"/>
          <w:szCs w:val="24"/>
        </w:rPr>
      </w:pPr>
    </w:p>
    <w:p w14:paraId="0C62A754" w14:textId="45A0921E" w:rsidR="00341F8F" w:rsidRPr="00E6403A" w:rsidRDefault="00341F8F" w:rsidP="009D5D83">
      <w:pPr>
        <w:pStyle w:val="ListParagraph"/>
        <w:numPr>
          <w:ilvl w:val="0"/>
          <w:numId w:val="3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określenie krajowych oznaczeń handlowych zaakceptowanych w Hiszpanii w odniesieniu do produktów rybołówstwa i akwakultury wymienionych w lit. a), b), c) i e) załącznika I do rozporządzenia Parlamentu Europejskiego i Rady (UE) nr 1379/2013 z dnia 11 grudnia 2013 r. w sprawie wspólnej organizacji rynków produktów rybołówstwa i akwakultury, w celu dostarczenia obowiązkowych informacji zgodnie z art. 35 tego rozporządzenia oraz zestawienia wszelkich oznaczeń handlowych zaakceptowanych przez różne wspólnoty autonomiczne na ich terytoriach w celu uzupełnienia oznaczeń handlowych przyjętych na poziomie krajowym;</w:t>
      </w:r>
    </w:p>
    <w:p w14:paraId="5AA55534" w14:textId="437C7FFE" w:rsidR="00472084" w:rsidRPr="009D5D83" w:rsidRDefault="00341F8F" w:rsidP="009D5D83">
      <w:pPr>
        <w:pStyle w:val="ListParagraph"/>
        <w:numPr>
          <w:ilvl w:val="0"/>
          <w:numId w:val="3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określenie oznaczeń żywności konserwowanej lub przetworzonej zaakceptowanych w Hiszpanii w odniesieniu do produktów rybołówstwa i akwakultury w lit. h i i) załącznika I do rozporządzenia Parlamentu Europejskiego i Rady (UE) nr 1379/2013 z dnia 11 grudnia 2013 r. w celu dostarczenia obowiązkowych informacji o oznaczeniu żywności zgodnie z art. 17 rozporządzenia Parlamentu Europejskiego i Rady (UE) nr 1169/2011 z dnia 25 października 2011 r. w sprawie przekazywania konsumentom informacji na temat żywności.</w:t>
      </w:r>
    </w:p>
    <w:p w14:paraId="13C29F35" w14:textId="77777777" w:rsidR="00472084" w:rsidRPr="001E7C87" w:rsidRDefault="00472084" w:rsidP="00472084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2C627CA3" w14:textId="5694CFDA" w:rsidR="00341F8F" w:rsidRPr="009D5D83" w:rsidRDefault="009D5D83" w:rsidP="009D5D83">
      <w:p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2.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Krajowe oznaczenia handlowe i oznaczenia żywności konserwowanej lub przetworzonej znajdujące się w wykazie uznaje się za urzędowe oznaczenia na całym terytorium kraju.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Jednakże oznaczenia handlowe w różnych wspólnotach autonomicznych znajdujące się w wykazie uzupełniają oznaczenie handlowe na ich odpowiednich terytoriach i nie zastępują oznaczeń krajowych.</w:t>
      </w:r>
    </w:p>
    <w:p w14:paraId="0FEF7532" w14:textId="77777777" w:rsidR="00341F8F" w:rsidRPr="009D5D83" w:rsidRDefault="00341F8F" w:rsidP="009D5D83">
      <w:pPr>
        <w:jc w:val="both"/>
        <w:rPr>
          <w:rFonts w:ascii="Arial" w:hAnsi="Arial" w:cs="Arial"/>
          <w:sz w:val="24"/>
          <w:szCs w:val="24"/>
        </w:rPr>
      </w:pPr>
    </w:p>
    <w:p w14:paraId="706FC2D2" w14:textId="77777777" w:rsidR="00341F8F" w:rsidRPr="009D5D83" w:rsidRDefault="00341F8F" w:rsidP="00EC748B">
      <w:pPr>
        <w:jc w:val="both"/>
        <w:rPr>
          <w:b/>
          <w:sz w:val="24"/>
          <w:szCs w:val="24"/>
          <w:rFonts w:ascii="Arial" w:hAnsi="Arial" w:cs="Arial"/>
        </w:rPr>
      </w:pPr>
      <w:r>
        <w:rPr>
          <w:b/>
          <w:sz w:val="24"/>
          <w:rFonts w:ascii="Arial" w:hAnsi="Arial"/>
        </w:rPr>
        <w:t xml:space="preserve">Artykuł 2.</w:t>
      </w:r>
      <w:r>
        <w:rPr>
          <w:b/>
          <w:sz w:val="24"/>
          <w:rFonts w:ascii="Arial" w:hAnsi="Arial"/>
        </w:rPr>
        <w:t xml:space="preserve"> </w:t>
      </w:r>
      <w:r>
        <w:rPr>
          <w:b/>
          <w:sz w:val="24"/>
          <w:i/>
          <w:rFonts w:ascii="Arial" w:hAnsi="Arial"/>
        </w:rPr>
        <w:t xml:space="preserve">Terminy i definicje</w:t>
      </w:r>
      <w:r>
        <w:rPr>
          <w:b/>
          <w:sz w:val="24"/>
          <w:rFonts w:ascii="Arial" w:hAnsi="Arial"/>
        </w:rPr>
        <w:t xml:space="preserve"> </w:t>
      </w:r>
    </w:p>
    <w:p w14:paraId="0A91F352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1C303C2D" w14:textId="34F52F97" w:rsidR="00341F8F" w:rsidRPr="009D5D83" w:rsidRDefault="009D5D83" w:rsidP="009D5D83">
      <w:p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1.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Do celów niniejszego dekretu królewskiego stosuje się definicje zawarte w europejskim i krajowym prawodawstwie dotyczącym rybołówstwa, informacji o żywności i bezpieczeństwa żywności.</w:t>
      </w:r>
    </w:p>
    <w:p w14:paraId="01814459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5727AE12" w14:textId="4607695C" w:rsidR="00341F8F" w:rsidRPr="009D5D83" w:rsidRDefault="009D5D83" w:rsidP="009D5D83">
      <w:p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2.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Ponadto do celów niniejszego dekretu królewskiego stosuje się definicje zawarte w art. 3 i 4 dekretu królewskiego 1521/1984 z dnia 1 sierpnia 1984 r. przyjmującego techniczne przepisy zdrowotne dotyczące zakładów rybołówstwa i akwakultury oraz produktów rybołówstwa i akwakultury przeznaczonych do spożycia przez ludzi.</w:t>
      </w:r>
      <w:r>
        <w:rPr>
          <w:sz w:val="24"/>
          <w:rFonts w:ascii="Arial" w:hAnsi="Arial"/>
        </w:rPr>
        <w:t xml:space="preserve"> </w:t>
      </w:r>
    </w:p>
    <w:p w14:paraId="4DD895D3" w14:textId="77777777" w:rsidR="00341F8F" w:rsidRPr="001E7C87" w:rsidRDefault="00341F8F" w:rsidP="00500755">
      <w:pPr>
        <w:jc w:val="both"/>
        <w:rPr>
          <w:rFonts w:ascii="Arial" w:hAnsi="Arial" w:cs="Arial"/>
          <w:sz w:val="24"/>
          <w:szCs w:val="24"/>
        </w:rPr>
      </w:pPr>
    </w:p>
    <w:p w14:paraId="08F8AA47" w14:textId="77777777" w:rsidR="00341F8F" w:rsidRPr="009D5D83" w:rsidRDefault="00341F8F" w:rsidP="00EC748B">
      <w:pPr>
        <w:jc w:val="both"/>
        <w:rPr>
          <w:b/>
          <w:i/>
          <w:sz w:val="24"/>
          <w:szCs w:val="24"/>
          <w:rFonts w:ascii="Arial" w:hAnsi="Arial" w:cs="Arial"/>
        </w:rPr>
      </w:pPr>
      <w:r>
        <w:rPr>
          <w:b/>
          <w:sz w:val="24"/>
          <w:rFonts w:ascii="Arial" w:hAnsi="Arial"/>
        </w:rPr>
        <w:t xml:space="preserve">Artykuł 3.</w:t>
      </w:r>
      <w:r>
        <w:rPr>
          <w:b/>
          <w:sz w:val="24"/>
          <w:rFonts w:ascii="Arial" w:hAnsi="Arial"/>
        </w:rPr>
        <w:t xml:space="preserve"> </w:t>
      </w:r>
      <w:r>
        <w:rPr>
          <w:b/>
          <w:sz w:val="24"/>
          <w:i/>
          <w:rFonts w:ascii="Arial" w:hAnsi="Arial"/>
        </w:rPr>
        <w:t xml:space="preserve">Warunek wstępny sprzedaży produktów rybołówstwa i akwakultury konsumentom końcowym lub grupom</w:t>
      </w:r>
    </w:p>
    <w:p w14:paraId="46A92B7A" w14:textId="77777777" w:rsidR="00E130BB" w:rsidRDefault="00E130BB" w:rsidP="00E130BB">
      <w:pPr>
        <w:jc w:val="both"/>
        <w:rPr>
          <w:rFonts w:ascii="Arial" w:hAnsi="Arial" w:cs="Arial"/>
          <w:b/>
          <w:sz w:val="24"/>
          <w:szCs w:val="24"/>
        </w:rPr>
      </w:pPr>
    </w:p>
    <w:p w14:paraId="62F5BE4F" w14:textId="2A98E504" w:rsidR="00341F8F" w:rsidRPr="00E6403A" w:rsidRDefault="006F1DD6" w:rsidP="00E130BB">
      <w:p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1.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Zezwala się na oferowanie produktów rybołówstwa i akwakultury, o których mowa w art. 1 ust. 1, do sprzedaży konsumentom końcowym lub grupom, jeżeli oznakowanie lub etykietowanie wskazuje krajowe oznaczenie handlowe lub oznaczenie żywności konserwowanej lub przetworzonej, które jest akceptowane w Hiszpanii w odniesieniu do produktów rybołówstwa i akwakultury znajdujących się w wykazie w załączniku.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W stosownych przypadkach władze mogą również dodać te, które zostały zaakceptowane przez wspólnoty autonomiczne na ich odpowiednich terytoriach, jako uzupełnienie do krajowych.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Nazwa systematyczna widniejąca w wykazie jest zawsze nazwą zawartą w bazie danych ASFIS Organizacji ds. Wyżywienia i Rolnictwa (FAO).</w:t>
      </w:r>
    </w:p>
    <w:p w14:paraId="0892D87C" w14:textId="77777777" w:rsidR="004F5D4B" w:rsidRPr="00E6403A" w:rsidRDefault="004F5D4B" w:rsidP="00EC748B">
      <w:pPr>
        <w:jc w:val="both"/>
        <w:rPr>
          <w:rFonts w:ascii="Arial" w:hAnsi="Arial" w:cs="Arial"/>
          <w:sz w:val="24"/>
          <w:szCs w:val="24"/>
        </w:rPr>
      </w:pPr>
    </w:p>
    <w:p w14:paraId="675921B2" w14:textId="63CEFB38" w:rsidR="00341F8F" w:rsidRDefault="00A977D2" w:rsidP="00EC748B">
      <w:pPr>
        <w:jc w:val="both"/>
        <w:rPr>
          <w:sz w:val="24"/>
          <w:rFonts w:ascii="Arial" w:hAnsi="Arial"/>
        </w:rPr>
      </w:pPr>
      <w:r>
        <w:rPr>
          <w:sz w:val="24"/>
          <w:rFonts w:ascii="Arial" w:hAnsi="Arial"/>
        </w:rPr>
        <w:t xml:space="preserve">2.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Jeżeli załącznik nie zawiera żadnego oznaczenia dla żywności zakonserwowanej lub przetworzonej zaakceptowanego w Hiszpanii dla nazwy systematycznej, a przedsiębiorca chce wprowadzić do obrotu konserwowany lub przetworzony produkt wytworzony z tego gatunku na terytorium kraju, przed wprowadzeniem do obrotu produktu, jak określono w art. 5, zwraca się o jego umieszczenie w załączniku.</w:t>
      </w:r>
    </w:p>
    <w:p w14:paraId="16887BB9" w14:textId="77777777" w:rsidR="00DE1B43" w:rsidRPr="001E7C87" w:rsidRDefault="00DE1B43" w:rsidP="00EC748B">
      <w:pPr>
        <w:jc w:val="both"/>
        <w:rPr>
          <w:rFonts w:ascii="Arial" w:hAnsi="Arial" w:cs="Arial"/>
          <w:sz w:val="24"/>
          <w:szCs w:val="24"/>
        </w:rPr>
      </w:pPr>
    </w:p>
    <w:p w14:paraId="616E8826" w14:textId="77777777" w:rsidR="00341F8F" w:rsidRPr="009D5D83" w:rsidRDefault="00341F8F" w:rsidP="00EC748B">
      <w:pPr>
        <w:jc w:val="both"/>
        <w:rPr>
          <w:b/>
          <w:i/>
          <w:sz w:val="24"/>
          <w:szCs w:val="24"/>
          <w:rFonts w:ascii="Arial" w:hAnsi="Arial" w:cs="Arial"/>
        </w:rPr>
      </w:pPr>
      <w:r>
        <w:rPr>
          <w:b/>
          <w:sz w:val="24"/>
          <w:rFonts w:ascii="Arial" w:hAnsi="Arial"/>
        </w:rPr>
        <w:t xml:space="preserve">Artykuł 4.</w:t>
      </w:r>
      <w:r>
        <w:rPr>
          <w:b/>
          <w:sz w:val="24"/>
          <w:rFonts w:ascii="Arial" w:hAnsi="Arial"/>
        </w:rPr>
        <w:t xml:space="preserve"> </w:t>
      </w:r>
      <w:r>
        <w:rPr>
          <w:b/>
          <w:sz w:val="24"/>
          <w:i/>
          <w:rFonts w:ascii="Arial" w:hAnsi="Arial"/>
        </w:rPr>
        <w:t xml:space="preserve">Roczny przegląd wykazu krajowych oznaczeń handlowych i oznaczeń żywności zakonserwowanej i przetworzonej mającej zastosowanie do produktów rybołówstwa i akwakultury przyjętych w Hiszpanii</w:t>
      </w:r>
    </w:p>
    <w:p w14:paraId="6869F584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43FCAF61" w14:textId="15E97D69" w:rsidR="00341F8F" w:rsidRPr="001E7C87" w:rsidRDefault="00895DB5" w:rsidP="00EC748B">
      <w:p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1.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Raz w roku minister rolnictwa, rybołówstwa i żywności wydaje zarządzenie, publikowane w Dzienniku Urzędowym w pierwszym kwartale każdego roku, zawierające najnowszą aktualizację wykazu oznaczeń.</w:t>
      </w:r>
    </w:p>
    <w:p w14:paraId="4FE101B1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060ABAE5" w14:textId="3235B08F" w:rsidR="00341F8F" w:rsidRPr="001E7C87" w:rsidRDefault="00895DB5" w:rsidP="00EC748B">
      <w:p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2.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Zarządzenie to zawiera zaktualizowany wykaz krajowych oznaczeń handlowych i oznaczeń żywności zakonserwowanej lub przetworzonej zaakceptowanych w Hiszpanii w odniesieniu do produktów rybołówstwa i akwakultury, z uwzględnieniem decyzji o rozpatrzeniu indywidualnych wniosków w sprawie umieszczenia w wykazie, zmian lub usunięcia z wykazu z poprzedniego roku, o których mowa w następnym artykule, lub tych, które Departament przyjmuje </w:t>
      </w:r>
      <w:r>
        <w:rPr>
          <w:sz w:val="24"/>
          <w:i/>
          <w:rFonts w:ascii="Arial" w:hAnsi="Arial"/>
        </w:rPr>
        <w:t xml:space="preserve">ex officio</w:t>
      </w:r>
      <w:r>
        <w:rPr>
          <w:sz w:val="24"/>
          <w:rFonts w:ascii="Arial" w:hAnsi="Arial"/>
        </w:rPr>
        <w:t xml:space="preserve"> z uzasadnieniem.</w:t>
      </w:r>
    </w:p>
    <w:p w14:paraId="64B0A3A1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6782396B" w14:textId="5D2905A2" w:rsidR="00341F8F" w:rsidRPr="001E7C87" w:rsidRDefault="00895DB5" w:rsidP="00EC748B">
      <w:p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3.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Ponadto rozporządzenie zawiera również zestawienie oznaczeń handlowych przyjętych przez wspólnoty autonomiczne w poprzednim roku, wyłącznie do celów informowania przedsiębiorców oraz w celu zapewnienia, aby Królestwo Hiszpanii wypełniło swoje zobowiązania wobec Unii Europejskiej zgodnie z art. 37 ust. 3 rozporządzenia Parlamentu Europejskiego i Rady (UE) nr 1379/2013 z dnia 11 grudnia 2013 r.</w:t>
      </w:r>
    </w:p>
    <w:p w14:paraId="09E1A739" w14:textId="77777777" w:rsidR="00341F8F" w:rsidRPr="001E7C87" w:rsidRDefault="00341F8F" w:rsidP="00EC748B">
      <w:pPr>
        <w:jc w:val="both"/>
        <w:rPr>
          <w:rFonts w:ascii="Arial" w:hAnsi="Arial" w:cs="Arial"/>
          <w:b/>
          <w:sz w:val="24"/>
          <w:szCs w:val="24"/>
        </w:rPr>
      </w:pPr>
    </w:p>
    <w:p w14:paraId="30D8F805" w14:textId="77777777" w:rsidR="00341F8F" w:rsidRPr="00895DB5" w:rsidRDefault="00341F8F" w:rsidP="00EC748B">
      <w:pPr>
        <w:jc w:val="both"/>
        <w:rPr>
          <w:b/>
          <w:i/>
          <w:sz w:val="24"/>
          <w:szCs w:val="24"/>
          <w:rFonts w:ascii="Arial" w:hAnsi="Arial" w:cs="Arial"/>
        </w:rPr>
      </w:pPr>
      <w:r>
        <w:rPr>
          <w:b/>
          <w:sz w:val="24"/>
          <w:rFonts w:ascii="Arial" w:hAnsi="Arial"/>
        </w:rPr>
        <w:t xml:space="preserve">Artykuł 5.</w:t>
      </w:r>
      <w:r>
        <w:rPr>
          <w:b/>
          <w:sz w:val="24"/>
          <w:rFonts w:ascii="Arial" w:hAnsi="Arial"/>
        </w:rPr>
        <w:t xml:space="preserve"> </w:t>
      </w:r>
      <w:r>
        <w:rPr>
          <w:b/>
          <w:sz w:val="24"/>
          <w:i/>
          <w:rFonts w:ascii="Arial" w:hAnsi="Arial"/>
        </w:rPr>
        <w:t xml:space="preserve">Procedura przeglądu i aktualizacji wykazu krajowych oznaczeń handlowych i oznaczeń żywności zakonserwowanej lub przetworzonej zaakceptowanych w Hiszpanii, mających zastosowanie do produktów rybołówstwa i akwakultury na wniosek przedsiębiorcy</w:t>
      </w:r>
    </w:p>
    <w:p w14:paraId="0EAFA825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03D23C22" w14:textId="0C65CEA8" w:rsidR="00341F8F" w:rsidRPr="00E6403A" w:rsidRDefault="00341F8F" w:rsidP="00EC748B">
      <w:p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1.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Sekretariat Generalny ds. Rybołówstwa jest organem właściwym do dokonywania przeglądu wykazu, zmiany i usunięcia z wykazu wniosków dotyczących krajowych oznaczeń handlowych lub oznaczeń żywności zakonserwowanej lub przetworzonej zaakceptowanych w Hiszpanii w odniesieniu do produktów, o których mowa w art. 1 ust. 1, otrzymanych w ciągu roku, bez uszczerbku dla corocznej aktualizacji załącznika na mocy art. 4.</w:t>
      </w:r>
    </w:p>
    <w:p w14:paraId="335989AB" w14:textId="77777777" w:rsidR="00341F8F" w:rsidRPr="00E6403A" w:rsidRDefault="00341F8F" w:rsidP="00EC748B">
      <w:pPr>
        <w:tabs>
          <w:tab w:val="left" w:pos="7880"/>
        </w:tabs>
        <w:jc w:val="both"/>
        <w:rPr>
          <w:rFonts w:ascii="Arial" w:hAnsi="Arial" w:cs="Arial"/>
          <w:sz w:val="24"/>
          <w:szCs w:val="24"/>
        </w:rPr>
      </w:pPr>
    </w:p>
    <w:p w14:paraId="0D032A22" w14:textId="36D97A74" w:rsidR="00341F8F" w:rsidRPr="001E7C87" w:rsidRDefault="00341F8F" w:rsidP="00EC748B">
      <w:p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2.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Zainteresowane strony mogą w dowolnym momencie składać wnioski do Sekretariatu Generalnego ds. Rybołówstwa – bezpośrednio lub za pośrednictwem stowarzyszeń członkowskich – o umieszczenie w wykazie, zmianę lub usunięcie z wykazu krajowych oznaczeń handlowych lub oznaczeń żywności zakonserwowanej lub przetworzonej zaakceptowanych w Hiszpanii w odniesieniu do produktów zgodnie z art. 1 ust. 1.</w:t>
      </w:r>
      <w:r>
        <w:rPr>
          <w:sz w:val="24"/>
          <w:rFonts w:ascii="Arial" w:hAnsi="Arial"/>
        </w:rPr>
        <w:t xml:space="preserve"> </w:t>
      </w:r>
    </w:p>
    <w:p w14:paraId="4D7418FE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79EF9C6A" w14:textId="17190F7D" w:rsidR="00762A65" w:rsidRPr="001E7C87" w:rsidRDefault="00895DB5" w:rsidP="00762A65">
      <w:pPr>
        <w:jc w:val="both"/>
        <w:rPr>
          <w:sz w:val="24"/>
          <w:szCs w:val="24"/>
          <w:u w:val="single"/>
          <w:rFonts w:ascii="Arial" w:hAnsi="Arial" w:cs="Arial"/>
        </w:rPr>
      </w:pPr>
      <w:r>
        <w:rPr>
          <w:sz w:val="24"/>
          <w:rFonts w:ascii="Arial" w:hAnsi="Arial"/>
        </w:rPr>
        <w:t xml:space="preserve">3.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Zgodnie z art. 14 ust. 2 ustawy 39/2015 z dnia 1 października 2015 r., podmioty prawne składają te wnioski za pomocą elektronicznego rejestru Ministerstwa Rolnictwa, Rybołówstwa i Żywności na portalu elektronicznym tego ministerstwa (https://www.mapa.gob.es), korzystając ze standardowego formularza wniosku zamieszczonego na portalu elektronicznym Ministerstwa Rolnictwa, Rybołówstwa i Żywności </w:t>
      </w:r>
      <w:hyperlink r:id="rId8" w:history="1">
        <w:r>
          <w:rPr>
            <w:sz w:val="24"/>
            <w:u w:val="single"/>
            <w:rFonts w:ascii="Arial" w:hAnsi="Arial"/>
          </w:rPr>
          <w:t xml:space="preserve">https://sede.mapa.gob.es/portal/site/seMAPA/ficha-procedimiento?procedure_suborg_responsable=27&amp;amp;procedure_id=675&amp;amp;by=theme</w:t>
        </w:r>
      </w:hyperlink>
      <w:r>
        <w:t xml:space="preserve">.</w:t>
      </w:r>
    </w:p>
    <w:p w14:paraId="78508E08" w14:textId="77777777" w:rsidR="00341F8F" w:rsidRPr="00DE1B43" w:rsidRDefault="00341F8F" w:rsidP="00FA57BF">
      <w:pPr>
        <w:jc w:val="both"/>
        <w:rPr>
          <w:rFonts w:ascii="Arial" w:hAnsi="Arial" w:cs="Arial"/>
          <w:i/>
          <w:iCs/>
          <w:sz w:val="24"/>
          <w:szCs w:val="24"/>
          <w:lang w:val="en-US"/>
        </w:rPr>
      </w:pPr>
    </w:p>
    <w:p w14:paraId="4565CF1A" w14:textId="77777777" w:rsidR="00341F8F" w:rsidRPr="001E7C87" w:rsidRDefault="00341F8F" w:rsidP="00EC748B">
      <w:p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Osoby fizyczne mogą składać wnioski przy użyciu jednej z metod przewidzianych w art. 16 ust. 4 ustawy 39/2015 z dnia 1 października 2015 r., korzystając z formularza zamieszczonego na stronie internetowej Departamentu.</w:t>
      </w:r>
      <w:r>
        <w:rPr>
          <w:sz w:val="24"/>
          <w:rFonts w:ascii="Arial" w:hAnsi="Arial"/>
        </w:rPr>
        <w:t xml:space="preserve"> </w:t>
      </w:r>
    </w:p>
    <w:p w14:paraId="6DC6FE92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062116FC" w14:textId="77777777" w:rsidR="00341F8F" w:rsidRPr="001E7C87" w:rsidRDefault="00341F8F" w:rsidP="00EC748B">
      <w:p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3.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Wnioski zainteresowanych stron zawierają co najmniej:</w:t>
      </w:r>
    </w:p>
    <w:p w14:paraId="3E7B8369" w14:textId="77777777" w:rsidR="00820618" w:rsidRPr="001E7C87" w:rsidRDefault="00820618" w:rsidP="00EC748B">
      <w:pPr>
        <w:jc w:val="both"/>
        <w:rPr>
          <w:rFonts w:ascii="Arial" w:hAnsi="Arial" w:cs="Arial"/>
          <w:sz w:val="24"/>
          <w:szCs w:val="24"/>
        </w:rPr>
      </w:pPr>
    </w:p>
    <w:p w14:paraId="236D2006" w14:textId="6BA69247" w:rsidR="00341F8F" w:rsidRPr="00E6403A" w:rsidRDefault="00341F8F" w:rsidP="00253F7B">
      <w:pPr>
        <w:pStyle w:val="ListParagraph"/>
        <w:numPr>
          <w:ilvl w:val="0"/>
          <w:numId w:val="4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imię i nazwisko strony wnioskującej lub nazwę wnioskującego przedsiębiorstwa lub podmiotu przedstawicielskiego;</w:t>
      </w:r>
    </w:p>
    <w:p w14:paraId="2C724798" w14:textId="79C77DFD" w:rsidR="00341F8F" w:rsidRPr="00E6403A" w:rsidRDefault="00341F8F" w:rsidP="00253F7B">
      <w:pPr>
        <w:pStyle w:val="ListParagraph"/>
        <w:numPr>
          <w:ilvl w:val="0"/>
          <w:numId w:val="4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nazwę systematyczną gatunków przeznaczonych do umieszczenia w wykazie lub wykreślenia z wykazu oraz krajowe oznaczenie handlowe lub oznaczenie żywności zakonserwowanej lub przetworzonej zaakceptowane w Hiszpanii oraz jego kod 3-alfa FAO;</w:t>
      </w:r>
    </w:p>
    <w:p w14:paraId="37315BA6" w14:textId="2D0EEC7F" w:rsidR="00341F8F" w:rsidRPr="0055122D" w:rsidRDefault="00341F8F" w:rsidP="00253F7B">
      <w:pPr>
        <w:pStyle w:val="ListParagraph"/>
        <w:numPr>
          <w:ilvl w:val="0"/>
          <w:numId w:val="4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jeżeli zainteresowane strony chciałyby zmienić krajowe oznaczenie handlowe lub oznaczenie żywności zakonserwowanej lub przetworzonej zaakceptowane w Hiszpanii lub nazwę systematyczną gatunku, wskazują one krajowe oznaczenie handlowe lub oznaczenie żywności zakonserwowanej lub przetworzonej zaakceptowane w Hiszpanii oraz kod 3-alfa FAO gatunku, który ma zostać zmieniony, oraz nowe krajowe oznaczenie handlowe lub oznaczenie żywności zakonserwowanej lub przetworzonej zaakceptowane w Hiszpanii;</w:t>
      </w:r>
    </w:p>
    <w:p w14:paraId="7B95C971" w14:textId="77777777" w:rsidR="00341F8F" w:rsidRPr="001E7C87" w:rsidRDefault="00341F8F" w:rsidP="00253F7B">
      <w:pPr>
        <w:pStyle w:val="ListParagraph"/>
        <w:numPr>
          <w:ilvl w:val="0"/>
          <w:numId w:val="4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powód umieszczenia w wykazie, zmiany lub usunięcia z wykazu.</w:t>
      </w:r>
    </w:p>
    <w:p w14:paraId="3C5DE199" w14:textId="77777777" w:rsidR="00341F8F" w:rsidRPr="001E7C87" w:rsidRDefault="00341F8F" w:rsidP="00EC748B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78A473A2" w14:textId="77777777" w:rsidR="00341F8F" w:rsidRPr="001E7C87" w:rsidRDefault="00341F8F" w:rsidP="00EC748B">
      <w:pPr>
        <w:jc w:val="both"/>
        <w:rPr>
          <w:strike/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4.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Jeżeli wniosek nie spełnia wymogów określonych w poprzednich ustępach lub jeżeli wymaga wyjaśnień lub dodatkowej dokumentacji, organy zwracają się do zainteresowanych stron o skorygowanie rozbieżności w terminie 10 dni roboczych poprzez dostarczenie brakujących informacji lub dokumentów, zgodnie z art. 68 ustawy nr 39/2015 z dnia 1 października 2015 r., ze wskazaniem, że jeżeli do tego nie dojdzie, wniosek uznaje się za wycofany po wydaniu decyzji na warunkach określonych w art. 21 w związku z art. 68 ustawy 39/2015 z dnia 1 października 2015 r.</w:t>
      </w:r>
      <w:r>
        <w:rPr>
          <w:sz w:val="24"/>
          <w:rFonts w:ascii="Arial" w:hAnsi="Arial"/>
        </w:rPr>
        <w:t xml:space="preserve"> </w:t>
      </w:r>
    </w:p>
    <w:p w14:paraId="57F511E0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0B1BC409" w14:textId="54E192D8" w:rsidR="00341F8F" w:rsidRPr="00076972" w:rsidRDefault="00341F8F" w:rsidP="00EC748B">
      <w:p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5.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W celu podjęcia decyzji, Sekretariat Generalny ds. Rybołówstwa może zwrócić się o opinię, którą uzna za niezbędną, do właściwych organów naukowych, podmiotów reprezentujących sektor rybołówstwa i akwakultury oraz wszelkich innych podmiotów, które uzna za stosowne, które w związku z tym przedkładają sprawozdanie drogą elektroniczną zgodnie z wymaganiami</w:t>
      </w:r>
      <w:r>
        <w:rPr>
          <w:sz w:val="24"/>
          <w:rFonts w:ascii="Arial Unicode MS"/>
        </w:rPr>
        <w:t xml:space="preserve"> </w:t>
      </w:r>
      <w:r>
        <w:rPr>
          <w:sz w:val="24"/>
          <w:rFonts w:ascii="Arial" w:hAnsi="Arial"/>
        </w:rPr>
        <w:t xml:space="preserve">i celami</w:t>
      </w:r>
      <w:r>
        <w:rPr>
          <w:sz w:val="24"/>
          <w:rFonts w:ascii="Arial Unicode MS"/>
        </w:rPr>
        <w:t xml:space="preserve"> </w:t>
      </w:r>
      <w:r>
        <w:rPr>
          <w:sz w:val="24"/>
          <w:rFonts w:ascii="Arial" w:hAnsi="Arial"/>
        </w:rPr>
        <w:t xml:space="preserve">określonymi w art. 80 ustawy 39/2015 z dnia 1 października 2015 r., w terminie 10 dni roboczych.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Jeżeli sprawozdanie nie zostanie przedłożone w tym terminie, Sekretariat Generalny ds. Rybołówstwa może kontynuować procedurę i podjąć wszelkie inne stosowne działania.</w:t>
      </w:r>
    </w:p>
    <w:p w14:paraId="433C4025" w14:textId="77777777" w:rsidR="00341F8F" w:rsidRPr="001E7C87" w:rsidRDefault="00341F8F" w:rsidP="00EC748B">
      <w:p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6.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Sekretariat Generalny ds. Rybołówstwa podejmuje i publikuje swoją decyzję w terminie nie dłuższym niż 3 miesiące od daty wpisania wniosku do rejestru Ministerstwa Rolnictwa, Rybołówstwa i Żywności.</w:t>
      </w:r>
      <w:r>
        <w:rPr>
          <w:sz w:val="24"/>
          <w:rFonts w:ascii="Arial" w:hAnsi="Arial"/>
        </w:rPr>
        <w:t xml:space="preserve"> </w:t>
      </w:r>
    </w:p>
    <w:p w14:paraId="7975B217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333E16B7" w14:textId="77777777" w:rsidR="00341F8F" w:rsidRPr="001E7C87" w:rsidRDefault="00341F8F" w:rsidP="00EC748B">
      <w:p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Jeżeli termin ten upływa bez publikacji decyzji w sposób określony powyżej, zainteresowane strony mogą interpretować to jako dorozumiane odrzucenie przez władze zgodnie z art. 24 ust. 1 ustawy nr 39/2015 z dnia 1 października 2015 r. oraz szóstym przepisem dodatkowym ustawy nr 3/2001 z dnia 26 marca 2001 r. o krajowym rybołówstwie morskim.</w:t>
      </w:r>
      <w:r>
        <w:rPr>
          <w:sz w:val="24"/>
          <w:rFonts w:ascii="Arial" w:hAnsi="Arial"/>
        </w:rPr>
        <w:t xml:space="preserve">  </w:t>
      </w:r>
    </w:p>
    <w:p w14:paraId="6FFA35C8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6CEE288C" w14:textId="77777777" w:rsidR="00341F8F" w:rsidRPr="001E7C87" w:rsidRDefault="00341F8F" w:rsidP="00EC748B">
      <w:p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7.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Na stronie internetowej Ministerstwa publikuje się każdą decyzję indywidualną zgodnie z art. 45 ust. 1 ustawy 39/2015 z dnia 1 października 2015 r. i udostępnia ją zarówno zainteresowanym stronom, jak i właściwym organom.</w:t>
      </w:r>
    </w:p>
    <w:p w14:paraId="07967C79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3331D9F1" w14:textId="0FD6C610" w:rsidR="00341F8F" w:rsidRPr="001E7C87" w:rsidRDefault="00341F8F" w:rsidP="00EC748B">
      <w:p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Zmiany wprowadzone tymi decyzjami należy rozumieć jako odnoszące się do zarządzenia, o którym mowa w poprzednim artykule, które zawiera ostateczny wykaz zestawiający poszczególne aktualizacje w ciągu ostatniego roku.</w:t>
      </w:r>
      <w:r>
        <w:rPr>
          <w:sz w:val="24"/>
          <w:rFonts w:ascii="Arial" w:hAnsi="Arial"/>
        </w:rPr>
        <w:t xml:space="preserve"> </w:t>
      </w:r>
    </w:p>
    <w:p w14:paraId="1A82BDEE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24BD22F6" w14:textId="66070F6E" w:rsidR="00341F8F" w:rsidRPr="001E7C87" w:rsidRDefault="00341F8F" w:rsidP="00EC748B">
      <w:p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8.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Jeżeli powyższa procedura skutkuje odrzuceniem wniosku o umieszczenie w wykazie, zmianę lub usunięcie z wykazu krajowego oznaczenia handlowego lub oznaczenia żywności zakonserwowanej lub przetworzonej zaakceptowanego w Hiszpanii, decyzja opublikowana na stronie internetowej Ministerstwa Rolnictwa, Rybołówstwa i Żywności zawiera szczegółowe informacje na temat powodów odrzucenia.</w:t>
      </w:r>
      <w:r>
        <w:rPr>
          <w:sz w:val="24"/>
          <w:rFonts w:ascii="Arial" w:hAnsi="Arial"/>
        </w:rPr>
        <w:t xml:space="preserve"> </w:t>
      </w:r>
    </w:p>
    <w:p w14:paraId="06F3067F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344CE26C" w14:textId="77777777" w:rsidR="00341F8F" w:rsidRPr="001E7C87" w:rsidRDefault="00341F8F" w:rsidP="00EC748B">
      <w:p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9.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Od decyzji nieostatecznych kończących procedurę indywidualnego wniosku można odwołać się do Ministra Rolnictwa, Rybołówstwa i Żywności, zgodnie z warunkami i ramami czasowymi określonymi w art. 121 i 122 w związku z art. 112 ust. 1 ustawy nr 39/2015 z dnia 1 października 2015 r. o powszechnym postępowaniu administracyjnym organów administracji publicznej.</w:t>
      </w:r>
    </w:p>
    <w:p w14:paraId="316C2CA4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1DF96034" w14:textId="77777777" w:rsidR="00341F8F" w:rsidRPr="00076972" w:rsidRDefault="00341F8F" w:rsidP="00EC748B">
      <w:pPr>
        <w:jc w:val="both"/>
        <w:rPr>
          <w:b/>
          <w:i/>
          <w:sz w:val="24"/>
          <w:szCs w:val="24"/>
          <w:rFonts w:ascii="Arial" w:hAnsi="Arial" w:cs="Arial"/>
        </w:rPr>
      </w:pPr>
      <w:r>
        <w:rPr>
          <w:b/>
          <w:sz w:val="24"/>
          <w:rFonts w:ascii="Arial" w:hAnsi="Arial"/>
        </w:rPr>
        <w:t xml:space="preserve">Artykuł 6.</w:t>
      </w:r>
      <w:r>
        <w:rPr>
          <w:b/>
          <w:sz w:val="24"/>
          <w:rFonts w:ascii="Arial" w:hAnsi="Arial"/>
        </w:rPr>
        <w:t xml:space="preserve"> </w:t>
      </w:r>
      <w:r>
        <w:rPr>
          <w:b/>
          <w:sz w:val="24"/>
          <w:i/>
          <w:rFonts w:ascii="Arial" w:hAnsi="Arial"/>
        </w:rPr>
        <w:t xml:space="preserve">Współpraca administracyjna</w:t>
      </w:r>
    </w:p>
    <w:p w14:paraId="02EC6F74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437C7056" w14:textId="77777777" w:rsidR="00341F8F" w:rsidRPr="00E6403A" w:rsidRDefault="00341F8F" w:rsidP="00EC748B">
      <w:p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1.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Właściwe organy wspólnot autonomicznych mogą zezwolić na stosowanie oznaczeń handlowych zaakceptowanych na ich terytoriach jako uzupełnienie oznaczeń krajowych.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Państwa członkowskie publikują swoje zaktualizowane wykazy co najmniej raz w roku w swoich dziennikach urzędowych.</w:t>
      </w:r>
    </w:p>
    <w:p w14:paraId="17EE59C1" w14:textId="77777777" w:rsidR="00341F8F" w:rsidRPr="00E6403A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52B773DE" w14:textId="6CCB4EE5" w:rsidR="00DA28D7" w:rsidRPr="001E7C87" w:rsidRDefault="00341F8F" w:rsidP="00EC748B">
      <w:p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2.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Oznaczenia handlowe uznane przez wspólnotę autonomiczną uzupełniają, ale nigdy nie zastępują oznaczeń przyjętych na szczeblu krajowym, a władze muszą przez cały czas gwarantować, że informacje przekazywane konsumentom zawsze odzwierciedlają informacje przyjęte na szczeblu krajowym.</w:t>
      </w:r>
    </w:p>
    <w:p w14:paraId="62E4ED21" w14:textId="223809E0" w:rsidR="00DA28D7" w:rsidRPr="002E5171" w:rsidRDefault="00DA28D7" w:rsidP="00DA28D7">
      <w:p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3.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Ponadto, aby uniknąć wprowadzania konsumentów w błąd, wspólnoty autonomiczne zapewniają, aby oznaczenia handlowe uznane przez wspólnotę autonomiczną dla określonego gatunku nie kolidowały z żadnymi oznaczeniami handlowymi przyjętymi na poziomie krajowym dla innych gatunków.</w:t>
      </w:r>
    </w:p>
    <w:p w14:paraId="0369F0E5" w14:textId="77777777" w:rsidR="00341F8F" w:rsidRPr="002E5171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124B35DE" w14:textId="0BA91497" w:rsidR="00341F8F" w:rsidRPr="002E5171" w:rsidRDefault="00DA28D7" w:rsidP="00EC748B">
      <w:p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4.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W terminie 10 dni roboczych od oficjalnego uznania wspólnoty autonomiczne powiadamiają Sekretariat Generalny ds. Rybołówstwa Ministerstwa Rolnictwa, Rybołówstwa i Żywności o indywidualnych decyzjach podjętych w celu zezwolenia na stosowanie oznaczeń handlowych zaakceptowanych na ich terytoriach, jako uzupełnienie do oznaczeń krajowych.</w:t>
      </w:r>
    </w:p>
    <w:p w14:paraId="6A5E53B9" w14:textId="77777777" w:rsidR="00341F8F" w:rsidRPr="002E5171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3FBEC463" w14:textId="77777777" w:rsidR="00341F8F" w:rsidRPr="002E5171" w:rsidRDefault="00DA28D7" w:rsidP="00EC748B">
      <w:p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5.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W styczniu każdego roku właściwe organy wspólnot autonomicznych powiadamiają Sekretariat Generalny ds. Rybołówstwa o swoich decyzjach przyjmujących wykazy oznaczeń zaakceptowanych na ich terytoriach, jako uzupełnienie do oznaczeń krajowych, w celu sporządzenia zestawienia i opublikowania go w zarządzeniu rocznym, zgodnie z art. 4.</w:t>
      </w:r>
    </w:p>
    <w:p w14:paraId="1480DE30" w14:textId="77777777" w:rsidR="00341F8F" w:rsidRPr="002E5171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454779D1" w14:textId="2BC5E72F" w:rsidR="00341F8F" w:rsidRPr="001E7C87" w:rsidRDefault="00DA28D7" w:rsidP="00D70B79">
      <w:p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6.</w:t>
      </w:r>
      <w:r>
        <w:rPr>
          <w:sz w:val="24"/>
          <w:b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Zgodnie z art. 1 ust. 2, w swoich wykazach dodatkowych oznaczeń wspólnoty autonomiczne nie stosują żadnych oznaczeń krajowych w odniesieniu do gatunków innych niż te przypisane na poziomie krajowym.</w:t>
      </w:r>
    </w:p>
    <w:p w14:paraId="62191F6A" w14:textId="77777777" w:rsidR="00341F8F" w:rsidRPr="001E7C87" w:rsidRDefault="00341F8F" w:rsidP="00EC748B">
      <w:pPr>
        <w:jc w:val="both"/>
        <w:rPr>
          <w:rFonts w:ascii="Arial" w:hAnsi="Arial" w:cs="Arial"/>
          <w:b/>
          <w:sz w:val="24"/>
          <w:szCs w:val="24"/>
        </w:rPr>
      </w:pPr>
    </w:p>
    <w:p w14:paraId="78D71333" w14:textId="77777777" w:rsidR="00341F8F" w:rsidRPr="00076972" w:rsidRDefault="00341F8F" w:rsidP="00EC748B">
      <w:pPr>
        <w:jc w:val="both"/>
        <w:rPr>
          <w:b/>
          <w:sz w:val="24"/>
          <w:szCs w:val="24"/>
          <w:rFonts w:ascii="Arial" w:hAnsi="Arial" w:cs="Arial"/>
        </w:rPr>
      </w:pPr>
      <w:r>
        <w:rPr>
          <w:b/>
          <w:sz w:val="24"/>
          <w:rFonts w:ascii="Arial" w:hAnsi="Arial"/>
        </w:rPr>
        <w:t xml:space="preserve">Artykuł 7.</w:t>
      </w:r>
      <w:r>
        <w:rPr>
          <w:b/>
          <w:sz w:val="24"/>
          <w:rFonts w:ascii="Arial" w:hAnsi="Arial"/>
        </w:rPr>
        <w:t xml:space="preserve"> </w:t>
      </w:r>
      <w:r>
        <w:rPr>
          <w:b/>
          <w:sz w:val="24"/>
          <w:i/>
          <w:rFonts w:ascii="Arial" w:hAnsi="Arial"/>
        </w:rPr>
        <w:t xml:space="preserve">Kary</w:t>
      </w:r>
    </w:p>
    <w:p w14:paraId="6E0888BB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58725BDA" w14:textId="77777777" w:rsidR="00341F8F" w:rsidRPr="001E7C87" w:rsidRDefault="00341F8F" w:rsidP="00EC748B">
      <w:p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Nieprzestrzeganie przepisów niniejszego dekretu królewskiego podlega karom określonym w tytule V ustawy nr 3/2001 z dnia 26 marca 2011 r., tytule IV przekształconego tekstu ustawy ogólnej o ochronie konsumentów i użytkowników [General para la Defensa de los Consumidores y Usuarios] oraz innych ustawach uzupełniających, przyjętych na mocy królewskiego dekretu ustawodawczego nr 1/2007 z dnia 16 listopada 2007 r., w ustawie 12/2013 z dnia 2 sierpnia 2013 r. w sprawie środków poprawy funkcjonowania łańcucha żywnościowego, jak również w innych ustawach uzupełniających, bez uszczerbku dla uprawnień przyznanych wspólnotom autonomicznym.</w:t>
      </w:r>
    </w:p>
    <w:p w14:paraId="363AA605" w14:textId="77777777" w:rsidR="00341F8F" w:rsidRPr="00DE1B43" w:rsidRDefault="00341F8F" w:rsidP="00EC748B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02FFCFE8" w14:textId="77777777" w:rsidR="00341F8F" w:rsidRPr="00076972" w:rsidRDefault="00341F8F" w:rsidP="00EC748B">
      <w:pPr>
        <w:jc w:val="both"/>
        <w:rPr>
          <w:b/>
          <w:i/>
          <w:sz w:val="24"/>
          <w:szCs w:val="24"/>
          <w:rFonts w:ascii="Arial" w:hAnsi="Arial" w:cs="Arial"/>
        </w:rPr>
      </w:pPr>
      <w:r>
        <w:rPr>
          <w:b/>
          <w:sz w:val="24"/>
          <w:rFonts w:ascii="Arial" w:hAnsi="Arial"/>
        </w:rPr>
        <w:t xml:space="preserve">Pierwszy przepis dodatkowy.</w:t>
      </w:r>
      <w:r>
        <w:rPr>
          <w:b/>
          <w:sz w:val="24"/>
          <w:rFonts w:ascii="Arial" w:hAnsi="Arial"/>
        </w:rPr>
        <w:t xml:space="preserve"> </w:t>
      </w:r>
      <w:r>
        <w:rPr>
          <w:b/>
          <w:sz w:val="24"/>
          <w:i/>
          <w:rFonts w:ascii="Arial" w:hAnsi="Arial"/>
        </w:rPr>
        <w:t xml:space="preserve">Klauzula dotycząca jednolitego rynku</w:t>
      </w:r>
    </w:p>
    <w:p w14:paraId="2AD7B2B3" w14:textId="77777777" w:rsidR="00341F8F" w:rsidRPr="00DE1B43" w:rsidRDefault="00341F8F" w:rsidP="00EC748B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2FEF5872" w14:textId="6C222740" w:rsidR="00341F8F" w:rsidRPr="001E7C87" w:rsidRDefault="00341F8F" w:rsidP="00EC748B">
      <w:p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Zakonserwowane lub przetworzone produkty spożywcze rybołówstwa i akwakultury, wymienione w lit. h i i) załącznika I do rozporządzenia Parlamentu Europejskiego i Rady (UE) nr 1379/2013 z dnia 11 grudnia 2013 r., wprowadzone zgodnie z prawem do obrotu w innym państwie członkowskim Unii Europejskiej lub Turcji lub pochodzące z państwa należącego do Europejskiego Stowarzyszenia Wolnego Handlu będącego stroną Porozumienia o Europejskim Obszarze Gospodarczym, uznaje się za spełniające te przepisy.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Stosowanie tych przepisów podlega rozporządzeniu Parlamentu Europejskiego i Rady (WE) nr 764/2008 z dnia 9 lipca 2008 r. ustanawiającego procedury dotyczące stosowania niektórych krajowych przepisów technicznych do produktów wprowadzonych legalnie do obrotu w innym państwie członkowskim i uchylającego decyzję nr 3052/95/WE do dnia 18 kwietnia 2020 r. oraz podlega rozporządzeniu (UE) 2019/515 z dnia 19 marca 2019 r. w sprawie wzajemnego uznawania towarów wprowadzonych legalnie do obrotu w innym państwie członkowskim od dnia 19 kwietnia 2020 r.</w:t>
      </w:r>
    </w:p>
    <w:p w14:paraId="0C20C89C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60BCCF2D" w14:textId="77777777" w:rsidR="00341F8F" w:rsidRPr="00C25511" w:rsidRDefault="00341F8F" w:rsidP="00EC748B">
      <w:pPr>
        <w:jc w:val="both"/>
        <w:rPr>
          <w:b/>
          <w:i/>
          <w:sz w:val="24"/>
          <w:szCs w:val="24"/>
          <w:rFonts w:ascii="Arial" w:hAnsi="Arial" w:cs="Arial"/>
        </w:rPr>
      </w:pPr>
      <w:r>
        <w:rPr>
          <w:b/>
          <w:sz w:val="24"/>
          <w:rFonts w:ascii="Arial" w:hAnsi="Arial"/>
        </w:rPr>
        <w:t xml:space="preserve">Drugi przepis dodatkowy.</w:t>
      </w:r>
      <w:r>
        <w:rPr>
          <w:b/>
          <w:sz w:val="24"/>
          <w:rFonts w:ascii="Arial" w:hAnsi="Arial"/>
        </w:rPr>
        <w:t xml:space="preserve"> </w:t>
      </w:r>
      <w:r>
        <w:rPr>
          <w:b/>
          <w:sz w:val="24"/>
          <w:i/>
          <w:rFonts w:ascii="Arial" w:hAnsi="Arial"/>
        </w:rPr>
        <w:t xml:space="preserve">Stosowanie alternatywnych oznaczeń dla Sardina pilchardus, Trachurus spp., Auxis rochei, Auxis thazard, Merluccius spp. i Macruronus spp.</w:t>
      </w:r>
    </w:p>
    <w:p w14:paraId="4664EEA1" w14:textId="77777777" w:rsidR="00341F8F" w:rsidRPr="001E7C87" w:rsidRDefault="00341F8F" w:rsidP="00EC748B">
      <w:pPr>
        <w:jc w:val="both"/>
        <w:rPr>
          <w:rFonts w:ascii="Arial" w:hAnsi="Arial" w:cs="Arial"/>
          <w:b/>
          <w:sz w:val="24"/>
          <w:szCs w:val="24"/>
        </w:rPr>
      </w:pPr>
    </w:p>
    <w:p w14:paraId="292364F1" w14:textId="5EB5750F" w:rsidR="00341F8F" w:rsidRPr="001E7C87" w:rsidRDefault="00341F8F" w:rsidP="0002569E">
      <w:pPr>
        <w:autoSpaceDE w:val="0"/>
        <w:autoSpaceDN w:val="0"/>
        <w:jc w:val="both"/>
        <w:rPr>
          <w:sz w:val="24"/>
          <w:szCs w:val="24"/>
          <w:shd w:val="clear" w:color="auto" w:fill="FFFFFF"/>
          <w:rFonts w:ascii="Arial" w:hAnsi="Arial" w:cs="Arial"/>
        </w:rPr>
      </w:pPr>
      <w:r>
        <w:rPr>
          <w:sz w:val="24"/>
          <w:shd w:val="clear" w:color="auto" w:fill="FFFFFF"/>
          <w:rFonts w:ascii="Arial" w:hAnsi="Arial"/>
        </w:rPr>
        <w:t xml:space="preserve">Zakonserwowane i przetworzone produkty wytworzone z </w:t>
      </w:r>
      <w:r>
        <w:rPr>
          <w:sz w:val="24"/>
          <w:shd w:val="clear" w:color="auto" w:fill="FFFFFF"/>
          <w:i/>
          <w:rFonts w:ascii="Arial" w:hAnsi="Arial"/>
        </w:rPr>
        <w:t xml:space="preserve">Sardina pilchardus</w:t>
      </w:r>
      <w:r>
        <w:rPr>
          <w:sz w:val="24"/>
          <w:shd w:val="clear" w:color="auto" w:fill="FFFFFF"/>
          <w:rFonts w:ascii="Arial" w:hAnsi="Arial"/>
        </w:rPr>
        <w:t xml:space="preserve"> i </w:t>
      </w:r>
      <w:r>
        <w:rPr>
          <w:sz w:val="24"/>
          <w:shd w:val="clear" w:color="auto" w:fill="FFFFFF"/>
          <w:i/>
          <w:rFonts w:ascii="Arial" w:hAnsi="Arial"/>
        </w:rPr>
        <w:t xml:space="preserve">Trachurus spp.</w:t>
      </w:r>
      <w:r>
        <w:rPr>
          <w:sz w:val="24"/>
          <w:shd w:val="clear" w:color="auto" w:fill="FFFFFF"/>
          <w:rFonts w:ascii="Arial" w:hAnsi="Arial"/>
        </w:rPr>
        <w:t xml:space="preserve"> mogą używać alternatywnej nazwy żywności zakonserwowanej „</w:t>
      </w:r>
      <w:r>
        <w:rPr>
          <w:sz w:val="24"/>
          <w:shd w:val="clear" w:color="auto" w:fill="FFFFFF"/>
          <w:i/>
          <w:rFonts w:ascii="Arial" w:hAnsi="Arial"/>
        </w:rPr>
        <w:t xml:space="preserve">sardinilla</w:t>
      </w:r>
      <w:r>
        <w:rPr>
          <w:sz w:val="24"/>
          <w:shd w:val="clear" w:color="auto" w:fill="FFFFFF"/>
          <w:rFonts w:ascii="Arial" w:hAnsi="Arial"/>
        </w:rPr>
        <w:t xml:space="preserve">” (sardynka europejska) i „</w:t>
      </w:r>
      <w:r>
        <w:rPr>
          <w:sz w:val="24"/>
          <w:shd w:val="clear" w:color="auto" w:fill="FFFFFF"/>
          <w:i/>
          <w:rFonts w:ascii="Arial" w:hAnsi="Arial"/>
        </w:rPr>
        <w:t xml:space="preserve">chicharrillo</w:t>
      </w:r>
      <w:r>
        <w:rPr>
          <w:sz w:val="24"/>
          <w:shd w:val="clear" w:color="auto" w:fill="FFFFFF"/>
          <w:rFonts w:ascii="Arial" w:hAnsi="Arial"/>
        </w:rPr>
        <w:t xml:space="preserve">” (ostrobok), jak określono w załączniku do niniejszego dekretu królewskiego, zgodnie z unijnymi i krajowymi przepisami dotyczącymi środków technicznych, a w szczególności następującymi limitami wielkości i wagi:</w:t>
      </w:r>
    </w:p>
    <w:p w14:paraId="4DE42BD8" w14:textId="77777777" w:rsidR="00341F8F" w:rsidRPr="001E7C87" w:rsidRDefault="00341F8F" w:rsidP="0002569E">
      <w:pPr>
        <w:autoSpaceDE w:val="0"/>
        <w:autoSpaceDN w:val="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4572E372" w14:textId="77777777" w:rsidR="00341F8F" w:rsidRPr="001E7C87" w:rsidRDefault="00341F8F" w:rsidP="00253F7B">
      <w:pPr>
        <w:pStyle w:val="ListParagraph"/>
        <w:numPr>
          <w:ilvl w:val="0"/>
          <w:numId w:val="6"/>
        </w:numPr>
        <w:autoSpaceDE w:val="0"/>
        <w:autoSpaceDN w:val="0"/>
        <w:jc w:val="both"/>
        <w:rPr>
          <w:sz w:val="24"/>
          <w:szCs w:val="24"/>
          <w:rFonts w:ascii="Arial" w:hAnsi="Arial" w:cs="Arial"/>
        </w:rPr>
      </w:pPr>
      <w:r>
        <w:rPr>
          <w:sz w:val="24"/>
          <w:shd w:val="clear" w:color="auto" w:fill="FFFFFF"/>
          <w:rFonts w:ascii="Arial" w:hAnsi="Arial"/>
        </w:rPr>
        <w:t xml:space="preserve">w przypadku </w:t>
      </w:r>
      <w:r>
        <w:rPr>
          <w:sz w:val="24"/>
          <w:shd w:val="clear" w:color="auto" w:fill="FFFFFF"/>
          <w:i/>
          <w:rFonts w:ascii="Arial" w:hAnsi="Arial"/>
        </w:rPr>
        <w:t xml:space="preserve">Sardina pilchardus</w:t>
      </w:r>
      <w:r>
        <w:rPr>
          <w:sz w:val="24"/>
          <w:shd w:val="clear" w:color="auto" w:fill="FFFFFF"/>
          <w:rFonts w:ascii="Arial" w:hAnsi="Arial"/>
        </w:rPr>
        <w:t xml:space="preserve">, okazy wykorzystywane jako surowce w przemyśle:</w:t>
      </w:r>
    </w:p>
    <w:p w14:paraId="638C6E6B" w14:textId="77777777" w:rsidR="00341F8F" w:rsidRPr="001E7C87" w:rsidRDefault="00341F8F" w:rsidP="00255A67">
      <w:pPr>
        <w:pStyle w:val="ListParagraph"/>
        <w:autoSpaceDE w:val="0"/>
        <w:autoSpaceDN w:val="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1D74EF31" w14:textId="77777777" w:rsidR="00341F8F" w:rsidRPr="001E7C87" w:rsidRDefault="00341F8F" w:rsidP="00253F7B">
      <w:pPr>
        <w:pStyle w:val="ListParagraph"/>
        <w:numPr>
          <w:ilvl w:val="0"/>
          <w:numId w:val="7"/>
        </w:numPr>
        <w:autoSpaceDE w:val="0"/>
        <w:autoSpaceDN w:val="0"/>
        <w:jc w:val="both"/>
        <w:rPr>
          <w:sz w:val="24"/>
          <w:szCs w:val="24"/>
          <w:rFonts w:ascii="Arial" w:hAnsi="Arial" w:cs="Arial"/>
        </w:rPr>
      </w:pPr>
      <w:r>
        <w:rPr>
          <w:sz w:val="24"/>
          <w:shd w:val="clear" w:color="auto" w:fill="FFFFFF"/>
          <w:rFonts w:ascii="Arial" w:hAnsi="Arial"/>
        </w:rPr>
        <w:t xml:space="preserve">jeżeli pochodzą z Morza Śródziemnego, mierzą od 11 cm do 15 cm, przy średniej wadze od 10,7 g do 25 g;</w:t>
      </w:r>
    </w:p>
    <w:p w14:paraId="2A08E8FE" w14:textId="77777777" w:rsidR="00341F8F" w:rsidRPr="001E7C87" w:rsidRDefault="00341F8F" w:rsidP="00255A67">
      <w:pPr>
        <w:pStyle w:val="ListParagraph"/>
        <w:autoSpaceDE w:val="0"/>
        <w:autoSpaceDN w:val="0"/>
        <w:ind w:left="1080"/>
        <w:jc w:val="both"/>
        <w:rPr>
          <w:rFonts w:ascii="Arial" w:hAnsi="Arial" w:cs="Arial"/>
          <w:sz w:val="24"/>
          <w:szCs w:val="24"/>
        </w:rPr>
      </w:pPr>
    </w:p>
    <w:p w14:paraId="32DF28F9" w14:textId="77777777" w:rsidR="00341F8F" w:rsidRPr="001E7C87" w:rsidRDefault="00341F8F" w:rsidP="00253F7B">
      <w:pPr>
        <w:pStyle w:val="ListParagraph"/>
        <w:numPr>
          <w:ilvl w:val="0"/>
          <w:numId w:val="7"/>
        </w:numPr>
        <w:autoSpaceDE w:val="0"/>
        <w:autoSpaceDN w:val="0"/>
        <w:jc w:val="both"/>
        <w:rPr>
          <w:sz w:val="24"/>
          <w:szCs w:val="24"/>
          <w:rFonts w:ascii="Arial" w:hAnsi="Arial" w:cs="Arial"/>
        </w:rPr>
      </w:pPr>
      <w:r>
        <w:rPr>
          <w:sz w:val="24"/>
          <w:shd w:val="clear" w:color="auto" w:fill="FFFFFF"/>
          <w:rFonts w:ascii="Arial" w:hAnsi="Arial"/>
        </w:rPr>
        <w:t xml:space="preserve">jeżeli pochodzą z któregokolwiek innego łowiska, mierzą od 11 cm do 13,7 cm, przy średniej wadze od 12,5 g do 25 g.</w:t>
      </w:r>
    </w:p>
    <w:p w14:paraId="3633A3FC" w14:textId="77777777" w:rsidR="00341F8F" w:rsidRPr="001E7C87" w:rsidRDefault="00341F8F" w:rsidP="00255A6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14:paraId="7626D7FB" w14:textId="77777777" w:rsidR="00341F8F" w:rsidRPr="001E7C87" w:rsidRDefault="00341F8F" w:rsidP="00253F7B">
      <w:pPr>
        <w:pStyle w:val="ListParagraph"/>
        <w:numPr>
          <w:ilvl w:val="0"/>
          <w:numId w:val="6"/>
        </w:numPr>
        <w:autoSpaceDE w:val="0"/>
        <w:autoSpaceDN w:val="0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w przypadku </w:t>
      </w:r>
      <w:r>
        <w:rPr>
          <w:sz w:val="24"/>
          <w:i/>
          <w:rFonts w:ascii="Arial" w:hAnsi="Arial"/>
        </w:rPr>
        <w:t xml:space="preserve">Trachurus spp.</w:t>
      </w:r>
      <w:r>
        <w:rPr>
          <w:sz w:val="24"/>
          <w:rFonts w:ascii="Arial" w:hAnsi="Arial"/>
        </w:rPr>
        <w:t xml:space="preserve">, okazy wykorzystywane jako surowce w przemyśle:</w:t>
      </w:r>
    </w:p>
    <w:p w14:paraId="4B38A56E" w14:textId="77777777" w:rsidR="00341F8F" w:rsidRPr="001E7C87" w:rsidRDefault="00341F8F" w:rsidP="00255A67">
      <w:pPr>
        <w:pStyle w:val="ListParagraph"/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14:paraId="572F4081" w14:textId="00700A87" w:rsidR="00341F8F" w:rsidRPr="00644631" w:rsidRDefault="00341F8F" w:rsidP="00644631">
      <w:pPr>
        <w:pStyle w:val="ListParagraph"/>
        <w:numPr>
          <w:ilvl w:val="0"/>
          <w:numId w:val="10"/>
        </w:numPr>
        <w:autoSpaceDE w:val="0"/>
        <w:autoSpaceDN w:val="0"/>
        <w:jc w:val="both"/>
        <w:rPr>
          <w:sz w:val="24"/>
          <w:szCs w:val="24"/>
          <w:rFonts w:ascii="Arial" w:hAnsi="Arial" w:cs="Arial"/>
        </w:rPr>
      </w:pPr>
      <w:r>
        <w:rPr>
          <w:sz w:val="24"/>
          <w:shd w:val="clear" w:color="auto" w:fill="FFFFFF"/>
          <w:rFonts w:ascii="Arial" w:hAnsi="Arial"/>
        </w:rPr>
        <w:t xml:space="preserve">jeżeli pochodzą z Morza Śródziemnego, mierzą od 15 cm do 20,2 cm, przy średniej wadze od 29 g do 67 g;</w:t>
      </w:r>
    </w:p>
    <w:p w14:paraId="4ACA8302" w14:textId="77777777" w:rsidR="00341F8F" w:rsidRPr="001E7C87" w:rsidRDefault="00341F8F" w:rsidP="00255A67">
      <w:pPr>
        <w:pStyle w:val="ListParagraph"/>
        <w:autoSpaceDE w:val="0"/>
        <w:autoSpaceDN w:val="0"/>
        <w:ind w:left="1080"/>
        <w:jc w:val="both"/>
        <w:rPr>
          <w:rFonts w:ascii="Arial" w:hAnsi="Arial" w:cs="Arial"/>
          <w:sz w:val="24"/>
          <w:szCs w:val="24"/>
        </w:rPr>
      </w:pPr>
    </w:p>
    <w:p w14:paraId="5610BE04" w14:textId="77777777" w:rsidR="00341F8F" w:rsidRPr="001E7C87" w:rsidRDefault="00341F8F" w:rsidP="00644631">
      <w:pPr>
        <w:pStyle w:val="ListParagraph"/>
        <w:numPr>
          <w:ilvl w:val="0"/>
          <w:numId w:val="10"/>
        </w:numPr>
        <w:autoSpaceDE w:val="0"/>
        <w:autoSpaceDN w:val="0"/>
        <w:jc w:val="both"/>
        <w:rPr>
          <w:sz w:val="24"/>
          <w:szCs w:val="24"/>
          <w:rFonts w:ascii="Arial" w:hAnsi="Arial" w:cs="Arial"/>
        </w:rPr>
      </w:pPr>
      <w:r>
        <w:rPr>
          <w:sz w:val="24"/>
          <w:shd w:val="clear" w:color="auto" w:fill="FFFFFF"/>
          <w:rFonts w:ascii="Arial" w:hAnsi="Arial"/>
        </w:rPr>
        <w:t xml:space="preserve">jeżeli pochodzą z któregokolwiek innego łowiska, mierzą od 15 cm do 18,82 cm, przy średniej wadze od 34,1 g do 67 g.</w:t>
      </w:r>
      <w:r>
        <w:rPr>
          <w:sz w:val="24"/>
          <w:rFonts w:ascii="Arial" w:hAnsi="Arial"/>
        </w:rPr>
        <w:t xml:space="preserve"> </w:t>
      </w:r>
    </w:p>
    <w:p w14:paraId="5B567492" w14:textId="77777777" w:rsidR="00341F8F" w:rsidRPr="001E7C87" w:rsidRDefault="00341F8F" w:rsidP="0002569E">
      <w:pPr>
        <w:pStyle w:val="ListParagraph"/>
        <w:rPr>
          <w:rFonts w:ascii="Arial" w:hAnsi="Arial" w:cs="Arial"/>
          <w:sz w:val="24"/>
          <w:szCs w:val="24"/>
        </w:rPr>
      </w:pPr>
    </w:p>
    <w:p w14:paraId="1EC2EC11" w14:textId="77777777" w:rsidR="00341F8F" w:rsidRPr="001E7C87" w:rsidRDefault="00341F8F" w:rsidP="0002569E">
      <w:pPr>
        <w:autoSpaceDE w:val="0"/>
        <w:autoSpaceDN w:val="0"/>
        <w:jc w:val="both"/>
        <w:rPr>
          <w:sz w:val="24"/>
          <w:szCs w:val="24"/>
          <w:shd w:val="clear" w:color="auto" w:fill="FFFFFF"/>
          <w:rFonts w:ascii="Arial" w:hAnsi="Arial" w:cs="Arial"/>
        </w:rPr>
      </w:pPr>
      <w:r>
        <w:rPr>
          <w:sz w:val="24"/>
          <w:shd w:val="clear" w:color="auto" w:fill="FFFFFF"/>
          <w:rFonts w:ascii="Arial" w:hAnsi="Arial"/>
        </w:rPr>
        <w:t xml:space="preserve">Zakonserwowane i przetworzone produkty wytworzone z </w:t>
      </w:r>
      <w:r>
        <w:rPr>
          <w:sz w:val="24"/>
          <w:shd w:val="clear" w:color="auto" w:fill="FFFFFF"/>
          <w:i/>
          <w:rFonts w:ascii="Arial" w:hAnsi="Arial"/>
        </w:rPr>
        <w:t xml:space="preserve">Auxis rochei</w:t>
      </w:r>
      <w:r>
        <w:rPr>
          <w:sz w:val="24"/>
          <w:shd w:val="clear" w:color="auto" w:fill="FFFFFF"/>
          <w:rFonts w:ascii="Arial" w:hAnsi="Arial"/>
        </w:rPr>
        <w:t xml:space="preserve"> i </w:t>
      </w:r>
      <w:r>
        <w:rPr>
          <w:sz w:val="24"/>
          <w:shd w:val="clear" w:color="auto" w:fill="FFFFFF"/>
          <w:i/>
          <w:rFonts w:ascii="Arial" w:hAnsi="Arial"/>
        </w:rPr>
        <w:t xml:space="preserve">Auxis thazard;</w:t>
      </w:r>
      <w:r>
        <w:rPr>
          <w:sz w:val="24"/>
          <w:shd w:val="clear" w:color="auto" w:fill="FFFFFF"/>
          <w:rFonts w:ascii="Arial" w:hAnsi="Arial"/>
        </w:rPr>
        <w:t xml:space="preserve"> mogą używać alternatywnej nazwy żywności zakonserwowanej „</w:t>
      </w:r>
      <w:r>
        <w:rPr>
          <w:sz w:val="24"/>
          <w:shd w:val="clear" w:color="auto" w:fill="FFFFFF"/>
          <w:i/>
          <w:rFonts w:ascii="Arial" w:hAnsi="Arial"/>
        </w:rPr>
        <w:t xml:space="preserve">melva canutera</w:t>
      </w:r>
      <w:r>
        <w:rPr>
          <w:sz w:val="24"/>
          <w:shd w:val="clear" w:color="auto" w:fill="FFFFFF"/>
          <w:rFonts w:ascii="Arial" w:hAnsi="Arial"/>
        </w:rPr>
        <w:t xml:space="preserve">” (tazan marun lub tuńczyk makrelowy), jak określono w załączniku do niniejszego dekretu królewskiego, zgodnie z unijnymi i krajowymi przepisami dotyczącymi środków technicznych oraz pod warunkiem, że okazy ważą mniej niż 600 g.</w:t>
      </w:r>
    </w:p>
    <w:p w14:paraId="36E718A6" w14:textId="77777777" w:rsidR="00341F8F" w:rsidRPr="001E7C87" w:rsidRDefault="00341F8F" w:rsidP="0002569E">
      <w:pPr>
        <w:autoSpaceDE w:val="0"/>
        <w:autoSpaceDN w:val="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5AA9754A" w14:textId="77777777" w:rsidR="00341F8F" w:rsidRPr="001E7C87" w:rsidRDefault="00341F8F" w:rsidP="0002569E">
      <w:pPr>
        <w:autoSpaceDE w:val="0"/>
        <w:autoSpaceDN w:val="0"/>
        <w:jc w:val="both"/>
        <w:rPr>
          <w:sz w:val="24"/>
          <w:szCs w:val="24"/>
          <w:rFonts w:ascii="Arial" w:hAnsi="Arial" w:cs="Arial"/>
        </w:rPr>
      </w:pPr>
      <w:r>
        <w:rPr>
          <w:sz w:val="24"/>
          <w:shd w:val="clear" w:color="auto" w:fill="FFFFFF"/>
          <w:rFonts w:ascii="Arial" w:hAnsi="Arial"/>
        </w:rPr>
        <w:t xml:space="preserve">W przypadku </w:t>
      </w:r>
      <w:r>
        <w:rPr>
          <w:sz w:val="24"/>
          <w:shd w:val="clear" w:color="auto" w:fill="FFFFFF"/>
          <w:i/>
          <w:rFonts w:ascii="Arial" w:hAnsi="Arial"/>
        </w:rPr>
        <w:t xml:space="preserve">Merluccius spp.</w:t>
      </w:r>
      <w:r>
        <w:rPr>
          <w:sz w:val="24"/>
          <w:shd w:val="clear" w:color="auto" w:fill="FFFFFF"/>
          <w:rFonts w:ascii="Arial" w:hAnsi="Arial"/>
        </w:rPr>
        <w:t xml:space="preserve"> i </w:t>
      </w:r>
      <w:r>
        <w:rPr>
          <w:sz w:val="24"/>
          <w:shd w:val="clear" w:color="auto" w:fill="FFFFFF"/>
          <w:i/>
          <w:rFonts w:ascii="Arial" w:hAnsi="Arial"/>
        </w:rPr>
        <w:t xml:space="preserve">Macruronus spp</w:t>
      </w:r>
      <w:r>
        <w:rPr>
          <w:sz w:val="24"/>
          <w:shd w:val="clear" w:color="auto" w:fill="FFFFFF"/>
          <w:rFonts w:ascii="Arial" w:hAnsi="Arial"/>
        </w:rPr>
        <w:t xml:space="preserve"> zezwala się na stosowanie alternatywnego oznaczenia handlowego lub oznaczenia żywności zakonserwowanej lub przetworzonej „</w:t>
      </w:r>
      <w:r>
        <w:rPr>
          <w:sz w:val="24"/>
          <w:shd w:val="clear" w:color="auto" w:fill="FFFFFF"/>
          <w:i/>
          <w:rFonts w:ascii="Arial" w:hAnsi="Arial"/>
        </w:rPr>
        <w:t xml:space="preserve">pescadilla</w:t>
      </w:r>
      <w:r>
        <w:rPr>
          <w:sz w:val="24"/>
          <w:shd w:val="clear" w:color="auto" w:fill="FFFFFF"/>
          <w:rFonts w:ascii="Arial" w:hAnsi="Arial"/>
        </w:rPr>
        <w:t xml:space="preserve">” (witlinek), wraz z nazwą gatunku, zgodnie z załącznikiem do niniejszego dekretu królewskiego pod warunkiem, że masa okazów nie przekracza 1,5 kg.</w:t>
      </w:r>
    </w:p>
    <w:p w14:paraId="320581AF" w14:textId="77777777" w:rsidR="00341F8F" w:rsidRPr="001E7C87" w:rsidRDefault="00341F8F" w:rsidP="00EC748B">
      <w:pPr>
        <w:jc w:val="both"/>
        <w:rPr>
          <w:rFonts w:ascii="Arial" w:hAnsi="Arial" w:cs="Arial"/>
          <w:b/>
          <w:sz w:val="24"/>
          <w:szCs w:val="24"/>
        </w:rPr>
      </w:pPr>
    </w:p>
    <w:p w14:paraId="184CDC56" w14:textId="77777777" w:rsidR="00341F8F" w:rsidRPr="009D5D83" w:rsidRDefault="00341F8F" w:rsidP="00EC748B">
      <w:pPr>
        <w:jc w:val="both"/>
        <w:rPr>
          <w:b/>
          <w:sz w:val="24"/>
          <w:szCs w:val="24"/>
          <w:rFonts w:ascii="Arial" w:hAnsi="Arial" w:cs="Arial"/>
        </w:rPr>
      </w:pPr>
      <w:r>
        <w:rPr>
          <w:b/>
          <w:sz w:val="24"/>
          <w:rFonts w:ascii="Arial" w:hAnsi="Arial"/>
        </w:rPr>
        <w:t xml:space="preserve">Jedyny przepis przejściowy.</w:t>
      </w:r>
      <w:r>
        <w:rPr>
          <w:i/>
          <w:rFonts w:ascii="Arial" w:hAnsi="Arial"/>
        </w:rPr>
        <w:t xml:space="preserve"> </w:t>
      </w:r>
      <w:r>
        <w:rPr>
          <w:i/>
          <w:b/>
          <w:sz w:val="24"/>
          <w:rFonts w:ascii="Arial" w:hAnsi="Arial"/>
        </w:rPr>
        <w:t xml:space="preserve">Wprowadzanie do obrotu zapasów produktów zakonserwowanych lub przetworzonych</w:t>
      </w:r>
      <w:r>
        <w:rPr>
          <w:b/>
          <w:sz w:val="24"/>
          <w:rFonts w:ascii="Arial" w:hAnsi="Arial"/>
        </w:rPr>
        <w:t xml:space="preserve"> </w:t>
      </w:r>
      <w:r>
        <w:rPr>
          <w:b/>
          <w:sz w:val="24"/>
          <w:i/>
          <w:rFonts w:ascii="Arial" w:hAnsi="Arial"/>
        </w:rPr>
        <w:t xml:space="preserve">oraz opakowań opatrzonych etykietami</w:t>
      </w:r>
    </w:p>
    <w:p w14:paraId="57AD86D6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371AB767" w14:textId="77777777" w:rsidR="00341F8F" w:rsidRPr="001E7C87" w:rsidRDefault="00341F8F" w:rsidP="00EC748B">
      <w:p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Przedsiębiorcy mogą wprowadzać do obrotu opakowania opatrzone etykietami, które zostały zakupione, oraz ich zakonserwowane lub przetworzone produkty, które zostały wyprodukowane przed wejściem w życie niniejszego dekretu królewskiego, jeżeli spełniają one obowiązujące w tym czasie przepisy, aż do wyczerpania zapasów wszystkich produktów.</w:t>
      </w:r>
      <w:r>
        <w:rPr>
          <w:sz w:val="24"/>
          <w:rFonts w:ascii="Arial" w:hAnsi="Arial"/>
        </w:rPr>
        <w:t xml:space="preserve"> </w:t>
      </w:r>
    </w:p>
    <w:p w14:paraId="16FAC755" w14:textId="77777777" w:rsidR="008F6EEE" w:rsidRPr="001E7C87" w:rsidRDefault="008F6EEE" w:rsidP="00EC748B">
      <w:pPr>
        <w:jc w:val="both"/>
        <w:rPr>
          <w:rFonts w:ascii="Arial" w:hAnsi="Arial" w:cs="Arial"/>
          <w:sz w:val="24"/>
          <w:szCs w:val="24"/>
        </w:rPr>
      </w:pPr>
    </w:p>
    <w:p w14:paraId="2DBDC459" w14:textId="77777777" w:rsidR="00B12306" w:rsidRPr="002E5171" w:rsidRDefault="00B12306" w:rsidP="00EC748B">
      <w:p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Przedsiębiorcy przestrzegają niniejszego dekretu królewskiego w ciągu jednego roku od jego wejścia w życie.</w:t>
      </w:r>
      <w:r>
        <w:rPr>
          <w:sz w:val="24"/>
          <w:rFonts w:ascii="Arial" w:hAnsi="Arial"/>
        </w:rPr>
        <w:t xml:space="preserve"> </w:t>
      </w:r>
    </w:p>
    <w:p w14:paraId="64225436" w14:textId="77777777" w:rsidR="00B12306" w:rsidRPr="002E5171" w:rsidRDefault="00B12306" w:rsidP="00EC748B">
      <w:pPr>
        <w:jc w:val="both"/>
        <w:rPr>
          <w:rFonts w:ascii="Arial" w:hAnsi="Arial" w:cs="Arial"/>
          <w:sz w:val="24"/>
          <w:szCs w:val="24"/>
        </w:rPr>
      </w:pPr>
    </w:p>
    <w:p w14:paraId="14057935" w14:textId="77777777" w:rsidR="00341F8F" w:rsidRPr="00B26495" w:rsidRDefault="00B12306" w:rsidP="00EC748B">
      <w:pPr>
        <w:jc w:val="both"/>
        <w:rPr>
          <w:strike/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Ponadto po opublikowaniu decyzji mającej wpływ na oznaczenie żywności zakonserwowanej lub przetworzonej wymienionej w załączniku do niniejszego dekretu królewskiego przedsiębiorcy mają również okres sześciu miesięcy na dostosowanie się do tej zmiany.</w:t>
      </w:r>
    </w:p>
    <w:p w14:paraId="310794B6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0AE0D546" w14:textId="77777777" w:rsidR="00341F8F" w:rsidRPr="009D5D83" w:rsidRDefault="00341F8F" w:rsidP="00EC748B">
      <w:pPr>
        <w:jc w:val="both"/>
        <w:rPr>
          <w:b/>
          <w:sz w:val="24"/>
          <w:szCs w:val="24"/>
          <w:rFonts w:ascii="Arial" w:hAnsi="Arial" w:cs="Arial"/>
        </w:rPr>
      </w:pPr>
      <w:r>
        <w:rPr>
          <w:sz w:val="24"/>
          <w:b/>
          <w:rFonts w:ascii="Arial" w:hAnsi="Arial"/>
        </w:rPr>
        <w:t xml:space="preserve">Jedyny przepis uchylający</w:t>
      </w:r>
      <w:r>
        <w:rPr>
          <w:sz w:val="24"/>
          <w:i/>
          <w:rFonts w:ascii="Arial" w:hAnsi="Arial"/>
        </w:rPr>
        <w:t xml:space="preserve">.</w:t>
      </w:r>
      <w:r>
        <w:rPr>
          <w:sz w:val="24"/>
          <w:i/>
          <w:rFonts w:ascii="Arial" w:hAnsi="Arial"/>
        </w:rPr>
        <w:t xml:space="preserve"> </w:t>
      </w:r>
      <w:r>
        <w:rPr>
          <w:sz w:val="24"/>
          <w:i/>
          <w:b/>
          <w:rFonts w:ascii="Arial" w:hAnsi="Arial"/>
        </w:rPr>
        <w:t xml:space="preserve">Uchylenie przepisów</w:t>
      </w:r>
      <w:r>
        <w:rPr>
          <w:sz w:val="24"/>
          <w:b/>
          <w:rFonts w:ascii="Arial" w:hAnsi="Arial"/>
        </w:rPr>
        <w:t xml:space="preserve"> </w:t>
      </w:r>
    </w:p>
    <w:p w14:paraId="6E629905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579556AB" w14:textId="77777777" w:rsidR="00341F8F" w:rsidRPr="001E7C87" w:rsidRDefault="00341F8F" w:rsidP="00EC748B">
      <w:p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1.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Niniejszym uchyla się załącznik IV do dekretu królewskiego 1521/1984 z dnia 1 sierpnia 1984 r. przyjmującego techniczne przepisy zdrowotne dotyczące zakładów rybołówstwa i akwakultury oraz produktów rybołówstwa i akwakultury przeznaczonych do spożycia przez ludzi.</w:t>
      </w:r>
      <w:r>
        <w:rPr>
          <w:sz w:val="24"/>
          <w:rFonts w:ascii="Arial" w:hAnsi="Arial"/>
        </w:rPr>
        <w:t xml:space="preserve"> </w:t>
      </w:r>
    </w:p>
    <w:p w14:paraId="172AAFB9" w14:textId="77777777" w:rsidR="00341F8F" w:rsidRPr="001E7C87" w:rsidRDefault="00341F8F" w:rsidP="00EC748B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5BA3F843" w14:textId="77777777" w:rsidR="00341F8F" w:rsidRPr="001E7C87" w:rsidRDefault="00341F8F" w:rsidP="00EC748B">
      <w:p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2.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Uchyla się art. 2 rozporządzenia z dnia 15 października 1985 r. w sprawie przyjęcia normy jakości dla konserwowanych omułków, małży i sercówek.</w:t>
      </w:r>
    </w:p>
    <w:p w14:paraId="3C781B0D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66B28D19" w14:textId="77777777" w:rsidR="00341F8F" w:rsidRPr="001E7C87" w:rsidRDefault="00341F8F" w:rsidP="00EC748B">
      <w:p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3.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Uchyla się art. 2 rozporządzenia z dnia 15 października 1985 r. w sprawie przyjęcia normy jakości dla gotowanych i mrożonych omułków.</w:t>
      </w:r>
    </w:p>
    <w:p w14:paraId="6ADBEDF1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12442C0B" w14:textId="77777777" w:rsidR="00341F8F" w:rsidRPr="001E7C87" w:rsidRDefault="00341F8F" w:rsidP="00EC748B">
      <w:p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4.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Niniejszym uchyla się decyzję Sekretariatu Generalnego ds. Rybołówstwa z dnia 24 maja 2019 r. publikującą wykaz oznaczeń handlowych gatunków rybołówstwa i akwakultury zaakceptowanych w Hiszpanii.</w:t>
      </w:r>
    </w:p>
    <w:p w14:paraId="50EF5A56" w14:textId="77777777" w:rsidR="00C25511" w:rsidRDefault="00C25511" w:rsidP="00542746">
      <w:pPr>
        <w:jc w:val="both"/>
        <w:rPr>
          <w:rFonts w:ascii="Arial" w:hAnsi="Arial" w:cs="Arial"/>
          <w:b/>
          <w:sz w:val="24"/>
          <w:szCs w:val="24"/>
        </w:rPr>
      </w:pPr>
    </w:p>
    <w:p w14:paraId="09696A97" w14:textId="77777777" w:rsidR="00C25511" w:rsidRDefault="00C25511" w:rsidP="00542746">
      <w:pPr>
        <w:jc w:val="both"/>
        <w:rPr>
          <w:rFonts w:ascii="Arial" w:hAnsi="Arial" w:cs="Arial"/>
          <w:b/>
          <w:sz w:val="24"/>
          <w:szCs w:val="24"/>
        </w:rPr>
      </w:pPr>
    </w:p>
    <w:p w14:paraId="0F79E10C" w14:textId="77777777" w:rsidR="00341F8F" w:rsidRPr="009D5D83" w:rsidRDefault="00341F8F" w:rsidP="00542746">
      <w:pPr>
        <w:jc w:val="both"/>
        <w:rPr>
          <w:b/>
          <w:i/>
          <w:sz w:val="24"/>
          <w:szCs w:val="24"/>
          <w:rFonts w:ascii="Arial" w:hAnsi="Arial" w:cs="Arial"/>
        </w:rPr>
      </w:pPr>
      <w:r>
        <w:rPr>
          <w:b/>
          <w:sz w:val="24"/>
          <w:rFonts w:ascii="Arial" w:hAnsi="Arial"/>
        </w:rPr>
        <w:t xml:space="preserve">Pierwszy przepis końcowy.</w:t>
      </w:r>
      <w:r>
        <w:rPr>
          <w:b/>
          <w:sz w:val="24"/>
          <w:rFonts w:ascii="Arial" w:hAnsi="Arial"/>
        </w:rPr>
        <w:t xml:space="preserve"> </w:t>
      </w:r>
      <w:r>
        <w:rPr>
          <w:b/>
          <w:sz w:val="24"/>
          <w:i/>
          <w:rFonts w:ascii="Arial" w:hAnsi="Arial"/>
        </w:rPr>
        <w:t xml:space="preserve">Zmiana dekretu królewskiego 1521/1984 z dnia 1 sierpnia 1984 r. przyjmującego techniczne przepisy zdrowotne dotyczące zakładów rybołówstwa i akwakultury oraz produktów rybołówstwa i akwakultury przeznaczonych do spożycia przez ludzi</w:t>
      </w:r>
      <w:r>
        <w:rPr>
          <w:b/>
          <w:sz w:val="24"/>
          <w:i/>
          <w:rFonts w:ascii="Arial" w:hAnsi="Arial"/>
        </w:rPr>
        <w:t xml:space="preserve"> </w:t>
      </w:r>
    </w:p>
    <w:p w14:paraId="51BB4860" w14:textId="77777777" w:rsidR="00341F8F" w:rsidRPr="001E7C87" w:rsidRDefault="00341F8F" w:rsidP="00542746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eastAsia="es-ES_tradnl"/>
        </w:rPr>
      </w:pPr>
    </w:p>
    <w:p w14:paraId="18D45B80" w14:textId="77777777" w:rsidR="00341F8F" w:rsidRPr="001E7C87" w:rsidRDefault="00341F8F" w:rsidP="00542746">
      <w:pPr>
        <w:jc w:val="both"/>
        <w:rPr>
          <w:bCs/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Jeden.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Art. 3 otrzymuje brzmienie:</w:t>
      </w:r>
    </w:p>
    <w:p w14:paraId="25C70210" w14:textId="77777777" w:rsidR="00341F8F" w:rsidRPr="001E7C87" w:rsidRDefault="00341F8F" w:rsidP="00542746">
      <w:pPr>
        <w:jc w:val="both"/>
        <w:rPr>
          <w:rFonts w:ascii="Arial" w:hAnsi="Arial" w:cs="Arial"/>
          <w:bCs/>
          <w:sz w:val="24"/>
          <w:szCs w:val="24"/>
          <w:lang w:eastAsia="es-ES_tradnl"/>
        </w:rPr>
      </w:pPr>
    </w:p>
    <w:p w14:paraId="5EA6DB01" w14:textId="77777777" w:rsidR="00341F8F" w:rsidRPr="001E7C87" w:rsidRDefault="00341F8F" w:rsidP="00542746">
      <w:pPr>
        <w:jc w:val="both"/>
        <w:rPr>
          <w:b/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„Artykuł 3.</w:t>
      </w:r>
      <w:r>
        <w:rPr>
          <w:sz w:val="24"/>
          <w:rFonts w:ascii="Arial" w:hAnsi="Arial"/>
        </w:rPr>
        <w:t xml:space="preserve"> </w:t>
      </w:r>
      <w:r>
        <w:rPr>
          <w:sz w:val="24"/>
          <w:i/>
          <w:rFonts w:ascii="Arial" w:hAnsi="Arial"/>
        </w:rPr>
        <w:t xml:space="preserve">Formy prezentacji, konserwacji i wprowadzania do obrotu produktów rybołówstwa i akwakultury</w:t>
      </w:r>
    </w:p>
    <w:p w14:paraId="422CA23C" w14:textId="77777777" w:rsidR="00341F8F" w:rsidRPr="001E7C87" w:rsidRDefault="00341F8F" w:rsidP="00EC748B">
      <w:pPr>
        <w:jc w:val="both"/>
        <w:rPr>
          <w:rFonts w:ascii="Arial" w:hAnsi="Arial" w:cs="Arial"/>
          <w:b/>
          <w:sz w:val="24"/>
          <w:szCs w:val="24"/>
        </w:rPr>
      </w:pPr>
    </w:p>
    <w:p w14:paraId="4558AEB7" w14:textId="77777777" w:rsidR="00341F8F" w:rsidRPr="001E7C87" w:rsidRDefault="00341F8F" w:rsidP="007571F0">
      <w:pPr>
        <w:pStyle w:val="ListParagraph"/>
        <w:ind w:left="0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1.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Zezwala się na stosowanie następujących terminów, jak określono poniżej, w odniesieniu do cech charakterystycznych, prezentacji, konserwacji i przetwarzania produktów rybołówstwa i akwakultury, wraz z oznaczeniem handlowym lub oznaczeniem żywności zakonserwowanej lub przetworzonej na jej oznakowaniu lub etykietowaniu zgodnie z europejskimi i krajowymi przepisami dotyczącymi rybołówstwa, informacji na temat żywności i bezpieczeństwa żywności:</w:t>
      </w:r>
    </w:p>
    <w:p w14:paraId="763370ED" w14:textId="77777777" w:rsidR="00341F8F" w:rsidRPr="001E7C87" w:rsidRDefault="00341F8F" w:rsidP="007571F0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</w:p>
    <w:p w14:paraId="2E803B1F" w14:textId="77777777" w:rsidR="00FD1296" w:rsidRPr="001E7C87" w:rsidRDefault="00FD1296" w:rsidP="00253F7B">
      <w:pPr>
        <w:pStyle w:val="ListParagraph"/>
        <w:numPr>
          <w:ilvl w:val="0"/>
          <w:numId w:val="5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„cały”: produkt wprowadzany do obrotu bez jakiegokolwiek przetworzenia;</w:t>
      </w:r>
    </w:p>
    <w:p w14:paraId="0868D408" w14:textId="77777777" w:rsidR="00FD1296" w:rsidRPr="001E7C87" w:rsidRDefault="00FD1296" w:rsidP="00253F7B">
      <w:pPr>
        <w:pStyle w:val="ListParagraph"/>
        <w:numPr>
          <w:ilvl w:val="0"/>
          <w:numId w:val="5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„wypatroszony”: produkt wprowadzany do obrotu bez wnętrzności;</w:t>
      </w:r>
    </w:p>
    <w:p w14:paraId="389ADA20" w14:textId="77777777" w:rsidR="00FD1296" w:rsidRPr="001E7C87" w:rsidRDefault="00FD1296" w:rsidP="00253F7B">
      <w:pPr>
        <w:pStyle w:val="ListParagraph"/>
        <w:numPr>
          <w:ilvl w:val="0"/>
          <w:numId w:val="5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„bez głowy”: produkt wprowadzany do obrotu bez głowy;</w:t>
      </w:r>
    </w:p>
    <w:p w14:paraId="27AEBF57" w14:textId="77777777" w:rsidR="00FD1296" w:rsidRPr="001E7C87" w:rsidRDefault="00FD1296" w:rsidP="00253F7B">
      <w:pPr>
        <w:pStyle w:val="ListParagraph"/>
        <w:numPr>
          <w:ilvl w:val="0"/>
          <w:numId w:val="5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„oskórowany”: produkt wprowadzany do obrotu bez skóry;</w:t>
      </w:r>
    </w:p>
    <w:p w14:paraId="75EF2B8B" w14:textId="77777777" w:rsidR="00FD1296" w:rsidRPr="001E7C87" w:rsidRDefault="00FD1296" w:rsidP="00253F7B">
      <w:pPr>
        <w:pStyle w:val="ListParagraph"/>
        <w:numPr>
          <w:ilvl w:val="0"/>
          <w:numId w:val="5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„oczyszczony”: produkt wprowadzany do obrotu wypatroszony, bez głowy i umyty, ze skórą lub kośćmi lub bez nich;</w:t>
      </w:r>
    </w:p>
    <w:p w14:paraId="73666383" w14:textId="77777777" w:rsidR="00FD1296" w:rsidRPr="001E7C87" w:rsidRDefault="00FD1296" w:rsidP="00253F7B">
      <w:pPr>
        <w:pStyle w:val="ListParagraph"/>
        <w:numPr>
          <w:ilvl w:val="0"/>
          <w:numId w:val="5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„porcjowany”: produkt wprowadzany do obrotu w kawałkach;</w:t>
      </w:r>
    </w:p>
    <w:p w14:paraId="3A0487B6" w14:textId="77777777" w:rsidR="00FD1296" w:rsidRPr="001E7C87" w:rsidRDefault="00FD1296" w:rsidP="00253F7B">
      <w:pPr>
        <w:pStyle w:val="ListParagraph"/>
        <w:numPr>
          <w:ilvl w:val="0"/>
          <w:numId w:val="5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„płatki”: produkt wprowadzany do obrotu w postaci płatków;</w:t>
      </w:r>
    </w:p>
    <w:p w14:paraId="5AD712FA" w14:textId="77777777" w:rsidR="00FD1296" w:rsidRPr="001E7C87" w:rsidRDefault="00FD1296" w:rsidP="00253F7B">
      <w:pPr>
        <w:pStyle w:val="ListParagraph"/>
        <w:numPr>
          <w:ilvl w:val="0"/>
          <w:numId w:val="5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„mielony”: produkt otrzymany przez drobne rozdrobnienie mięśni ryby, bez skóry i ości, zachowujący strukturę tkanki mięśniowej lub jadalnych części mięczaków i skorupiaków;</w:t>
      </w:r>
    </w:p>
    <w:p w14:paraId="07FFF410" w14:textId="77777777" w:rsidR="00FD1296" w:rsidRPr="001E7C87" w:rsidRDefault="00FD1296" w:rsidP="00253F7B">
      <w:pPr>
        <w:pStyle w:val="ListParagraph"/>
        <w:numPr>
          <w:ilvl w:val="0"/>
          <w:numId w:val="5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„części”, „kawałki”, „kęsy”, „gryzy”, „paski” lub podobne terminy: różne porcje mięśni ryb, ze skórą lub ościami lub bez nich, zachowujące strukturę tkanki mięśniowej lub jadalnych części mięczaków i skorupiaków;</w:t>
      </w:r>
    </w:p>
    <w:p w14:paraId="0142CB3B" w14:textId="77777777" w:rsidR="00253F7B" w:rsidRPr="001E7C87" w:rsidRDefault="00253F7B" w:rsidP="00253F7B">
      <w:pPr>
        <w:pStyle w:val="ListParagraph"/>
        <w:numPr>
          <w:ilvl w:val="0"/>
          <w:numId w:val="5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„pierścienie” lub „korony”: charakterystyczne okrągłe porcje uzyskane przez cięcie prostopadle do osi wzdłużnej płaszczy głowonogów;</w:t>
      </w:r>
    </w:p>
    <w:p w14:paraId="7A7B397F" w14:textId="77777777" w:rsidR="00253F7B" w:rsidRPr="001E7C87" w:rsidRDefault="00253F7B" w:rsidP="00253F7B">
      <w:pPr>
        <w:pStyle w:val="ListParagraph"/>
        <w:numPr>
          <w:ilvl w:val="0"/>
          <w:numId w:val="5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„filety”: w przypadku ryb, części masy mięśniowej uzyskane przez cięcie równolegle do kręgosłupa, ze skórą lub kośćmi, bądź bez nich.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W przypadku głowonogów są to porcje płaszcza, które różnią się wielkością;</w:t>
      </w:r>
    </w:p>
    <w:p w14:paraId="6459BDA3" w14:textId="77777777" w:rsidR="00253F7B" w:rsidRPr="001E7C87" w:rsidRDefault="00253F7B" w:rsidP="00253F7B">
      <w:pPr>
        <w:pStyle w:val="ListParagraph"/>
        <w:numPr>
          <w:ilvl w:val="0"/>
          <w:numId w:val="5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„plastry”: w przypadku ryb, części o różnej grubości uzyskane przez cięcie prostopadłe do osi wzdłużnej ciała i które zazwyczaj zawierają odpowiedni odcinek kręgosłupa, ze skórą lub kośćmi lub bez nich.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W przypadku głowonogów są to porcje o różnej grubości uzyskane przez cięcie prostopadłe do osi wzdłużnej kończyn;</w:t>
      </w:r>
    </w:p>
    <w:p w14:paraId="61CD0F5F" w14:textId="77777777" w:rsidR="00253F7B" w:rsidRPr="001E7C87" w:rsidRDefault="00253F7B" w:rsidP="00253F7B">
      <w:pPr>
        <w:pStyle w:val="ListParagraph"/>
        <w:numPr>
          <w:ilvl w:val="0"/>
          <w:numId w:val="5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„medaliony”: porcje uformowane z jadalnych części produktów rybołówstwa i produktów akwakultury, bez skóry lub kości, którym nadaje się określony kształt;</w:t>
      </w:r>
    </w:p>
    <w:p w14:paraId="12D3A4B4" w14:textId="77777777" w:rsidR="00253F7B" w:rsidRPr="001E7C87" w:rsidRDefault="00253F7B" w:rsidP="00253F7B">
      <w:pPr>
        <w:pStyle w:val="ListParagraph"/>
        <w:numPr>
          <w:ilvl w:val="0"/>
          <w:numId w:val="5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„serca z filetów”: porcje wykonane z filetów, bez skóry lub ości, którym nadaje się określony kształt;</w:t>
      </w:r>
    </w:p>
    <w:p w14:paraId="5C624429" w14:textId="77777777" w:rsidR="00FD1296" w:rsidRPr="001E7C87" w:rsidRDefault="00FD1296" w:rsidP="00253F7B">
      <w:pPr>
        <w:pStyle w:val="ListParagraph"/>
        <w:numPr>
          <w:ilvl w:val="0"/>
          <w:numId w:val="5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„skrawki”: małe kawałki jadalnych części produktów rybołówstwa i akwakultury, nie w postaci pasty, uzyskane podczas rozbioru i przetwarzania;</w:t>
      </w:r>
    </w:p>
    <w:p w14:paraId="40DDD0A1" w14:textId="77777777" w:rsidR="00FD1296" w:rsidRPr="001E7C87" w:rsidRDefault="00FD1296" w:rsidP="00253F7B">
      <w:pPr>
        <w:pStyle w:val="ListParagraph"/>
        <w:numPr>
          <w:ilvl w:val="0"/>
          <w:numId w:val="5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„peklowany”: produkt po przedłużonej ekspozycji na sól kuchenną, w postaci stałej lub solanki zawierającej od 12% do 18% soli.</w:t>
      </w:r>
    </w:p>
    <w:p w14:paraId="1899945F" w14:textId="77777777" w:rsidR="00FD1296" w:rsidRPr="001E7C87" w:rsidRDefault="00FD1296" w:rsidP="00253F7B">
      <w:pPr>
        <w:pStyle w:val="ListParagraph"/>
        <w:numPr>
          <w:ilvl w:val="0"/>
          <w:numId w:val="5"/>
        </w:numPr>
        <w:jc w:val="both"/>
        <w:rPr>
          <w:strike/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</w:t>
      </w:r>
      <w:r>
        <w:rPr>
          <w:sz w:val="24"/>
          <w:i/>
          <w:rFonts w:ascii="Arial" w:hAnsi="Arial"/>
        </w:rPr>
        <w:t xml:space="preserve">salpresado</w:t>
      </w:r>
      <w:r>
        <w:rPr>
          <w:sz w:val="24"/>
          <w:rFonts w:ascii="Arial" w:hAnsi="Arial"/>
        </w:rPr>
        <w:t xml:space="preserve">” lub „</w:t>
      </w:r>
      <w:r>
        <w:rPr>
          <w:sz w:val="24"/>
          <w:i/>
          <w:rFonts w:ascii="Arial" w:hAnsi="Arial"/>
        </w:rPr>
        <w:t xml:space="preserve">salpreso</w:t>
      </w:r>
      <w:r>
        <w:rPr>
          <w:sz w:val="24"/>
          <w:rFonts w:ascii="Arial" w:hAnsi="Arial"/>
        </w:rPr>
        <w:t xml:space="preserve">” (solony-wyciskany): produkt poddany działaniu zarówno soli kuchennej, jak i ciśnienia;</w:t>
      </w:r>
    </w:p>
    <w:p w14:paraId="56DDB8DB" w14:textId="77777777" w:rsidR="00FD1296" w:rsidRPr="001E7C87" w:rsidRDefault="00FD1296" w:rsidP="00253F7B">
      <w:pPr>
        <w:pStyle w:val="ListParagraph"/>
        <w:numPr>
          <w:ilvl w:val="0"/>
          <w:numId w:val="5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„solony”: produkt poddany działaniu soli kuchennej, w postaci stałej lub w solance, ewentualnie w towarzystwie innych przypraw korzennych lub ziołowych;</w:t>
      </w:r>
    </w:p>
    <w:p w14:paraId="13099A2E" w14:textId="77777777" w:rsidR="00FD1296" w:rsidRPr="001E7C87" w:rsidRDefault="00FD1296" w:rsidP="00253F7B">
      <w:pPr>
        <w:pStyle w:val="ListParagraph"/>
        <w:numPr>
          <w:ilvl w:val="0"/>
          <w:numId w:val="5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„suchosolony”: produkt poddany działaniu soli kuchennej i suchego powietrza, aż osiągnie wilgotność od 30% do 50%;</w:t>
      </w:r>
      <w:r>
        <w:rPr>
          <w:sz w:val="24"/>
          <w:rFonts w:ascii="Arial" w:hAnsi="Arial"/>
        </w:rPr>
        <w:t xml:space="preserve"> </w:t>
      </w:r>
    </w:p>
    <w:p w14:paraId="726C8A69" w14:textId="77777777" w:rsidR="00FD1296" w:rsidRPr="001E7C87" w:rsidRDefault="00FD1296" w:rsidP="00253F7B">
      <w:pPr>
        <w:pStyle w:val="ListParagraph"/>
        <w:numPr>
          <w:ilvl w:val="0"/>
          <w:numId w:val="5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„odsolony”: produkt otrzymywany z produktu solonego lub peklowanego, którego zawartość soli została częściowo usunięta za pomocą wody i który musi być przechowywany w warunkach chłodniczych lub zamrożony;</w:t>
      </w:r>
    </w:p>
    <w:p w14:paraId="4906C4B9" w14:textId="77777777" w:rsidR="00FD1296" w:rsidRPr="001E7C87" w:rsidRDefault="00FD1296" w:rsidP="00253F7B">
      <w:pPr>
        <w:pStyle w:val="ListParagraph"/>
        <w:numPr>
          <w:ilvl w:val="0"/>
          <w:numId w:val="5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„lekko solony”: produkt otrzymywany ze świeżego lub rozmrożonego produktu, do którego dodano solankę poprzez wstrzyknięcie lub zanurzenie, i który musi być przechowywany w warunkach chłodniczych lub zamrożony;</w:t>
      </w:r>
    </w:p>
    <w:p w14:paraId="0DB93F05" w14:textId="7EE0C595" w:rsidR="00682213" w:rsidRPr="002E5171" w:rsidRDefault="00FD1296" w:rsidP="002E5171">
      <w:pPr>
        <w:pStyle w:val="ListParagraph"/>
        <w:numPr>
          <w:ilvl w:val="0"/>
          <w:numId w:val="5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„solanka”: woda pitna z rozpuszczoną w niej solą jadalną, ewentualnie z innymi przyprawami korzennymi, ziołowymi i innymi zatwierdzonymi substancjami;</w:t>
      </w:r>
    </w:p>
    <w:p w14:paraId="16B35FE3" w14:textId="77777777" w:rsidR="00FD1296" w:rsidRPr="001E7C87" w:rsidRDefault="00FD1296" w:rsidP="00253F7B">
      <w:pPr>
        <w:pStyle w:val="ListParagraph"/>
        <w:numPr>
          <w:ilvl w:val="0"/>
          <w:numId w:val="5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„suszony”: produkt wystawiony na działanie suchego powietrza lub który przeszedł jakikolwiek inny zatwierdzony proces, aż do osiągnięcia wilgotności poniżej 15%;</w:t>
      </w:r>
    </w:p>
    <w:p w14:paraId="7A723C5C" w14:textId="77777777" w:rsidR="00FD1296" w:rsidRPr="001E7C87" w:rsidRDefault="00FD1296" w:rsidP="00253F7B">
      <w:pPr>
        <w:pStyle w:val="ListParagraph"/>
        <w:numPr>
          <w:ilvl w:val="0"/>
          <w:numId w:val="5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„odwodniony” lub „liofilizowany”: całość lub część produktu, którego zawartość wody została zmniejszona do maksymalnie 5% za pomocą zatwierdzonych metod i który musi być pakowany w próżni lub w gazie obojętnym;</w:t>
      </w:r>
    </w:p>
    <w:p w14:paraId="0B829EC5" w14:textId="77777777" w:rsidR="00FD1296" w:rsidRPr="001E7C87" w:rsidRDefault="00FD1296" w:rsidP="00253F7B">
      <w:pPr>
        <w:pStyle w:val="ListParagraph"/>
        <w:numPr>
          <w:ilvl w:val="0"/>
          <w:numId w:val="5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„wędzony”: produkt poddany działaniu dymu z drewna lub innych zatwierdzonych procesów;</w:t>
      </w:r>
    </w:p>
    <w:p w14:paraId="2D119D18" w14:textId="77777777" w:rsidR="00FD1296" w:rsidRPr="001E7C87" w:rsidRDefault="00FD1296" w:rsidP="00253F7B">
      <w:pPr>
        <w:pStyle w:val="ListParagraph"/>
        <w:numPr>
          <w:ilvl w:val="0"/>
          <w:numId w:val="5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„gotowany”: produkt poddany działaniu pary, wrzącej wody lub innej zatwierdzonej obróbki cieplnej;</w:t>
      </w:r>
    </w:p>
    <w:p w14:paraId="17C47E08" w14:textId="77777777" w:rsidR="00FD1296" w:rsidRPr="001E7C87" w:rsidRDefault="00FD1296" w:rsidP="00253F7B">
      <w:pPr>
        <w:pStyle w:val="ListParagraph"/>
        <w:numPr>
          <w:ilvl w:val="0"/>
          <w:numId w:val="5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„gotowany we własnym soku”: produkt ugotowany w sokach uwolnionych podczas procesu gotowania;</w:t>
      </w:r>
    </w:p>
    <w:p w14:paraId="6823CA5A" w14:textId="77777777" w:rsidR="00FD1296" w:rsidRPr="001E7C87" w:rsidRDefault="00FD1296" w:rsidP="00253F7B">
      <w:pPr>
        <w:pStyle w:val="ListParagraph"/>
        <w:numPr>
          <w:ilvl w:val="0"/>
          <w:numId w:val="5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„gotowany w solance”: produkt ugotowany w wodzie, do której dodano sól, ewentualnie z innymi zatwierdzonymi dodatkami;</w:t>
      </w:r>
    </w:p>
    <w:p w14:paraId="4016C98B" w14:textId="77777777" w:rsidR="00FD1296" w:rsidRPr="001E7C87" w:rsidRDefault="00FD1296" w:rsidP="00253F7B">
      <w:pPr>
        <w:pStyle w:val="ListParagraph"/>
        <w:numPr>
          <w:ilvl w:val="0"/>
          <w:numId w:val="5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„surowy”: produkt wprowadzany do obrotu bez przetwarzania;</w:t>
      </w:r>
    </w:p>
    <w:p w14:paraId="453EB416" w14:textId="77777777" w:rsidR="00FD1296" w:rsidRPr="001E7C87" w:rsidRDefault="00FD1296" w:rsidP="00253F7B">
      <w:pPr>
        <w:pStyle w:val="ListParagraph"/>
        <w:numPr>
          <w:ilvl w:val="0"/>
          <w:numId w:val="5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„schłodzony”: produkt, który został poddany chłodzeniu;</w:t>
      </w:r>
    </w:p>
    <w:p w14:paraId="118F7AA0" w14:textId="77777777" w:rsidR="00FD1296" w:rsidRPr="001E7C87" w:rsidRDefault="00FD1296" w:rsidP="00253F7B">
      <w:pPr>
        <w:pStyle w:val="ListParagraph"/>
        <w:numPr>
          <w:ilvl w:val="0"/>
          <w:numId w:val="5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„chłodzenie”: proces konserwacji na zimno, w którym przechowuje się i utrzymuje produkty rybołówstwa i akwakultury w temperaturze zbliżonej do temperatury topniejącego lodu;</w:t>
      </w:r>
    </w:p>
    <w:p w14:paraId="485FFC4E" w14:textId="77777777" w:rsidR="00FD1296" w:rsidRPr="001E7C87" w:rsidRDefault="00FD1296" w:rsidP="00253F7B">
      <w:pPr>
        <w:pStyle w:val="ListParagraph"/>
        <w:numPr>
          <w:ilvl w:val="0"/>
          <w:numId w:val="5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„zamrożony”: produkt, który został zamrożony;</w:t>
      </w:r>
    </w:p>
    <w:p w14:paraId="255F0E4F" w14:textId="77777777" w:rsidR="00FD1296" w:rsidRPr="001E7C87" w:rsidRDefault="00FD1296" w:rsidP="00253F7B">
      <w:pPr>
        <w:pStyle w:val="ListParagraph"/>
        <w:numPr>
          <w:ilvl w:val="0"/>
          <w:numId w:val="5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„zamrażanie”: proces konserwacji na zimno, w którym przechowuje się i utrzymuje produkty rybołówstwa i akwakultury w temperaturze rdzenia nieprzekraczającej -18°C;</w:t>
      </w:r>
    </w:p>
    <w:p w14:paraId="4AB4BB99" w14:textId="77777777" w:rsidR="00FD1296" w:rsidRPr="001E7C87" w:rsidRDefault="00FD1296" w:rsidP="00253F7B">
      <w:pPr>
        <w:pStyle w:val="ListParagraph"/>
        <w:numPr>
          <w:ilvl w:val="0"/>
          <w:numId w:val="5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„głęboko mrożony”: produkt, który został poddany głębokiemu zamrożeniu lub szybkiemu zamrażaniu;</w:t>
      </w:r>
    </w:p>
    <w:p w14:paraId="128DC0B0" w14:textId="77777777" w:rsidR="00FD1296" w:rsidRPr="001E7C87" w:rsidRDefault="00FD1296" w:rsidP="00253F7B">
      <w:pPr>
        <w:pStyle w:val="ListParagraph"/>
        <w:numPr>
          <w:ilvl w:val="0"/>
          <w:numId w:val="5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„głębokie zamrażanie” lub „szybkie zamrażanie”:</w:t>
      </w:r>
      <w:r>
        <w:t xml:space="preserve"> </w:t>
      </w:r>
      <w:r>
        <w:rPr>
          <w:sz w:val="24"/>
          <w:rFonts w:ascii="Arial" w:hAnsi="Arial"/>
        </w:rPr>
        <w:t xml:space="preserve">rodzaj zamrażania, który umożliwia szybkie przejście przez maksymalny zakres krystalizacji, zapewniając, że po stabilizacji termicznej wszystkie części produktu utrzymują bez przerwy temperaturę nieprzekraczającą -18°C.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Produkty te są wprowadzane do obrotu w sposób wskazujący, że posiadają tę cechę.</w:t>
      </w:r>
    </w:p>
    <w:p w14:paraId="6325ED30" w14:textId="77777777" w:rsidR="00FD1296" w:rsidRPr="001E7C87" w:rsidRDefault="00FD1296" w:rsidP="00253F7B">
      <w:pPr>
        <w:pStyle w:val="ListParagraph"/>
        <w:numPr>
          <w:ilvl w:val="0"/>
          <w:numId w:val="5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„rozmrożony”: produkt, który został poddany rozmrażaniu i jest wprowadzany do obrotu w warunkach chłodniczych.</w:t>
      </w:r>
    </w:p>
    <w:p w14:paraId="41092EB1" w14:textId="77777777" w:rsidR="00FD1296" w:rsidRPr="001E7C87" w:rsidRDefault="00FD1296" w:rsidP="00253F7B">
      <w:pPr>
        <w:pStyle w:val="ListParagraph"/>
        <w:numPr>
          <w:ilvl w:val="0"/>
          <w:numId w:val="5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„pasteryzowany”: produkt, który został poddany procesowi pasteryzacji;</w:t>
      </w:r>
    </w:p>
    <w:p w14:paraId="1851177E" w14:textId="77777777" w:rsidR="00FD1296" w:rsidRPr="001E7C87" w:rsidRDefault="00FD1296" w:rsidP="00253F7B">
      <w:pPr>
        <w:pStyle w:val="ListParagraph"/>
        <w:numPr>
          <w:ilvl w:val="0"/>
          <w:numId w:val="5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„pasteryzacja”: proces, który niszczy wegetatywne formy drobnoustrojów chorobotwórczych w żywności oraz niszczy lub dezaktywuje prawie całą florę łagodną, poddając żywność zmiennym temperaturom, w oparciu o czas obróbki, tak aby nie ulegały one istotnym zmianom w ich składzie i zapewnia ich konserwację w odpowiedniej temperaturze przez okres nie krótszy niż 48 godzin;</w:t>
      </w:r>
    </w:p>
    <w:p w14:paraId="79FEF26B" w14:textId="77777777" w:rsidR="00FD1296" w:rsidRPr="001E7C87" w:rsidRDefault="00FD1296" w:rsidP="00253F7B">
      <w:pPr>
        <w:pStyle w:val="ListParagraph"/>
        <w:numPr>
          <w:ilvl w:val="0"/>
          <w:numId w:val="5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„sterylizowany”: produkt, który został poddany procesowi sterylizacji;</w:t>
      </w:r>
    </w:p>
    <w:p w14:paraId="44A6F52C" w14:textId="77777777" w:rsidR="00FD1296" w:rsidRPr="001E7C87" w:rsidRDefault="00FD1296" w:rsidP="00253F7B">
      <w:pPr>
        <w:pStyle w:val="ListParagraph"/>
        <w:numPr>
          <w:ilvl w:val="0"/>
          <w:numId w:val="5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„sterylizacja”: proces, który niszczy wszystkie drobnoustroje chorobotwórcze lub niepatogenne, w odpowiednich temperaturach, stosowany jednorazowo lub w drodze tyndalizacji.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W przemyśle spożywczym sterylizacja odnosi się również do procesu, który niszczy lub dezaktywuje mikroorganizmy zdolne do zmiany żywności w normalnych warunkach przechowywania, przez określony czas;</w:t>
      </w:r>
    </w:p>
    <w:p w14:paraId="54186E07" w14:textId="77777777" w:rsidR="00FD1296" w:rsidRPr="00682213" w:rsidRDefault="00FD1296" w:rsidP="00253F7B">
      <w:pPr>
        <w:pStyle w:val="ListParagraph"/>
        <w:numPr>
          <w:ilvl w:val="0"/>
          <w:numId w:val="5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„częściowo zakonserwowany”: produkt, który nie został poddany wystarczającej obróbce w celu zapewnienia jego sterylności w momencie sprzedaży i który w związku z tym musi być schłodzony;</w:t>
      </w:r>
    </w:p>
    <w:p w14:paraId="4841E29A" w14:textId="77777777" w:rsidR="00FD1296" w:rsidRPr="00682213" w:rsidRDefault="00FD1296" w:rsidP="00253F7B">
      <w:pPr>
        <w:pStyle w:val="ListParagraph"/>
        <w:numPr>
          <w:ilvl w:val="0"/>
          <w:numId w:val="5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„zakonserwowany”: produkt, który został poddany wystarczającej obróbce termicznej, aby zapewnić jego sterylność przez dłuższy czas bez chłodzenia;</w:t>
      </w:r>
    </w:p>
    <w:p w14:paraId="229F028B" w14:textId="1F53EC63" w:rsidR="00FD1296" w:rsidRPr="00682213" w:rsidRDefault="00FD1296" w:rsidP="00253F7B">
      <w:pPr>
        <w:pStyle w:val="ListParagraph"/>
        <w:numPr>
          <w:ilvl w:val="0"/>
          <w:numId w:val="5"/>
        </w:numPr>
        <w:jc w:val="both"/>
        <w:rPr>
          <w:strike/>
          <w:color w:val="FF0000"/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„bez przypraw”: produkt, którego płyn pokrywający składa się z naturalnych soków powstałych w wyniku jego gotowania, wraz z wodą i solą;</w:t>
      </w:r>
    </w:p>
    <w:p w14:paraId="493144BE" w14:textId="77777777" w:rsidR="00FD1296" w:rsidRPr="001E7C87" w:rsidRDefault="00FD1296" w:rsidP="00253F7B">
      <w:pPr>
        <w:pStyle w:val="ListParagraph"/>
        <w:numPr>
          <w:ilvl w:val="0"/>
          <w:numId w:val="5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„w oliwie z oliwek”: produkt pokryty wyłącznie oliwą z oliwek, bez domieszki innych rodzajów oliwy;</w:t>
      </w:r>
    </w:p>
    <w:p w14:paraId="02271A59" w14:textId="77777777" w:rsidR="00FD1296" w:rsidRPr="001E7C87" w:rsidRDefault="00FD1296" w:rsidP="00253F7B">
      <w:pPr>
        <w:pStyle w:val="ListParagraph"/>
        <w:numPr>
          <w:ilvl w:val="0"/>
          <w:numId w:val="5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„w oleju roślinnym”: produkt pokryty olejem roślinnym klasy spożywczej;</w:t>
      </w:r>
    </w:p>
    <w:p w14:paraId="312A7C55" w14:textId="76A5B016" w:rsidR="00FD1296" w:rsidRPr="001E7C87" w:rsidRDefault="00FD1296" w:rsidP="00253F7B">
      <w:pPr>
        <w:pStyle w:val="ListParagraph"/>
        <w:numPr>
          <w:ilvl w:val="0"/>
          <w:numId w:val="5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„marynowany” lub „zaprawiany”: produkt, który został zmiękczony w mieszaninie przypraw korzennych, ziołowych, octu, oleju lub innych płynów nakładanych na powierzchnię lub przez zanurzenie;</w:t>
      </w:r>
      <w:r>
        <w:rPr>
          <w:sz w:val="24"/>
          <w:rFonts w:ascii="Arial" w:hAnsi="Arial"/>
        </w:rPr>
        <w:t xml:space="preserve"> </w:t>
      </w:r>
    </w:p>
    <w:p w14:paraId="45F0A4F8" w14:textId="77777777" w:rsidR="00FD1296" w:rsidRPr="001E7C87" w:rsidRDefault="00FD1296" w:rsidP="00253F7B">
      <w:pPr>
        <w:pStyle w:val="ListParagraph"/>
        <w:numPr>
          <w:ilvl w:val="0"/>
          <w:numId w:val="5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„marynowany” lub „w zalewie solankowej”: produkt z dodatkiem przypraw korzennych, ziołowych, octu, oleju lub innych płynów charakterystycznych dla danego preparatu kulinarnego, który został poddany obróbce termicznej;</w:t>
      </w:r>
    </w:p>
    <w:p w14:paraId="3BF591A4" w14:textId="77777777" w:rsidR="00FD1296" w:rsidRPr="001E7C87" w:rsidRDefault="00FD1296" w:rsidP="00253F7B">
      <w:pPr>
        <w:pStyle w:val="ListParagraph"/>
        <w:numPr>
          <w:ilvl w:val="0"/>
          <w:numId w:val="5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„w sosie pomidorowym”, „w </w:t>
      </w:r>
      <w:r>
        <w:rPr>
          <w:sz w:val="24"/>
          <w:i/>
          <w:rFonts w:ascii="Arial" w:hAnsi="Arial"/>
        </w:rPr>
        <w:t xml:space="preserve">salsa americana</w:t>
      </w:r>
      <w:r>
        <w:rPr>
          <w:sz w:val="24"/>
          <w:rFonts w:ascii="Arial" w:hAnsi="Arial"/>
        </w:rPr>
        <w:t xml:space="preserve">”, „w ostrym sosie”, „w atramencie” lub podobne terminy: produkt, którego płyn pokrywający składa się ze składników właściwych dla danego preparatu kulinarnego;</w:t>
      </w:r>
    </w:p>
    <w:p w14:paraId="120A8BB7" w14:textId="63A606E3" w:rsidR="00682213" w:rsidRPr="002E5171" w:rsidRDefault="00FD1296" w:rsidP="002E5171">
      <w:pPr>
        <w:pStyle w:val="ListParagraph"/>
        <w:numPr>
          <w:ilvl w:val="0"/>
          <w:numId w:val="5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„pasta”: produkt, który został zmielony i poddany homogenizacji, z dodatkiem innych zatwierdzonych składników i substancji;</w:t>
      </w:r>
    </w:p>
    <w:p w14:paraId="399E9A3D" w14:textId="77777777" w:rsidR="00FD1296" w:rsidRPr="001E7C87" w:rsidRDefault="00FD1296" w:rsidP="00253F7B">
      <w:pPr>
        <w:pStyle w:val="ListParagraph"/>
        <w:numPr>
          <w:ilvl w:val="0"/>
          <w:numId w:val="5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„przetwory z produktów rybołówstwa i akwakultury”: produkty wytworzone z jadalnych części produktów rybołówstwa lub akwakultury, ewentualnie z innymi zatwierdzonymi składnikami, przyprawami i dodatkami, a także ewentualnie z późniejszym przetwarzaniem.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Ten rodzaj produktu może wykorzystywać nazwę opisową;</w:t>
      </w:r>
    </w:p>
    <w:p w14:paraId="148FD6D4" w14:textId="77777777" w:rsidR="00FD1296" w:rsidRPr="001E7C87" w:rsidRDefault="00FA42F5" w:rsidP="00253F7B">
      <w:pPr>
        <w:pStyle w:val="ListParagraph"/>
        <w:numPr>
          <w:ilvl w:val="0"/>
          <w:numId w:val="5"/>
        </w:numPr>
        <w:jc w:val="both"/>
        <w:rPr>
          <w:rStyle w:val="Emphasis"/>
          <w:i w:val="0"/>
          <w:iCs w:val="0"/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„kiełbasa z produktów rybołówstwa i akwakultury”: produkt wykonany z jadalnych części produktów rybołówstwa i akwakultury, bez skóry lub kości, ewentualnie z innymi zatwierdzonymi składnikami, przyprawami korzennymi i dodatkami, nadziewany do naturalnej lub sztucznej osłonki</w:t>
      </w:r>
      <w:r>
        <w:t xml:space="preserve">, </w:t>
      </w:r>
      <w:r>
        <w:rPr>
          <w:sz w:val="24"/>
          <w:rFonts w:ascii="Arial" w:hAnsi="Arial"/>
        </w:rPr>
        <w:t xml:space="preserve">i ewentualnie z późniejszym przetwarzaniem;</w:t>
      </w:r>
    </w:p>
    <w:p w14:paraId="6D312D1F" w14:textId="77777777" w:rsidR="00FD1296" w:rsidRPr="001E7C87" w:rsidRDefault="00FD1296" w:rsidP="00253F7B">
      <w:pPr>
        <w:pStyle w:val="ListParagraph"/>
        <w:numPr>
          <w:ilvl w:val="0"/>
          <w:numId w:val="5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„pasztety, kremy, pianki i musy”: produkty wytworzone z produktów rybołówstwa i akwakultury z innymi zatwierdzonymi składnikami, przyprawami korzennymi i dodatkami, które zostały poddane rozdrobnieniu w celu uzyskania typowej tekstury i oznaczone jako „pasztety, kremy, pianki lub musy”, oparte na konsystencji, niezależnie od tego, czy mają większą lub mniejszą gęstość;</w:t>
      </w:r>
    </w:p>
    <w:p w14:paraId="37223A2D" w14:textId="09DC4F12" w:rsidR="00C25511" w:rsidRPr="00A977D2" w:rsidRDefault="00FD1296" w:rsidP="00EC748B">
      <w:pPr>
        <w:pStyle w:val="ListParagraph"/>
        <w:numPr>
          <w:ilvl w:val="0"/>
          <w:numId w:val="5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„blok wykonany z kawałków produktów rybołówstwa i akwakultury”: produkt wykonany z produktów rybołówstwa i akwakultury, ze skórą lub bez niej, który jest dociskany w celu wyeliminowania wszelkich pęknięć lub szczelin śródmiąższowych, aby pozostawić gładkie, równe powierzchnie i dobrze zdefiniowane krawędzie.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Jeżeli udział procentowy mięsa mielonego z produktów rybołówstwa i akwakultury zawartego w bloku jest większy niż 10%, należy podać ten odsetek;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jeżeli jest on większy niż 90%, produkt nazywa się »blokiem wykonanym z kawałków mielonych produktów rybołówstwa i akwakultury«.”</w:t>
      </w:r>
      <w:r>
        <w:rPr>
          <w:sz w:val="24"/>
          <w:rFonts w:ascii="Arial" w:hAnsi="Arial"/>
        </w:rPr>
        <w:t xml:space="preserve"> </w:t>
      </w:r>
    </w:p>
    <w:p w14:paraId="371EAB03" w14:textId="77777777" w:rsidR="00C25511" w:rsidRDefault="00C25511" w:rsidP="00EC748B">
      <w:pPr>
        <w:jc w:val="both"/>
        <w:rPr>
          <w:rFonts w:ascii="Arial" w:hAnsi="Arial" w:cs="Arial"/>
          <w:sz w:val="24"/>
          <w:szCs w:val="24"/>
        </w:rPr>
      </w:pPr>
    </w:p>
    <w:p w14:paraId="204F7297" w14:textId="77777777" w:rsidR="00341F8F" w:rsidRPr="001E7C87" w:rsidRDefault="00341F8F" w:rsidP="00EC748B">
      <w:p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Dwa.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Artykuł 4 otrzymuje brzmienie:</w:t>
      </w:r>
    </w:p>
    <w:p w14:paraId="22EBBE55" w14:textId="77777777" w:rsidR="00341F8F" w:rsidRPr="001E7C87" w:rsidRDefault="00341F8F" w:rsidP="00EC748B">
      <w:pPr>
        <w:jc w:val="both"/>
        <w:rPr>
          <w:rFonts w:ascii="Arial" w:hAnsi="Arial" w:cs="Arial"/>
          <w:b/>
          <w:sz w:val="24"/>
          <w:szCs w:val="24"/>
        </w:rPr>
      </w:pPr>
    </w:p>
    <w:p w14:paraId="48F1948D" w14:textId="77777777" w:rsidR="00341F8F" w:rsidRPr="001E7C87" w:rsidRDefault="00341F8F" w:rsidP="007571F0">
      <w:pPr>
        <w:pStyle w:val="Default"/>
        <w:rPr>
          <w:color w:val="auto"/>
          <w:rFonts w:ascii="Arial" w:hAnsi="Arial" w:cs="Arial"/>
        </w:rPr>
      </w:pPr>
      <w:r>
        <w:rPr>
          <w:color w:val="auto"/>
          <w:rFonts w:ascii="Arial" w:hAnsi="Arial"/>
        </w:rPr>
        <w:t xml:space="preserve">„Artykuł 4.</w:t>
      </w:r>
      <w:r>
        <w:rPr>
          <w:color w:val="auto"/>
          <w:rFonts w:ascii="Arial" w:hAnsi="Arial"/>
        </w:rPr>
        <w:t xml:space="preserve"> </w:t>
      </w:r>
      <w:r>
        <w:rPr>
          <w:color w:val="auto"/>
          <w:rFonts w:ascii="Arial" w:hAnsi="Arial"/>
        </w:rPr>
        <w:t xml:space="preserve">Części produktów rybołówstwa</w:t>
      </w:r>
    </w:p>
    <w:p w14:paraId="76DCBE9C" w14:textId="77777777" w:rsidR="00341F8F" w:rsidRPr="001E7C87" w:rsidRDefault="00341F8F" w:rsidP="007571F0">
      <w:pPr>
        <w:pStyle w:val="Default"/>
        <w:rPr>
          <w:rFonts w:ascii="Arial" w:hAnsi="Arial" w:cs="Arial"/>
          <w:color w:val="auto"/>
          <w:lang w:eastAsia="es-ES_tradnl"/>
        </w:rPr>
      </w:pPr>
    </w:p>
    <w:p w14:paraId="0D895B44" w14:textId="77777777" w:rsidR="005916CF" w:rsidRPr="001E7C87" w:rsidRDefault="005916CF" w:rsidP="00253F7B">
      <w:pPr>
        <w:pStyle w:val="ListParagraph"/>
        <w:numPr>
          <w:ilvl w:val="0"/>
          <w:numId w:val="8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„Płetwy” lub „skrzydła”: płaskie, mięsiste kończyny niektórych ryb i głowonogów.</w:t>
      </w:r>
    </w:p>
    <w:p w14:paraId="697EE517" w14:textId="77777777" w:rsidR="005916CF" w:rsidRPr="001E7C87" w:rsidRDefault="005916CF" w:rsidP="00253F7B">
      <w:pPr>
        <w:pStyle w:val="ListParagraph"/>
        <w:numPr>
          <w:ilvl w:val="0"/>
          <w:numId w:val="8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„Usta” lub „nogi”: wyrostki ruchowe, szczypce lub pazury skorupiaków.</w:t>
      </w:r>
    </w:p>
    <w:p w14:paraId="442795B2" w14:textId="77777777" w:rsidR="005916CF" w:rsidRPr="001E7C87" w:rsidRDefault="005916CF" w:rsidP="00253F7B">
      <w:pPr>
        <w:pStyle w:val="ListParagraph"/>
        <w:numPr>
          <w:ilvl w:val="0"/>
          <w:numId w:val="8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„Ramiona” lub „macki”: kończyny głowonogów.</w:t>
      </w:r>
    </w:p>
    <w:p w14:paraId="3DA6AE8C" w14:textId="77777777" w:rsidR="005916CF" w:rsidRPr="001E7C87" w:rsidRDefault="005916CF" w:rsidP="00253F7B">
      <w:pPr>
        <w:pStyle w:val="ListParagraph"/>
        <w:numPr>
          <w:ilvl w:val="0"/>
          <w:numId w:val="8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„Głowa”: u ryb, przednia część ciała, uzyskana przez cięcie prostopadle do osi wzdłużnej ciała na wysokości pokryw skrzelowych.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U głowonogów jest to przednia część ciała, bez kończyn.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U niektórych skorupiaków jest to przednia część ciała, bez brzucha lub pleonu.</w:t>
      </w:r>
    </w:p>
    <w:p w14:paraId="3E830561" w14:textId="77777777" w:rsidR="005916CF" w:rsidRPr="001E7C87" w:rsidRDefault="005916CF" w:rsidP="00253F7B">
      <w:pPr>
        <w:pStyle w:val="ListParagraph"/>
        <w:numPr>
          <w:ilvl w:val="0"/>
          <w:numId w:val="8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„Mięso” lub „ciało”: jadalne miękkie części mięczaków i skorupiaków.</w:t>
      </w:r>
    </w:p>
    <w:p w14:paraId="43722FE2" w14:textId="77777777" w:rsidR="005916CF" w:rsidRPr="001E7C87" w:rsidRDefault="00253F7B" w:rsidP="00253F7B">
      <w:pPr>
        <w:pStyle w:val="ListParagraph"/>
        <w:numPr>
          <w:ilvl w:val="0"/>
          <w:numId w:val="8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„Ikra”: masy jajnikowe samic ryb, pokryte śluzem, z jajowodami i częścią macicy.</w:t>
      </w:r>
    </w:p>
    <w:p w14:paraId="0EA3BC2F" w14:textId="77777777" w:rsidR="005916CF" w:rsidRPr="001E7C87" w:rsidRDefault="005916CF" w:rsidP="00253F7B">
      <w:pPr>
        <w:pStyle w:val="ListParagraph"/>
        <w:numPr>
          <w:ilvl w:val="0"/>
          <w:numId w:val="8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„Jaja”: niezapłodnione gamety uzyskiwane od samic ryb i skorupiaków.</w:t>
      </w:r>
    </w:p>
    <w:p w14:paraId="3A770AB3" w14:textId="77777777" w:rsidR="005916CF" w:rsidRPr="001E7C87" w:rsidRDefault="005916CF" w:rsidP="00253F7B">
      <w:pPr>
        <w:pStyle w:val="ListParagraph"/>
        <w:numPr>
          <w:ilvl w:val="0"/>
          <w:numId w:val="8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„Lędźwie”: grube porcje pobrane z mięśni grzbietowych ryb, ze skórą lub ościami lub bez nich.</w:t>
      </w:r>
    </w:p>
    <w:p w14:paraId="03E254A4" w14:textId="77777777" w:rsidR="005916CF" w:rsidRPr="001E7C87" w:rsidRDefault="005916CF" w:rsidP="00253F7B">
      <w:pPr>
        <w:pStyle w:val="ListParagraph"/>
        <w:numPr>
          <w:ilvl w:val="0"/>
          <w:numId w:val="8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„Brzuszek” lub „ventresca”: część masy mięśniowej, która otacza jamę brzuszną ryb, ze skórą lub ościami lub bez nich.</w:t>
      </w:r>
    </w:p>
    <w:p w14:paraId="1CD5C25D" w14:textId="77777777" w:rsidR="005916CF" w:rsidRPr="001E7C87" w:rsidRDefault="005916CF" w:rsidP="00253F7B">
      <w:pPr>
        <w:pStyle w:val="ListParagraph"/>
        <w:numPr>
          <w:ilvl w:val="0"/>
          <w:numId w:val="8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„Kołnierz”: porcja masy mięśniowej, która otacza jamę brzuszną ryby, występująca z odpowiednią częścią grzbietu, ze skórą lub ościami lub bez nich.</w:t>
      </w:r>
    </w:p>
    <w:p w14:paraId="4F8E38C2" w14:textId="77777777" w:rsidR="005916CF" w:rsidRPr="001E7C87" w:rsidRDefault="005916CF" w:rsidP="00253F7B">
      <w:pPr>
        <w:pStyle w:val="ListParagraph"/>
        <w:numPr>
          <w:ilvl w:val="0"/>
          <w:numId w:val="8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„Steki”: porcje środkowej masy mięśniowej, znajdujące się bezpośrednio za jamą brzuszną ciała ryby, otrzymane przez cięcie równoległe do kręgosłupa, ze skórą lub ościami lub bez nich.</w:t>
      </w:r>
    </w:p>
    <w:p w14:paraId="1E24558D" w14:textId="77777777" w:rsidR="005916CF" w:rsidRPr="001E7C87" w:rsidRDefault="005916CF" w:rsidP="00253F7B">
      <w:pPr>
        <w:pStyle w:val="ListParagraph"/>
        <w:numPr>
          <w:ilvl w:val="0"/>
          <w:numId w:val="8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„Ogony”: u ryb, część ogonowa ciała bezpośrednio za jamą brzuszną, uzyskana przez cięcie prostopadłe do osi wzdłużnej ciała i zazwyczaj występująca z odpowiednim odcinkiem kręgosłupa, ze skórą lub kośćmi lub bez nich.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U skorupiaków odnosi się to do części ogonowej ciała, odpowiadającej brzuchowi lub pleonowi, ewentualnie pokrytej łuską.</w:t>
      </w:r>
    </w:p>
    <w:p w14:paraId="72F2CB5A" w14:textId="77777777" w:rsidR="005916CF" w:rsidRPr="001E7C87" w:rsidRDefault="00253F7B" w:rsidP="00253F7B">
      <w:pPr>
        <w:pStyle w:val="ListParagraph"/>
        <w:numPr>
          <w:ilvl w:val="0"/>
          <w:numId w:val="8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„Policzki”: porcje masy mięśniowej między dwiema gałęziami żuchwy ryb, ze skórą lub kośćmi lub bez nich.</w:t>
      </w:r>
    </w:p>
    <w:p w14:paraId="67702052" w14:textId="77777777" w:rsidR="005916CF" w:rsidRPr="001E7C87" w:rsidRDefault="00253F7B" w:rsidP="00253F7B">
      <w:pPr>
        <w:pStyle w:val="ListParagraph"/>
        <w:numPr>
          <w:ilvl w:val="0"/>
          <w:numId w:val="8"/>
        </w:num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„Rurki” lub „osłonki”: płaszcze głowonogów, bez wnętrzności, ze skórą i płetwami lub bez nich, ale zachowujące charakterystyczny kształt anatomiczny.</w:t>
      </w:r>
    </w:p>
    <w:p w14:paraId="614F365D" w14:textId="77777777" w:rsidR="004D0C59" w:rsidRPr="001E7C87" w:rsidRDefault="004D0C59" w:rsidP="00EC748B">
      <w:pPr>
        <w:jc w:val="both"/>
        <w:rPr>
          <w:rFonts w:ascii="Arial" w:hAnsi="Arial" w:cs="Arial"/>
          <w:b/>
          <w:sz w:val="24"/>
          <w:szCs w:val="24"/>
        </w:rPr>
      </w:pPr>
    </w:p>
    <w:p w14:paraId="36E577E2" w14:textId="77777777" w:rsidR="00341F8F" w:rsidRPr="001E7C87" w:rsidRDefault="00341F8F" w:rsidP="00EC748B">
      <w:pPr>
        <w:jc w:val="both"/>
        <w:rPr>
          <w:i/>
          <w:sz w:val="24"/>
          <w:szCs w:val="24"/>
          <w:rFonts w:ascii="Arial" w:hAnsi="Arial" w:cs="Arial"/>
        </w:rPr>
      </w:pPr>
      <w:r>
        <w:rPr>
          <w:sz w:val="24"/>
          <w:b/>
          <w:rFonts w:ascii="Arial" w:hAnsi="Arial"/>
        </w:rPr>
        <w:t xml:space="preserve">Drugi przepis końcowy.</w:t>
      </w:r>
      <w:r>
        <w:rPr>
          <w:sz w:val="24"/>
          <w:b/>
          <w:rFonts w:ascii="Arial" w:hAnsi="Arial"/>
        </w:rPr>
        <w:t xml:space="preserve"> </w:t>
      </w:r>
      <w:r>
        <w:rPr>
          <w:sz w:val="24"/>
          <w:b/>
          <w:i/>
          <w:rFonts w:ascii="Arial" w:hAnsi="Arial"/>
        </w:rPr>
        <w:t xml:space="preserve">Powierzenie uprawnień</w:t>
      </w:r>
      <w:r>
        <w:rPr>
          <w:sz w:val="24"/>
          <w:i/>
          <w:rFonts w:ascii="Arial" w:hAnsi="Arial"/>
        </w:rPr>
        <w:t xml:space="preserve"> </w:t>
      </w:r>
    </w:p>
    <w:p w14:paraId="1C34FABC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3783CBC6" w14:textId="77777777" w:rsidR="00341F8F" w:rsidRPr="001E7C87" w:rsidRDefault="00341F8F" w:rsidP="00EC748B">
      <w:p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Ten dekret królewski jest rozporządzeniem podstawowym przyjętym zgodnie z art. 149 ust. 1 pkt 13 Konstytucji, przyznającym państwu wyłączne uprawnienia w zakresie podstawowych zasad i koordynacji ogólnego planowania gospodarczego.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Podobnie jego przyjęcie jest zgodne z wyłącznymi kompetencjami państwa w dziedzinie handlu zagranicznego w odniesieniu do tego rodzaju stosunków zgodnie z art. 149 ust. 1 pkt 10).</w:t>
      </w:r>
      <w:r>
        <w:rPr>
          <w:sz w:val="24"/>
          <w:rFonts w:ascii="Arial" w:hAnsi="Arial"/>
        </w:rPr>
        <w:t xml:space="preserve"> </w:t>
      </w:r>
    </w:p>
    <w:p w14:paraId="73632614" w14:textId="77777777" w:rsidR="002E5171" w:rsidRDefault="002E5171" w:rsidP="00EC748B">
      <w:pPr>
        <w:jc w:val="both"/>
        <w:rPr>
          <w:rFonts w:ascii="Arial" w:hAnsi="Arial" w:cs="Arial"/>
          <w:b/>
          <w:sz w:val="24"/>
          <w:szCs w:val="24"/>
        </w:rPr>
      </w:pPr>
    </w:p>
    <w:p w14:paraId="20A5D766" w14:textId="77777777" w:rsidR="00341F8F" w:rsidRPr="001E7C87" w:rsidRDefault="00341F8F" w:rsidP="00EC748B">
      <w:pPr>
        <w:jc w:val="both"/>
        <w:rPr>
          <w:i/>
          <w:sz w:val="24"/>
          <w:szCs w:val="24"/>
          <w:rFonts w:ascii="Arial" w:hAnsi="Arial" w:cs="Arial"/>
        </w:rPr>
      </w:pPr>
      <w:r>
        <w:rPr>
          <w:sz w:val="24"/>
          <w:b/>
          <w:rFonts w:ascii="Arial" w:hAnsi="Arial"/>
        </w:rPr>
        <w:t xml:space="preserve">Trzeci przepis końcowy.</w:t>
      </w:r>
      <w:r>
        <w:rPr>
          <w:sz w:val="24"/>
          <w:b/>
          <w:rFonts w:ascii="Arial" w:hAnsi="Arial"/>
        </w:rPr>
        <w:t xml:space="preserve"> </w:t>
      </w:r>
      <w:r>
        <w:rPr>
          <w:sz w:val="24"/>
          <w:i/>
          <w:rFonts w:ascii="Arial" w:hAnsi="Arial"/>
        </w:rPr>
        <w:t xml:space="preserve">Organ wdrażający</w:t>
      </w:r>
    </w:p>
    <w:p w14:paraId="15451AD5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17230864" w14:textId="77777777" w:rsidR="00341F8F" w:rsidRPr="001E7C87" w:rsidRDefault="00341F8F" w:rsidP="00EC748B">
      <w:p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W ramach swoich uprawnień Ministerstwo Rolnictwa, Rybołówstwa i Żywności może przyjąć środki niezbędne do wdrożenia i egzekwowania przepisów niniejszego dekretu królewskiego oraz uaktualnić treść załącznika.</w:t>
      </w:r>
      <w:r>
        <w:rPr>
          <w:sz w:val="24"/>
          <w:rFonts w:ascii="Arial" w:hAnsi="Arial"/>
        </w:rPr>
        <w:t xml:space="preserve"> </w:t>
      </w:r>
    </w:p>
    <w:p w14:paraId="3605A1D8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111EBA2E" w14:textId="77777777" w:rsidR="00341F8F" w:rsidRPr="001E7C87" w:rsidRDefault="00341F8F" w:rsidP="00EC748B">
      <w:pPr>
        <w:jc w:val="both"/>
        <w:rPr>
          <w:i/>
          <w:sz w:val="24"/>
          <w:szCs w:val="24"/>
          <w:rFonts w:ascii="Arial" w:hAnsi="Arial" w:cs="Arial"/>
        </w:rPr>
      </w:pPr>
      <w:r>
        <w:rPr>
          <w:sz w:val="24"/>
          <w:b/>
          <w:rFonts w:ascii="Arial" w:hAnsi="Arial"/>
        </w:rPr>
        <w:t xml:space="preserve">Czwarty przepis końcowy.</w:t>
      </w:r>
      <w:r>
        <w:rPr>
          <w:sz w:val="24"/>
          <w:b/>
          <w:rFonts w:ascii="Arial" w:hAnsi="Arial"/>
        </w:rPr>
        <w:t xml:space="preserve"> </w:t>
      </w:r>
      <w:r>
        <w:rPr>
          <w:sz w:val="24"/>
          <w:i/>
          <w:rFonts w:ascii="Arial" w:hAnsi="Arial"/>
        </w:rPr>
        <w:t xml:space="preserve">Wejście w życie</w:t>
      </w:r>
    </w:p>
    <w:p w14:paraId="62D940F7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439E1DCB" w14:textId="7B57854F" w:rsidR="00341F8F" w:rsidRPr="001E7C87" w:rsidRDefault="00341F8F" w:rsidP="00EC748B">
      <w:pPr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Niniejszy dekret królewski wejdzie w życie z dniem xx xxxxx 2022 r.</w:t>
      </w:r>
    </w:p>
    <w:p w14:paraId="23E9DB53" w14:textId="77777777" w:rsidR="00341F8F" w:rsidRPr="001E7C87" w:rsidRDefault="00341F8F" w:rsidP="00EC748B">
      <w:pPr>
        <w:jc w:val="both"/>
        <w:rPr>
          <w:rFonts w:ascii="Arial" w:hAnsi="Arial" w:cs="Arial"/>
          <w:sz w:val="24"/>
          <w:szCs w:val="24"/>
        </w:rPr>
      </w:pPr>
    </w:p>
    <w:p w14:paraId="5D8FCC2D" w14:textId="77777777" w:rsidR="00341F8F" w:rsidRPr="001E7C87" w:rsidRDefault="00341F8F" w:rsidP="00EC748B">
      <w:pPr>
        <w:jc w:val="center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DO PRZEDŁOŻENIA RADZIE MINISTRÓW</w:t>
      </w:r>
    </w:p>
    <w:p w14:paraId="7098D00F" w14:textId="77777777" w:rsidR="00341F8F" w:rsidRPr="001E7C87" w:rsidRDefault="00070E79" w:rsidP="00EC748B">
      <w:pPr>
        <w:jc w:val="center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Madryt, xx xxxx xxxx</w:t>
      </w:r>
    </w:p>
    <w:p w14:paraId="3172B700" w14:textId="77777777" w:rsidR="00341F8F" w:rsidRPr="001E7C87" w:rsidRDefault="00341F8F" w:rsidP="00EC748B">
      <w:pPr>
        <w:jc w:val="center"/>
        <w:rPr>
          <w:rFonts w:ascii="Arial" w:hAnsi="Arial" w:cs="Arial"/>
          <w:sz w:val="24"/>
          <w:szCs w:val="24"/>
        </w:rPr>
      </w:pPr>
    </w:p>
    <w:p w14:paraId="18E3560A" w14:textId="77777777" w:rsidR="00341F8F" w:rsidRPr="001E7C87" w:rsidRDefault="00341F8F" w:rsidP="00EC748B">
      <w:pPr>
        <w:jc w:val="center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MINISTER ROLNICTWA, RYBOŁÓWSTWA I ŻYWNOŚCI</w:t>
      </w:r>
    </w:p>
    <w:p w14:paraId="64688BB5" w14:textId="77777777" w:rsidR="00341F8F" w:rsidRPr="001E7C87" w:rsidRDefault="00341F8F" w:rsidP="00EC748B">
      <w:pPr>
        <w:jc w:val="center"/>
        <w:rPr>
          <w:rFonts w:ascii="Arial" w:hAnsi="Arial" w:cs="Arial"/>
          <w:sz w:val="24"/>
          <w:szCs w:val="24"/>
        </w:rPr>
      </w:pPr>
    </w:p>
    <w:p w14:paraId="19C482F0" w14:textId="77777777" w:rsidR="00341F8F" w:rsidRPr="001E7C87" w:rsidRDefault="00341F8F" w:rsidP="00EC748B">
      <w:pPr>
        <w:jc w:val="center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Luis Planas Puchades</w:t>
      </w:r>
    </w:p>
    <w:p w14:paraId="22DFDF0C" w14:textId="77777777" w:rsidR="00341F8F" w:rsidRPr="001E7C87" w:rsidRDefault="00341F8F" w:rsidP="00EC748B">
      <w:pPr>
        <w:jc w:val="center"/>
        <w:rPr>
          <w:rFonts w:ascii="Arial" w:hAnsi="Arial" w:cs="Arial"/>
          <w:sz w:val="24"/>
          <w:szCs w:val="24"/>
        </w:rPr>
      </w:pPr>
    </w:p>
    <w:p w14:paraId="017C8922" w14:textId="77777777" w:rsidR="00341F8F" w:rsidRPr="001E7C87" w:rsidRDefault="00341F8F" w:rsidP="00EC748B">
      <w:pPr>
        <w:jc w:val="center"/>
        <w:rPr>
          <w:rFonts w:ascii="Arial" w:hAnsi="Arial" w:cs="Arial"/>
          <w:sz w:val="24"/>
          <w:szCs w:val="24"/>
        </w:rPr>
      </w:pPr>
    </w:p>
    <w:p w14:paraId="21A5928E" w14:textId="77777777" w:rsidR="00341F8F" w:rsidRPr="001E7C87" w:rsidRDefault="00341F8F" w:rsidP="00EC748B">
      <w:pPr>
        <w:jc w:val="center"/>
        <w:rPr>
          <w:rFonts w:ascii="Arial" w:hAnsi="Arial" w:cs="Arial"/>
          <w:sz w:val="24"/>
          <w:szCs w:val="24"/>
        </w:rPr>
      </w:pPr>
    </w:p>
    <w:p w14:paraId="67F403B6" w14:textId="77777777" w:rsidR="00341F8F" w:rsidRPr="001E7C87" w:rsidRDefault="00341F8F" w:rsidP="00EC748B">
      <w:pPr>
        <w:jc w:val="center"/>
        <w:rPr>
          <w:rFonts w:ascii="Arial" w:hAnsi="Arial" w:cs="Arial"/>
          <w:sz w:val="24"/>
          <w:szCs w:val="24"/>
        </w:rPr>
      </w:pPr>
    </w:p>
    <w:p w14:paraId="173F5651" w14:textId="77777777" w:rsidR="00341F8F" w:rsidRPr="001E7C87" w:rsidRDefault="00341F8F" w:rsidP="00EC748B">
      <w:pPr>
        <w:jc w:val="center"/>
        <w:rPr>
          <w:rFonts w:ascii="Arial" w:hAnsi="Arial" w:cs="Arial"/>
          <w:sz w:val="24"/>
          <w:szCs w:val="24"/>
        </w:rPr>
      </w:pPr>
    </w:p>
    <w:p w14:paraId="73DF2083" w14:textId="77777777" w:rsidR="00341F8F" w:rsidRPr="001E7C87" w:rsidRDefault="00341F8F" w:rsidP="00EC748B">
      <w:pPr>
        <w:jc w:val="center"/>
        <w:rPr>
          <w:rFonts w:ascii="Arial" w:hAnsi="Arial" w:cs="Arial"/>
          <w:sz w:val="24"/>
          <w:szCs w:val="24"/>
        </w:rPr>
      </w:pPr>
    </w:p>
    <w:p w14:paraId="51EF3F8B" w14:textId="77777777" w:rsidR="00341F8F" w:rsidRPr="001E7C87" w:rsidRDefault="00341F8F" w:rsidP="00EC748B">
      <w:pPr>
        <w:jc w:val="center"/>
        <w:rPr>
          <w:rFonts w:ascii="Arial" w:hAnsi="Arial" w:cs="Arial"/>
          <w:sz w:val="24"/>
          <w:szCs w:val="24"/>
        </w:rPr>
      </w:pPr>
    </w:p>
    <w:p w14:paraId="62659E5F" w14:textId="77777777" w:rsidR="00341F8F" w:rsidRPr="001E7C87" w:rsidRDefault="00341F8F" w:rsidP="00EC748B">
      <w:pPr>
        <w:jc w:val="center"/>
        <w:rPr>
          <w:rFonts w:ascii="Arial" w:hAnsi="Arial" w:cs="Arial"/>
          <w:sz w:val="24"/>
          <w:szCs w:val="24"/>
        </w:rPr>
      </w:pPr>
    </w:p>
    <w:p w14:paraId="6F798B69" w14:textId="77777777" w:rsidR="00341F8F" w:rsidRPr="001E7C87" w:rsidRDefault="00341F8F" w:rsidP="00EC748B">
      <w:pPr>
        <w:jc w:val="center"/>
        <w:rPr>
          <w:rFonts w:ascii="Arial" w:hAnsi="Arial" w:cs="Arial"/>
          <w:sz w:val="24"/>
          <w:szCs w:val="24"/>
        </w:rPr>
      </w:pPr>
    </w:p>
    <w:p w14:paraId="24E62060" w14:textId="77777777" w:rsidR="00341F8F" w:rsidRPr="001E7C87" w:rsidRDefault="00341F8F" w:rsidP="00EC748B">
      <w:pPr>
        <w:jc w:val="center"/>
        <w:rPr>
          <w:rFonts w:ascii="Arial" w:hAnsi="Arial" w:cs="Arial"/>
          <w:sz w:val="24"/>
          <w:szCs w:val="24"/>
        </w:rPr>
      </w:pPr>
    </w:p>
    <w:p w14:paraId="2B74C5A3" w14:textId="77777777" w:rsidR="00341F8F" w:rsidRPr="001E7C87" w:rsidRDefault="00341F8F" w:rsidP="00EC748B">
      <w:pPr>
        <w:jc w:val="center"/>
        <w:rPr>
          <w:rFonts w:ascii="Arial" w:hAnsi="Arial" w:cs="Arial"/>
          <w:sz w:val="24"/>
          <w:szCs w:val="24"/>
        </w:rPr>
      </w:pPr>
    </w:p>
    <w:p w14:paraId="39CED1FC" w14:textId="77777777" w:rsidR="00341F8F" w:rsidRPr="001E7C87" w:rsidRDefault="00341F8F" w:rsidP="00EC748B">
      <w:pPr>
        <w:jc w:val="center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ZAŁĄCZNIK</w:t>
      </w:r>
      <w:r>
        <w:rPr>
          <w:sz w:val="24"/>
          <w:rFonts w:ascii="Arial" w:hAnsi="Arial"/>
        </w:rPr>
        <w:t xml:space="preserve"> </w:t>
      </w:r>
    </w:p>
    <w:p w14:paraId="4E5A8D3C" w14:textId="77777777" w:rsidR="00341F8F" w:rsidRPr="001E7C87" w:rsidRDefault="00341F8F" w:rsidP="00EC748B">
      <w:pPr>
        <w:jc w:val="center"/>
        <w:rPr>
          <w:rFonts w:ascii="Arial" w:hAnsi="Arial" w:cs="Arial"/>
          <w:sz w:val="24"/>
          <w:szCs w:val="24"/>
        </w:rPr>
      </w:pPr>
    </w:p>
    <w:p w14:paraId="02E904BA" w14:textId="77777777" w:rsidR="00341F8F" w:rsidRPr="001E7C87" w:rsidRDefault="00341F8F" w:rsidP="00EC748B">
      <w:pPr>
        <w:jc w:val="center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WSTAWIĆ WYKAZ.</w:t>
      </w:r>
      <w:r>
        <w:rPr>
          <w:sz w:val="24"/>
          <w:rFonts w:ascii="Arial" w:hAnsi="Arial"/>
        </w:rPr>
        <w:t xml:space="preserve"> </w:t>
      </w:r>
    </w:p>
    <w:p w14:paraId="40670373" w14:textId="77777777" w:rsidR="00341F8F" w:rsidRPr="001E7C87" w:rsidRDefault="00341F8F" w:rsidP="00EC748B">
      <w:pPr>
        <w:jc w:val="center"/>
        <w:rPr>
          <w:rFonts w:ascii="Arial" w:hAnsi="Arial" w:cs="Arial"/>
          <w:sz w:val="24"/>
          <w:szCs w:val="24"/>
        </w:rPr>
      </w:pPr>
    </w:p>
    <w:p w14:paraId="4AFC2F3E" w14:textId="77777777" w:rsidR="00341F8F" w:rsidRPr="001E7C87" w:rsidRDefault="00341F8F" w:rsidP="00EC748B">
      <w:pPr>
        <w:jc w:val="center"/>
        <w:rPr>
          <w:rFonts w:ascii="Arial" w:hAnsi="Arial" w:cs="Arial"/>
          <w:sz w:val="24"/>
          <w:szCs w:val="24"/>
        </w:rPr>
      </w:pPr>
    </w:p>
    <w:p w14:paraId="47AD2D8C" w14:textId="77777777" w:rsidR="00341F8F" w:rsidRPr="001E7C87" w:rsidRDefault="00341F8F" w:rsidP="00EC748B">
      <w:pPr>
        <w:jc w:val="center"/>
        <w:rPr>
          <w:rFonts w:ascii="Arial" w:hAnsi="Arial" w:cs="Arial"/>
          <w:sz w:val="24"/>
          <w:szCs w:val="24"/>
        </w:rPr>
      </w:pPr>
    </w:p>
    <w:sectPr w:rsidR="00341F8F" w:rsidRPr="001E7C87" w:rsidSect="00F674AE">
      <w:headerReference w:type="default" r:id="rId9"/>
      <w:footerReference w:type="even" r:id="rId10"/>
      <w:footerReference w:type="default" r:id="rId11"/>
      <w:pgSz w:w="11906" w:h="16838"/>
      <w:pgMar w:top="2693" w:right="992" w:bottom="1701" w:left="1985" w:header="1134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4373C" w14:textId="77777777" w:rsidR="00994BDE" w:rsidRDefault="00994BDE">
      <w:r>
        <w:separator/>
      </w:r>
    </w:p>
  </w:endnote>
  <w:endnote w:type="continuationSeparator" w:id="0">
    <w:p w14:paraId="5BF8EA4F" w14:textId="77777777" w:rsidR="00994BDE" w:rsidRDefault="00994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35345" w14:textId="77777777" w:rsidR="00341F8F" w:rsidRDefault="00816E10" w:rsidP="00B33D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41F8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EFE5789" w14:textId="77777777" w:rsidR="00341F8F" w:rsidRDefault="00341F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5C893" w14:textId="77777777" w:rsidR="00341F8F" w:rsidRDefault="00816E10">
    <w:pPr>
      <w:pStyle w:val="Footer"/>
      <w:jc w:val="right"/>
    </w:pPr>
    <w:r>
      <w:fldChar w:fldCharType="begin"/>
    </w:r>
    <w:r w:rsidR="00341F8F">
      <w:instrText>PAGE   \* MERGEFORMAT</w:instrText>
    </w:r>
    <w:r>
      <w:fldChar w:fldCharType="separate"/>
    </w:r>
    <w:r w:rsidR="004808F6">
      <w:t>8</w:t>
    </w:r>
    <w:r>
      <w:fldChar w:fldCharType="end"/>
    </w:r>
  </w:p>
  <w:p w14:paraId="198CA21F" w14:textId="77777777" w:rsidR="00341F8F" w:rsidRDefault="00341F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1FBD1" w14:textId="77777777" w:rsidR="00994BDE" w:rsidRDefault="00994BDE">
      <w:r>
        <w:separator/>
      </w:r>
    </w:p>
  </w:footnote>
  <w:footnote w:type="continuationSeparator" w:id="0">
    <w:p w14:paraId="371BE7FE" w14:textId="77777777" w:rsidR="00994BDE" w:rsidRDefault="00994B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7C505" w14:textId="77777777" w:rsidR="00341F8F" w:rsidRDefault="00142C13">
    <w:pPr>
      <w:pStyle w:val="Header"/>
      <w:tabs>
        <w:tab w:val="clear" w:pos="8504"/>
      </w:tabs>
    </w:pPr>
    <w:r>
      <mc:AlternateContent>
        <mc:Choice Requires="wps">
          <w:drawing>
            <wp:anchor distT="0" distB="0" distL="114300" distR="114300" simplePos="0" relativeHeight="251657216" behindDoc="0" locked="0" layoutInCell="0" allowOverlap="1" wp14:anchorId="6E365D21" wp14:editId="37A5C2BD">
              <wp:simplePos x="0" y="0"/>
              <wp:positionH relativeFrom="column">
                <wp:posOffset>3624792</wp:posOffset>
              </wp:positionH>
              <wp:positionV relativeFrom="paragraph">
                <wp:posOffset>-262890</wp:posOffset>
              </wp:positionV>
              <wp:extent cx="2125133" cy="457200"/>
              <wp:effectExtent l="0" t="0" r="27940" b="19050"/>
              <wp:wrapNone/>
              <wp:docPr id="2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25133" cy="4572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C0C0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1EF98CC" w14:textId="77777777" w:rsidR="00341F8F" w:rsidRPr="0050239C" w:rsidRDefault="00341F8F">
                          <w:pPr>
                            <w:spacing w:line="216" w:lineRule="auto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  <w:p w14:paraId="3FC5BA81" w14:textId="77777777" w:rsidR="00341F8F" w:rsidRPr="0050239C" w:rsidRDefault="00341F8F" w:rsidP="0050239C">
                          <w:pPr>
                            <w:spacing w:line="216" w:lineRule="auto"/>
                            <w:ind w:right="-186"/>
                            <w:rPr>
                              <w:sz w:val="14"/>
                              <w:rFonts w:ascii="Arial" w:hAnsi="Arial"/>
                            </w:rPr>
                          </w:pPr>
                          <w:r>
                            <w:rPr>
                              <w:sz w:val="14"/>
                              <w:rFonts w:ascii="Arial" w:hAnsi="Arial"/>
                            </w:rPr>
                            <w:t xml:space="preserve">SEKRETARIAT GENERALNY DS. RYBOŁÓWSTWA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365D21" id="Rectangle 4" o:spid="_x0000_s1026" style="position:absolute;margin-left:285.4pt;margin-top:-20.7pt;width:167.3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" o:allowincell="f" filled="f" fillcolor="silver">
              <v:textbox>
                <w:txbxContent>
                  <w:p w14:paraId="61EF98CC" w14:textId="77777777" w:rsidR="00341F8F" w:rsidRPr="0050239C" w:rsidRDefault="00341F8F">
                    <w:pPr>
                      <w:spacing w:line="216" w:lineRule="auto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  <w:p w14:paraId="3FC5BA81" w14:textId="77777777" w:rsidR="00341F8F" w:rsidRPr="0050239C" w:rsidRDefault="00341F8F" w:rsidP="0050239C">
                    <w:pPr>
                      <w:spacing w:line="216" w:lineRule="auto"/>
                      <w:ind w:right="-186"/>
                      <w:rPr>
                        <w:sz w:val="14"/>
                        <w:rFonts w:ascii="Arial" w:hAnsi="Arial"/>
                      </w:rPr>
                    </w:pPr>
                    <w:r>
                      <w:rPr>
                        <w:sz w:val="14"/>
                        <w:rFonts w:ascii="Arial" w:hAnsi="Arial"/>
                      </w:rPr>
                      <w:t xml:space="preserve">SEKRETARIAT GENERALNY DS. RYBOŁÓWSTWA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8240" behindDoc="0" locked="0" layoutInCell="1" allowOverlap="1" wp14:anchorId="2403506B" wp14:editId="2E30E274">
              <wp:simplePos x="0" y="0"/>
              <wp:positionH relativeFrom="column">
                <wp:posOffset>16510</wp:posOffset>
              </wp:positionH>
              <wp:positionV relativeFrom="paragraph">
                <wp:posOffset>11430</wp:posOffset>
              </wp:positionV>
              <wp:extent cx="2179955" cy="548640"/>
              <wp:effectExtent l="0" t="0" r="0" b="3810"/>
              <wp:wrapSquare wrapText="bothSides"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9955" cy="54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A32727" w14:textId="017B4CF5" w:rsidR="00341F8F" w:rsidRDefault="00341F8F" w:rsidP="00501482">
                          <w:pPr>
                            <w:ind w:right="-380"/>
                            <w:rPr>
                              <w:sz w:val="18"/>
                              <w:rFonts w:ascii="Arial" w:hAnsi="Arial"/>
                            </w:rPr>
                          </w:pPr>
                          <w:r>
                            <w:rPr>
                              <w:sz w:val="18"/>
                              <w:rFonts w:ascii="Arial" w:hAnsi="Arial"/>
                            </w:rPr>
                            <w:t xml:space="preserve">MINISTERSTWO</w:t>
                          </w:r>
                          <w:r>
                            <w:rPr>
                              <w:sz w:val="18"/>
                              <w:rFonts w:ascii="Arial" w:hAnsi="Arial"/>
                            </w:rPr>
                            <w:br/>
                          </w:r>
                          <w:r>
                            <w:rPr>
                              <w:sz w:val="18"/>
                              <w:rFonts w:ascii="Arial" w:hAnsi="Arial"/>
                            </w:rPr>
                            <w:t xml:space="preserve">ROLNICTWA, RYBOŁÓWSTWA</w:t>
                          </w:r>
                          <w:r>
                            <w:rPr>
                              <w:sz w:val="18"/>
                              <w:rFonts w:ascii="Arial" w:hAnsi="Arial"/>
                            </w:rPr>
                            <w:br/>
                          </w:r>
                          <w:r>
                            <w:rPr>
                              <w:sz w:val="18"/>
                              <w:rFonts w:ascii="Arial" w:hAnsi="Arial"/>
                            </w:rPr>
                            <w:t xml:space="preserve">I ŻYWNOŚCI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03506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.3pt;margin-top:.9pt;width:171.65pt;height:43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" stroked="f">
              <v:textbox>
                <w:txbxContent>
                  <w:p w14:paraId="40A32727" w14:textId="017B4CF5" w:rsidR="00341F8F" w:rsidRDefault="00341F8F" w:rsidP="00501482">
                    <w:pPr>
                      <w:ind w:right="-380"/>
                      <w:rPr>
                        <w:sz w:val="18"/>
                        <w:rFonts w:ascii="Arial" w:hAnsi="Arial"/>
                      </w:rPr>
                    </w:pPr>
                    <w:r>
                      <w:rPr>
                        <w:sz w:val="18"/>
                        <w:rFonts w:ascii="Arial" w:hAnsi="Arial"/>
                      </w:rPr>
                      <w:t xml:space="preserve">MINISTERSTWO</w:t>
                    </w:r>
                    <w:r>
                      <w:rPr>
                        <w:sz w:val="18"/>
                        <w:rFonts w:ascii="Arial" w:hAnsi="Arial"/>
                      </w:rPr>
                      <w:br/>
                    </w:r>
                    <w:r>
                      <w:rPr>
                        <w:sz w:val="18"/>
                        <w:rFonts w:ascii="Arial" w:hAnsi="Arial"/>
                      </w:rPr>
                      <w:t xml:space="preserve">ROLNICTWA, RYBOŁÓWSTWA</w:t>
                    </w:r>
                    <w:r>
                      <w:rPr>
                        <w:sz w:val="18"/>
                        <w:rFonts w:ascii="Arial" w:hAnsi="Arial"/>
                      </w:rPr>
                      <w:br/>
                    </w:r>
                    <w:r>
                      <w:rPr>
                        <w:sz w:val="18"/>
                        <w:rFonts w:ascii="Arial" w:hAnsi="Arial"/>
                      </w:rPr>
                      <w:t xml:space="preserve">I ŻYWNOŚCI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drawing>
        <wp:anchor distT="0" distB="0" distL="114300" distR="114300" simplePos="0" relativeHeight="251659264" behindDoc="0" locked="0" layoutInCell="1" allowOverlap="1" wp14:anchorId="246C3DDB" wp14:editId="678DB97F">
          <wp:simplePos x="0" y="0"/>
          <wp:positionH relativeFrom="column">
            <wp:posOffset>-805815</wp:posOffset>
          </wp:positionH>
          <wp:positionV relativeFrom="paragraph">
            <wp:posOffset>-262890</wp:posOffset>
          </wp:positionV>
          <wp:extent cx="829310" cy="838200"/>
          <wp:effectExtent l="0" t="0" r="0" b="0"/>
          <wp:wrapSquare wrapText="bothSides"/>
          <wp:docPr id="1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114300" distR="114300" simplePos="0" relativeHeight="251656192" behindDoc="0" locked="0" layoutInCell="1" allowOverlap="1" wp14:anchorId="43122D28" wp14:editId="2B5B2037">
              <wp:simplePos x="0" y="0"/>
              <wp:positionH relativeFrom="column">
                <wp:posOffset>4277360</wp:posOffset>
              </wp:positionH>
              <wp:positionV relativeFrom="paragraph">
                <wp:posOffset>196850</wp:posOffset>
              </wp:positionV>
              <wp:extent cx="1828800" cy="6858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FA6979" w14:textId="77777777" w:rsidR="00341F8F" w:rsidRPr="00FE6B31" w:rsidRDefault="00341F8F">
                          <w:pPr>
                            <w:spacing w:line="216" w:lineRule="auto"/>
                            <w:rPr>
                              <w:rFonts w:ascii="Arial" w:hAnsi="Arial"/>
                              <w:sz w:val="13"/>
                              <w:szCs w:val="13"/>
                            </w:rPr>
                          </w:pPr>
                        </w:p>
                        <w:p w14:paraId="38ACEF32" w14:textId="77777777" w:rsidR="00341F8F" w:rsidRDefault="00341F8F">
                          <w:pPr>
                            <w:spacing w:line="216" w:lineRule="auto"/>
                            <w:rPr>
                              <w:rFonts w:ascii="Arial" w:hAnsi="Arial"/>
                              <w:sz w:val="14"/>
                            </w:rPr>
                          </w:pPr>
                        </w:p>
                        <w:p w14:paraId="5D611965" w14:textId="77777777" w:rsidR="00341F8F" w:rsidRDefault="00341F8F">
                          <w:pPr>
                            <w:spacing w:line="216" w:lineRule="auto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122D28" id="Text Box 3" o:spid="_x0000_s1028" type="#_x0000_t202" style="position:absolute;margin-left:336.8pt;margin-top:15.5pt;width:2in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" stroked="f">
              <v:textbox>
                <w:txbxContent>
                  <w:p w14:paraId="03FA6979" w14:textId="77777777" w:rsidR="00341F8F" w:rsidRPr="00FE6B31" w:rsidRDefault="00341F8F">
                    <w:pPr>
                      <w:spacing w:line="216" w:lineRule="auto"/>
                      <w:rPr>
                        <w:rFonts w:ascii="Arial" w:hAnsi="Arial"/>
                        <w:sz w:val="13"/>
                        <w:szCs w:val="13"/>
                      </w:rPr>
                    </w:pPr>
                  </w:p>
                  <w:p w14:paraId="38ACEF32" w14:textId="77777777" w:rsidR="00341F8F" w:rsidRDefault="00341F8F">
                    <w:pPr>
                      <w:spacing w:line="216" w:lineRule="auto"/>
                      <w:rPr>
                        <w:rFonts w:ascii="Arial" w:hAnsi="Arial"/>
                        <w:sz w:val="14"/>
                      </w:rPr>
                    </w:pPr>
                  </w:p>
                  <w:p w14:paraId="5D611965" w14:textId="77777777" w:rsidR="00341F8F" w:rsidRDefault="00341F8F">
                    <w:pPr>
                      <w:spacing w:line="216" w:lineRule="auto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F508E"/>
    <w:multiLevelType w:val="hybridMultilevel"/>
    <w:tmpl w:val="5B22A852"/>
    <w:lvl w:ilvl="0" w:tplc="EF10B814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1B66C65"/>
    <w:multiLevelType w:val="hybridMultilevel"/>
    <w:tmpl w:val="7D0238B6"/>
    <w:lvl w:ilvl="0" w:tplc="64C43A9C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5CE04AE"/>
    <w:multiLevelType w:val="hybridMultilevel"/>
    <w:tmpl w:val="E610B26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20A71"/>
    <w:multiLevelType w:val="hybridMultilevel"/>
    <w:tmpl w:val="B838B2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CB2868"/>
    <w:multiLevelType w:val="hybridMultilevel"/>
    <w:tmpl w:val="609237D6"/>
    <w:lvl w:ilvl="0" w:tplc="0A7202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7115B8"/>
    <w:multiLevelType w:val="hybridMultilevel"/>
    <w:tmpl w:val="86EEEF7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CF66AF3"/>
    <w:multiLevelType w:val="hybridMultilevel"/>
    <w:tmpl w:val="F8E88A98"/>
    <w:lvl w:ilvl="0" w:tplc="0C0A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7404092C"/>
    <w:multiLevelType w:val="hybridMultilevel"/>
    <w:tmpl w:val="193C78EE"/>
    <w:lvl w:ilvl="0" w:tplc="C262D54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trike w:val="0"/>
        <w:color w:val="000000" w:themeColor="text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57E2D6D"/>
    <w:multiLevelType w:val="hybridMultilevel"/>
    <w:tmpl w:val="D556D2BA"/>
    <w:lvl w:ilvl="0" w:tplc="B9269CA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000000" w:themeColor="text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73C152F"/>
    <w:multiLevelType w:val="hybridMultilevel"/>
    <w:tmpl w:val="D5E8BB8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22955495">
    <w:abstractNumId w:val="6"/>
  </w:num>
  <w:num w:numId="2" w16cid:durableId="1568103553">
    <w:abstractNumId w:val="0"/>
  </w:num>
  <w:num w:numId="3" w16cid:durableId="1194807296">
    <w:abstractNumId w:val="8"/>
  </w:num>
  <w:num w:numId="4" w16cid:durableId="1256093908">
    <w:abstractNumId w:val="2"/>
  </w:num>
  <w:num w:numId="5" w16cid:durableId="776872936">
    <w:abstractNumId w:val="7"/>
  </w:num>
  <w:num w:numId="6" w16cid:durableId="11119013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03014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44742724">
    <w:abstractNumId w:val="9"/>
  </w:num>
  <w:num w:numId="9" w16cid:durableId="560487127">
    <w:abstractNumId w:val="3"/>
  </w:num>
  <w:num w:numId="10" w16cid:durableId="34931121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SystemFonts/>
  <w:proofState w:spelling="dirty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674"/>
    <w:rsid w:val="000011A3"/>
    <w:rsid w:val="000037FA"/>
    <w:rsid w:val="0000631C"/>
    <w:rsid w:val="000069C6"/>
    <w:rsid w:val="00010CFC"/>
    <w:rsid w:val="00011E55"/>
    <w:rsid w:val="00012ADD"/>
    <w:rsid w:val="00013492"/>
    <w:rsid w:val="00014DBD"/>
    <w:rsid w:val="00015FE2"/>
    <w:rsid w:val="00016ACA"/>
    <w:rsid w:val="000172F1"/>
    <w:rsid w:val="0001774E"/>
    <w:rsid w:val="00020655"/>
    <w:rsid w:val="00021837"/>
    <w:rsid w:val="00022AB5"/>
    <w:rsid w:val="00022F2B"/>
    <w:rsid w:val="000230AB"/>
    <w:rsid w:val="00025089"/>
    <w:rsid w:val="0002550D"/>
    <w:rsid w:val="0002569E"/>
    <w:rsid w:val="00027FF6"/>
    <w:rsid w:val="00031538"/>
    <w:rsid w:val="00033C94"/>
    <w:rsid w:val="00033C96"/>
    <w:rsid w:val="000355D4"/>
    <w:rsid w:val="00035BDC"/>
    <w:rsid w:val="00035E16"/>
    <w:rsid w:val="000363D4"/>
    <w:rsid w:val="000371E2"/>
    <w:rsid w:val="000411BA"/>
    <w:rsid w:val="00042434"/>
    <w:rsid w:val="00044711"/>
    <w:rsid w:val="00045536"/>
    <w:rsid w:val="00045FD3"/>
    <w:rsid w:val="00045FF5"/>
    <w:rsid w:val="00046397"/>
    <w:rsid w:val="0004774F"/>
    <w:rsid w:val="00051083"/>
    <w:rsid w:val="000510A0"/>
    <w:rsid w:val="00051B10"/>
    <w:rsid w:val="000529DE"/>
    <w:rsid w:val="00052D86"/>
    <w:rsid w:val="00054467"/>
    <w:rsid w:val="00054DBD"/>
    <w:rsid w:val="00055B17"/>
    <w:rsid w:val="000573DD"/>
    <w:rsid w:val="00057823"/>
    <w:rsid w:val="00057FC9"/>
    <w:rsid w:val="00061283"/>
    <w:rsid w:val="0006193A"/>
    <w:rsid w:val="000620CB"/>
    <w:rsid w:val="00062833"/>
    <w:rsid w:val="00063880"/>
    <w:rsid w:val="00064FDC"/>
    <w:rsid w:val="0006534C"/>
    <w:rsid w:val="00070CD7"/>
    <w:rsid w:val="00070E79"/>
    <w:rsid w:val="00071FA5"/>
    <w:rsid w:val="000726F6"/>
    <w:rsid w:val="0007291D"/>
    <w:rsid w:val="00072BFD"/>
    <w:rsid w:val="000746EC"/>
    <w:rsid w:val="00074C25"/>
    <w:rsid w:val="00075FD0"/>
    <w:rsid w:val="000763EE"/>
    <w:rsid w:val="00076972"/>
    <w:rsid w:val="00076ACB"/>
    <w:rsid w:val="0007747D"/>
    <w:rsid w:val="00077EC9"/>
    <w:rsid w:val="000807FD"/>
    <w:rsid w:val="0008154F"/>
    <w:rsid w:val="00084D59"/>
    <w:rsid w:val="00085168"/>
    <w:rsid w:val="000854B8"/>
    <w:rsid w:val="00086269"/>
    <w:rsid w:val="000869C7"/>
    <w:rsid w:val="00087067"/>
    <w:rsid w:val="000878A4"/>
    <w:rsid w:val="00091613"/>
    <w:rsid w:val="0009218C"/>
    <w:rsid w:val="00094BC7"/>
    <w:rsid w:val="000952E0"/>
    <w:rsid w:val="00096309"/>
    <w:rsid w:val="00096B83"/>
    <w:rsid w:val="000A03DC"/>
    <w:rsid w:val="000A0567"/>
    <w:rsid w:val="000A0958"/>
    <w:rsid w:val="000A13B5"/>
    <w:rsid w:val="000A168B"/>
    <w:rsid w:val="000A2EBA"/>
    <w:rsid w:val="000A3440"/>
    <w:rsid w:val="000A35A5"/>
    <w:rsid w:val="000A3D2E"/>
    <w:rsid w:val="000A4B0B"/>
    <w:rsid w:val="000A5645"/>
    <w:rsid w:val="000A6C39"/>
    <w:rsid w:val="000A6F57"/>
    <w:rsid w:val="000A75A9"/>
    <w:rsid w:val="000A7B9B"/>
    <w:rsid w:val="000B0284"/>
    <w:rsid w:val="000B1651"/>
    <w:rsid w:val="000B273F"/>
    <w:rsid w:val="000B3433"/>
    <w:rsid w:val="000B46E7"/>
    <w:rsid w:val="000B52D6"/>
    <w:rsid w:val="000B5874"/>
    <w:rsid w:val="000B5935"/>
    <w:rsid w:val="000B6B3E"/>
    <w:rsid w:val="000B7294"/>
    <w:rsid w:val="000C14B7"/>
    <w:rsid w:val="000C189B"/>
    <w:rsid w:val="000C18D3"/>
    <w:rsid w:val="000C19FF"/>
    <w:rsid w:val="000C20D0"/>
    <w:rsid w:val="000C3930"/>
    <w:rsid w:val="000C5705"/>
    <w:rsid w:val="000C597D"/>
    <w:rsid w:val="000C5FFC"/>
    <w:rsid w:val="000D0488"/>
    <w:rsid w:val="000D0A0D"/>
    <w:rsid w:val="000D1300"/>
    <w:rsid w:val="000D1DCD"/>
    <w:rsid w:val="000D1E13"/>
    <w:rsid w:val="000D2747"/>
    <w:rsid w:val="000D3BD7"/>
    <w:rsid w:val="000D4022"/>
    <w:rsid w:val="000D4115"/>
    <w:rsid w:val="000D5CDB"/>
    <w:rsid w:val="000D6832"/>
    <w:rsid w:val="000D6E7C"/>
    <w:rsid w:val="000D787B"/>
    <w:rsid w:val="000E0894"/>
    <w:rsid w:val="000E133C"/>
    <w:rsid w:val="000E1BA4"/>
    <w:rsid w:val="000E4147"/>
    <w:rsid w:val="000E4E93"/>
    <w:rsid w:val="000E5449"/>
    <w:rsid w:val="000E5BBE"/>
    <w:rsid w:val="000E69D8"/>
    <w:rsid w:val="000E6C00"/>
    <w:rsid w:val="000F0011"/>
    <w:rsid w:val="000F059C"/>
    <w:rsid w:val="000F0733"/>
    <w:rsid w:val="000F27FE"/>
    <w:rsid w:val="000F40DB"/>
    <w:rsid w:val="000F475D"/>
    <w:rsid w:val="000F6A4D"/>
    <w:rsid w:val="000F73C9"/>
    <w:rsid w:val="000F79A1"/>
    <w:rsid w:val="001001C4"/>
    <w:rsid w:val="00100683"/>
    <w:rsid w:val="00100CD9"/>
    <w:rsid w:val="00102CC2"/>
    <w:rsid w:val="00103241"/>
    <w:rsid w:val="00103694"/>
    <w:rsid w:val="00103FF2"/>
    <w:rsid w:val="001047CF"/>
    <w:rsid w:val="00105054"/>
    <w:rsid w:val="001070B4"/>
    <w:rsid w:val="00107681"/>
    <w:rsid w:val="00107DB1"/>
    <w:rsid w:val="001133E6"/>
    <w:rsid w:val="001134F2"/>
    <w:rsid w:val="00115DEE"/>
    <w:rsid w:val="00117163"/>
    <w:rsid w:val="00117FEF"/>
    <w:rsid w:val="00120FD8"/>
    <w:rsid w:val="001211EC"/>
    <w:rsid w:val="00121AF9"/>
    <w:rsid w:val="001243FC"/>
    <w:rsid w:val="00125320"/>
    <w:rsid w:val="00125B4E"/>
    <w:rsid w:val="00126FF1"/>
    <w:rsid w:val="001274B1"/>
    <w:rsid w:val="00127875"/>
    <w:rsid w:val="00127EC0"/>
    <w:rsid w:val="00130B97"/>
    <w:rsid w:val="001311D4"/>
    <w:rsid w:val="00131894"/>
    <w:rsid w:val="00132940"/>
    <w:rsid w:val="001352BC"/>
    <w:rsid w:val="001364A3"/>
    <w:rsid w:val="00137017"/>
    <w:rsid w:val="00137B4E"/>
    <w:rsid w:val="001401E1"/>
    <w:rsid w:val="001405DD"/>
    <w:rsid w:val="00140ADF"/>
    <w:rsid w:val="00142529"/>
    <w:rsid w:val="00142C13"/>
    <w:rsid w:val="00145AA0"/>
    <w:rsid w:val="00145FE8"/>
    <w:rsid w:val="00146AF0"/>
    <w:rsid w:val="00146C24"/>
    <w:rsid w:val="00146CD2"/>
    <w:rsid w:val="00150E60"/>
    <w:rsid w:val="00151509"/>
    <w:rsid w:val="00152968"/>
    <w:rsid w:val="00152C57"/>
    <w:rsid w:val="00152EE6"/>
    <w:rsid w:val="0015317E"/>
    <w:rsid w:val="00153FA9"/>
    <w:rsid w:val="00154CE2"/>
    <w:rsid w:val="00155AFA"/>
    <w:rsid w:val="00156467"/>
    <w:rsid w:val="00156C46"/>
    <w:rsid w:val="00157D11"/>
    <w:rsid w:val="0016173D"/>
    <w:rsid w:val="00161DD0"/>
    <w:rsid w:val="00161F41"/>
    <w:rsid w:val="0016217B"/>
    <w:rsid w:val="00162B82"/>
    <w:rsid w:val="001657C7"/>
    <w:rsid w:val="00165A27"/>
    <w:rsid w:val="001678CB"/>
    <w:rsid w:val="00167AA8"/>
    <w:rsid w:val="0017137B"/>
    <w:rsid w:val="00172736"/>
    <w:rsid w:val="001740E1"/>
    <w:rsid w:val="001744A4"/>
    <w:rsid w:val="0017601E"/>
    <w:rsid w:val="00176909"/>
    <w:rsid w:val="001811C0"/>
    <w:rsid w:val="00181531"/>
    <w:rsid w:val="001823BD"/>
    <w:rsid w:val="00182633"/>
    <w:rsid w:val="001828B4"/>
    <w:rsid w:val="001858C7"/>
    <w:rsid w:val="001862B9"/>
    <w:rsid w:val="00186FFA"/>
    <w:rsid w:val="0018773E"/>
    <w:rsid w:val="00187EC3"/>
    <w:rsid w:val="00190001"/>
    <w:rsid w:val="0019004D"/>
    <w:rsid w:val="001904A5"/>
    <w:rsid w:val="00190EC2"/>
    <w:rsid w:val="00194676"/>
    <w:rsid w:val="001947CB"/>
    <w:rsid w:val="00195ECD"/>
    <w:rsid w:val="0019656A"/>
    <w:rsid w:val="00196B2D"/>
    <w:rsid w:val="00196EC1"/>
    <w:rsid w:val="001A079C"/>
    <w:rsid w:val="001A13F0"/>
    <w:rsid w:val="001A187D"/>
    <w:rsid w:val="001A1EB7"/>
    <w:rsid w:val="001A31E7"/>
    <w:rsid w:val="001A3C01"/>
    <w:rsid w:val="001A4119"/>
    <w:rsid w:val="001A49A7"/>
    <w:rsid w:val="001A56C1"/>
    <w:rsid w:val="001A6AB1"/>
    <w:rsid w:val="001A7CA6"/>
    <w:rsid w:val="001B16EC"/>
    <w:rsid w:val="001B1B4C"/>
    <w:rsid w:val="001B2531"/>
    <w:rsid w:val="001B275E"/>
    <w:rsid w:val="001B363B"/>
    <w:rsid w:val="001B404B"/>
    <w:rsid w:val="001B4C20"/>
    <w:rsid w:val="001B7514"/>
    <w:rsid w:val="001C1AAE"/>
    <w:rsid w:val="001C331C"/>
    <w:rsid w:val="001C37B6"/>
    <w:rsid w:val="001C4001"/>
    <w:rsid w:val="001C4465"/>
    <w:rsid w:val="001C4EF7"/>
    <w:rsid w:val="001C59C4"/>
    <w:rsid w:val="001C5DA1"/>
    <w:rsid w:val="001C5E77"/>
    <w:rsid w:val="001C702C"/>
    <w:rsid w:val="001C70A1"/>
    <w:rsid w:val="001C7122"/>
    <w:rsid w:val="001C747F"/>
    <w:rsid w:val="001C7F8A"/>
    <w:rsid w:val="001D385F"/>
    <w:rsid w:val="001D4498"/>
    <w:rsid w:val="001D6392"/>
    <w:rsid w:val="001D6BFD"/>
    <w:rsid w:val="001D6D4D"/>
    <w:rsid w:val="001E0FAA"/>
    <w:rsid w:val="001E3039"/>
    <w:rsid w:val="001E33F9"/>
    <w:rsid w:val="001E3AE7"/>
    <w:rsid w:val="001E4AF7"/>
    <w:rsid w:val="001E6551"/>
    <w:rsid w:val="001E66EB"/>
    <w:rsid w:val="001E76E2"/>
    <w:rsid w:val="001E7B64"/>
    <w:rsid w:val="001E7C87"/>
    <w:rsid w:val="001F02DB"/>
    <w:rsid w:val="001F0BC7"/>
    <w:rsid w:val="001F16C3"/>
    <w:rsid w:val="001F1EE6"/>
    <w:rsid w:val="001F37CB"/>
    <w:rsid w:val="001F4285"/>
    <w:rsid w:val="001F4610"/>
    <w:rsid w:val="001F4789"/>
    <w:rsid w:val="001F7CD7"/>
    <w:rsid w:val="002029E0"/>
    <w:rsid w:val="0020373D"/>
    <w:rsid w:val="00203BE3"/>
    <w:rsid w:val="002058FA"/>
    <w:rsid w:val="00205DCE"/>
    <w:rsid w:val="0020780C"/>
    <w:rsid w:val="00210FD8"/>
    <w:rsid w:val="00211C07"/>
    <w:rsid w:val="00212BBA"/>
    <w:rsid w:val="00212C0F"/>
    <w:rsid w:val="00214333"/>
    <w:rsid w:val="00215BFA"/>
    <w:rsid w:val="002166E5"/>
    <w:rsid w:val="002170C8"/>
    <w:rsid w:val="00217F39"/>
    <w:rsid w:val="002200EC"/>
    <w:rsid w:val="00220750"/>
    <w:rsid w:val="0022351E"/>
    <w:rsid w:val="002248FB"/>
    <w:rsid w:val="00225632"/>
    <w:rsid w:val="00227995"/>
    <w:rsid w:val="002301AE"/>
    <w:rsid w:val="00231225"/>
    <w:rsid w:val="002314F3"/>
    <w:rsid w:val="002324B5"/>
    <w:rsid w:val="0023266F"/>
    <w:rsid w:val="00234EBA"/>
    <w:rsid w:val="00235841"/>
    <w:rsid w:val="00235A25"/>
    <w:rsid w:val="00236D19"/>
    <w:rsid w:val="00237DF9"/>
    <w:rsid w:val="002404BE"/>
    <w:rsid w:val="00241012"/>
    <w:rsid w:val="00242724"/>
    <w:rsid w:val="00242DFD"/>
    <w:rsid w:val="00244689"/>
    <w:rsid w:val="002448C4"/>
    <w:rsid w:val="00244962"/>
    <w:rsid w:val="00245519"/>
    <w:rsid w:val="00245700"/>
    <w:rsid w:val="00245A3D"/>
    <w:rsid w:val="00251D5F"/>
    <w:rsid w:val="00251DFE"/>
    <w:rsid w:val="00252212"/>
    <w:rsid w:val="002534AF"/>
    <w:rsid w:val="00253EB7"/>
    <w:rsid w:val="00253F7B"/>
    <w:rsid w:val="00254E42"/>
    <w:rsid w:val="00255A67"/>
    <w:rsid w:val="00256D35"/>
    <w:rsid w:val="00260010"/>
    <w:rsid w:val="0026012A"/>
    <w:rsid w:val="00260225"/>
    <w:rsid w:val="0026060A"/>
    <w:rsid w:val="00261F8C"/>
    <w:rsid w:val="002630A1"/>
    <w:rsid w:val="00263EE1"/>
    <w:rsid w:val="002640FB"/>
    <w:rsid w:val="00265414"/>
    <w:rsid w:val="002667EF"/>
    <w:rsid w:val="0026698F"/>
    <w:rsid w:val="00266B6F"/>
    <w:rsid w:val="00266E57"/>
    <w:rsid w:val="002670A0"/>
    <w:rsid w:val="00270A5D"/>
    <w:rsid w:val="00271789"/>
    <w:rsid w:val="00272DB0"/>
    <w:rsid w:val="00274053"/>
    <w:rsid w:val="00274AE4"/>
    <w:rsid w:val="00275849"/>
    <w:rsid w:val="00277EF0"/>
    <w:rsid w:val="0028114C"/>
    <w:rsid w:val="002831A9"/>
    <w:rsid w:val="0028350E"/>
    <w:rsid w:val="00283B26"/>
    <w:rsid w:val="002840EB"/>
    <w:rsid w:val="0028522E"/>
    <w:rsid w:val="00285F0F"/>
    <w:rsid w:val="002863E7"/>
    <w:rsid w:val="002875E7"/>
    <w:rsid w:val="0028798E"/>
    <w:rsid w:val="00287C1A"/>
    <w:rsid w:val="00290D9F"/>
    <w:rsid w:val="00291CE9"/>
    <w:rsid w:val="002924F6"/>
    <w:rsid w:val="00292D50"/>
    <w:rsid w:val="00294F4C"/>
    <w:rsid w:val="00295E14"/>
    <w:rsid w:val="0029617F"/>
    <w:rsid w:val="00296F9D"/>
    <w:rsid w:val="002970A4"/>
    <w:rsid w:val="0029763A"/>
    <w:rsid w:val="002A0A17"/>
    <w:rsid w:val="002A0A94"/>
    <w:rsid w:val="002A2977"/>
    <w:rsid w:val="002A35B2"/>
    <w:rsid w:val="002A37D7"/>
    <w:rsid w:val="002A4D16"/>
    <w:rsid w:val="002A4DAF"/>
    <w:rsid w:val="002A5258"/>
    <w:rsid w:val="002A5503"/>
    <w:rsid w:val="002A7233"/>
    <w:rsid w:val="002A7853"/>
    <w:rsid w:val="002B0E7B"/>
    <w:rsid w:val="002B1274"/>
    <w:rsid w:val="002B1C97"/>
    <w:rsid w:val="002B1FFA"/>
    <w:rsid w:val="002B2DBB"/>
    <w:rsid w:val="002B2FEF"/>
    <w:rsid w:val="002B30FF"/>
    <w:rsid w:val="002B4B3B"/>
    <w:rsid w:val="002B4C5F"/>
    <w:rsid w:val="002B4D03"/>
    <w:rsid w:val="002B5027"/>
    <w:rsid w:val="002B6E50"/>
    <w:rsid w:val="002B74F0"/>
    <w:rsid w:val="002B7D33"/>
    <w:rsid w:val="002C16D4"/>
    <w:rsid w:val="002C1D26"/>
    <w:rsid w:val="002C4C9F"/>
    <w:rsid w:val="002C590B"/>
    <w:rsid w:val="002C596A"/>
    <w:rsid w:val="002D014F"/>
    <w:rsid w:val="002D2324"/>
    <w:rsid w:val="002D2944"/>
    <w:rsid w:val="002D398D"/>
    <w:rsid w:val="002D3FBA"/>
    <w:rsid w:val="002D5F6E"/>
    <w:rsid w:val="002D60A2"/>
    <w:rsid w:val="002D70FE"/>
    <w:rsid w:val="002D7A55"/>
    <w:rsid w:val="002D7D31"/>
    <w:rsid w:val="002E0725"/>
    <w:rsid w:val="002E07C0"/>
    <w:rsid w:val="002E115C"/>
    <w:rsid w:val="002E18D9"/>
    <w:rsid w:val="002E199A"/>
    <w:rsid w:val="002E1F7D"/>
    <w:rsid w:val="002E2956"/>
    <w:rsid w:val="002E2B30"/>
    <w:rsid w:val="002E2D67"/>
    <w:rsid w:val="002E465C"/>
    <w:rsid w:val="002E46B2"/>
    <w:rsid w:val="002E4AE7"/>
    <w:rsid w:val="002E5171"/>
    <w:rsid w:val="002E564E"/>
    <w:rsid w:val="002E57A5"/>
    <w:rsid w:val="002E64B2"/>
    <w:rsid w:val="002F2C19"/>
    <w:rsid w:val="002F2E30"/>
    <w:rsid w:val="002F4111"/>
    <w:rsid w:val="002F548E"/>
    <w:rsid w:val="002F67B5"/>
    <w:rsid w:val="002F7EFF"/>
    <w:rsid w:val="0030025A"/>
    <w:rsid w:val="00301187"/>
    <w:rsid w:val="003012CE"/>
    <w:rsid w:val="0030142A"/>
    <w:rsid w:val="003033F0"/>
    <w:rsid w:val="0030359B"/>
    <w:rsid w:val="00303D46"/>
    <w:rsid w:val="00304150"/>
    <w:rsid w:val="00304D69"/>
    <w:rsid w:val="00304DE8"/>
    <w:rsid w:val="00305307"/>
    <w:rsid w:val="003057DB"/>
    <w:rsid w:val="00305C99"/>
    <w:rsid w:val="0030777A"/>
    <w:rsid w:val="003101FA"/>
    <w:rsid w:val="003105AE"/>
    <w:rsid w:val="0031330B"/>
    <w:rsid w:val="00313618"/>
    <w:rsid w:val="00313ED4"/>
    <w:rsid w:val="00314160"/>
    <w:rsid w:val="0031424A"/>
    <w:rsid w:val="00316093"/>
    <w:rsid w:val="003173B5"/>
    <w:rsid w:val="003231F8"/>
    <w:rsid w:val="00323A83"/>
    <w:rsid w:val="003240CD"/>
    <w:rsid w:val="00324ED3"/>
    <w:rsid w:val="00327317"/>
    <w:rsid w:val="0033038A"/>
    <w:rsid w:val="003320E7"/>
    <w:rsid w:val="003322D3"/>
    <w:rsid w:val="0033379D"/>
    <w:rsid w:val="00333C6E"/>
    <w:rsid w:val="003344ED"/>
    <w:rsid w:val="00334ED9"/>
    <w:rsid w:val="00335BB3"/>
    <w:rsid w:val="0033610F"/>
    <w:rsid w:val="003364ED"/>
    <w:rsid w:val="00336690"/>
    <w:rsid w:val="00340778"/>
    <w:rsid w:val="00341D71"/>
    <w:rsid w:val="00341F8F"/>
    <w:rsid w:val="00342052"/>
    <w:rsid w:val="0034409B"/>
    <w:rsid w:val="003456A1"/>
    <w:rsid w:val="00346640"/>
    <w:rsid w:val="0034693B"/>
    <w:rsid w:val="0035040C"/>
    <w:rsid w:val="00350462"/>
    <w:rsid w:val="0035052D"/>
    <w:rsid w:val="00350942"/>
    <w:rsid w:val="00350A59"/>
    <w:rsid w:val="00350B03"/>
    <w:rsid w:val="00350DE4"/>
    <w:rsid w:val="003512CE"/>
    <w:rsid w:val="00351962"/>
    <w:rsid w:val="003558C2"/>
    <w:rsid w:val="00356321"/>
    <w:rsid w:val="00357135"/>
    <w:rsid w:val="003572EE"/>
    <w:rsid w:val="00361859"/>
    <w:rsid w:val="003637F3"/>
    <w:rsid w:val="00366888"/>
    <w:rsid w:val="00372611"/>
    <w:rsid w:val="003727A9"/>
    <w:rsid w:val="00372CA5"/>
    <w:rsid w:val="00372CE8"/>
    <w:rsid w:val="00372CFA"/>
    <w:rsid w:val="00373E5F"/>
    <w:rsid w:val="00374F05"/>
    <w:rsid w:val="003750F9"/>
    <w:rsid w:val="00375164"/>
    <w:rsid w:val="003754C8"/>
    <w:rsid w:val="00375E13"/>
    <w:rsid w:val="00376006"/>
    <w:rsid w:val="00376191"/>
    <w:rsid w:val="00376B4D"/>
    <w:rsid w:val="00380DA7"/>
    <w:rsid w:val="00382241"/>
    <w:rsid w:val="003830E4"/>
    <w:rsid w:val="00384B12"/>
    <w:rsid w:val="00385CEF"/>
    <w:rsid w:val="0038700E"/>
    <w:rsid w:val="00387164"/>
    <w:rsid w:val="00387366"/>
    <w:rsid w:val="00387F84"/>
    <w:rsid w:val="00390821"/>
    <w:rsid w:val="00391C55"/>
    <w:rsid w:val="003920D2"/>
    <w:rsid w:val="00396A3D"/>
    <w:rsid w:val="003975EC"/>
    <w:rsid w:val="003977B8"/>
    <w:rsid w:val="00397F92"/>
    <w:rsid w:val="003A043B"/>
    <w:rsid w:val="003A073C"/>
    <w:rsid w:val="003A146C"/>
    <w:rsid w:val="003A258F"/>
    <w:rsid w:val="003A2E2B"/>
    <w:rsid w:val="003A30DC"/>
    <w:rsid w:val="003A3204"/>
    <w:rsid w:val="003A4E0B"/>
    <w:rsid w:val="003A6786"/>
    <w:rsid w:val="003A6B89"/>
    <w:rsid w:val="003A70CB"/>
    <w:rsid w:val="003B01E8"/>
    <w:rsid w:val="003B02C7"/>
    <w:rsid w:val="003B0938"/>
    <w:rsid w:val="003B1482"/>
    <w:rsid w:val="003B3257"/>
    <w:rsid w:val="003B50D2"/>
    <w:rsid w:val="003B5727"/>
    <w:rsid w:val="003B68D7"/>
    <w:rsid w:val="003C024C"/>
    <w:rsid w:val="003C146D"/>
    <w:rsid w:val="003C2716"/>
    <w:rsid w:val="003C2D77"/>
    <w:rsid w:val="003C43FE"/>
    <w:rsid w:val="003C5031"/>
    <w:rsid w:val="003C5753"/>
    <w:rsid w:val="003C583D"/>
    <w:rsid w:val="003C5E04"/>
    <w:rsid w:val="003C624F"/>
    <w:rsid w:val="003C690E"/>
    <w:rsid w:val="003C73DD"/>
    <w:rsid w:val="003C76D0"/>
    <w:rsid w:val="003D089E"/>
    <w:rsid w:val="003D0D2C"/>
    <w:rsid w:val="003D244A"/>
    <w:rsid w:val="003D32B2"/>
    <w:rsid w:val="003D32E2"/>
    <w:rsid w:val="003D3640"/>
    <w:rsid w:val="003D5187"/>
    <w:rsid w:val="003D52B2"/>
    <w:rsid w:val="003D63A9"/>
    <w:rsid w:val="003D6946"/>
    <w:rsid w:val="003D7F18"/>
    <w:rsid w:val="003E0460"/>
    <w:rsid w:val="003E059A"/>
    <w:rsid w:val="003E0607"/>
    <w:rsid w:val="003E2585"/>
    <w:rsid w:val="003E40A9"/>
    <w:rsid w:val="003E446F"/>
    <w:rsid w:val="003E45C4"/>
    <w:rsid w:val="003E51F4"/>
    <w:rsid w:val="003F188D"/>
    <w:rsid w:val="003F2724"/>
    <w:rsid w:val="003F3644"/>
    <w:rsid w:val="003F3B06"/>
    <w:rsid w:val="003F3E99"/>
    <w:rsid w:val="003F518E"/>
    <w:rsid w:val="003F532F"/>
    <w:rsid w:val="003F543E"/>
    <w:rsid w:val="003F57A5"/>
    <w:rsid w:val="003F6B9A"/>
    <w:rsid w:val="003F6B9B"/>
    <w:rsid w:val="003F72F4"/>
    <w:rsid w:val="004001B7"/>
    <w:rsid w:val="0040076B"/>
    <w:rsid w:val="00401D06"/>
    <w:rsid w:val="00402E57"/>
    <w:rsid w:val="00403B51"/>
    <w:rsid w:val="0040541C"/>
    <w:rsid w:val="00406F55"/>
    <w:rsid w:val="004070B2"/>
    <w:rsid w:val="004113B1"/>
    <w:rsid w:val="00411980"/>
    <w:rsid w:val="00414297"/>
    <w:rsid w:val="00414757"/>
    <w:rsid w:val="00414DCC"/>
    <w:rsid w:val="00415842"/>
    <w:rsid w:val="00416151"/>
    <w:rsid w:val="00416830"/>
    <w:rsid w:val="0041697C"/>
    <w:rsid w:val="0041707C"/>
    <w:rsid w:val="00417173"/>
    <w:rsid w:val="00420277"/>
    <w:rsid w:val="004206D6"/>
    <w:rsid w:val="004211D2"/>
    <w:rsid w:val="00421390"/>
    <w:rsid w:val="004221C8"/>
    <w:rsid w:val="00423485"/>
    <w:rsid w:val="004239C1"/>
    <w:rsid w:val="00424EEA"/>
    <w:rsid w:val="004254D6"/>
    <w:rsid w:val="0042582D"/>
    <w:rsid w:val="004308C9"/>
    <w:rsid w:val="00432088"/>
    <w:rsid w:val="00432293"/>
    <w:rsid w:val="0043235B"/>
    <w:rsid w:val="00433B32"/>
    <w:rsid w:val="00435D02"/>
    <w:rsid w:val="00437A35"/>
    <w:rsid w:val="00437E3D"/>
    <w:rsid w:val="004401CF"/>
    <w:rsid w:val="00440B1F"/>
    <w:rsid w:val="00441553"/>
    <w:rsid w:val="00442473"/>
    <w:rsid w:val="00442D36"/>
    <w:rsid w:val="00444BBC"/>
    <w:rsid w:val="0044642D"/>
    <w:rsid w:val="004466B1"/>
    <w:rsid w:val="00450181"/>
    <w:rsid w:val="0045088E"/>
    <w:rsid w:val="0045099C"/>
    <w:rsid w:val="00451786"/>
    <w:rsid w:val="00452C41"/>
    <w:rsid w:val="004553E3"/>
    <w:rsid w:val="0045572F"/>
    <w:rsid w:val="00455F24"/>
    <w:rsid w:val="0046059C"/>
    <w:rsid w:val="00460ACC"/>
    <w:rsid w:val="00461DD5"/>
    <w:rsid w:val="00462D09"/>
    <w:rsid w:val="00462F17"/>
    <w:rsid w:val="00463892"/>
    <w:rsid w:val="00464440"/>
    <w:rsid w:val="00464E78"/>
    <w:rsid w:val="004656C8"/>
    <w:rsid w:val="00466C5C"/>
    <w:rsid w:val="00467698"/>
    <w:rsid w:val="0046797D"/>
    <w:rsid w:val="00467C8C"/>
    <w:rsid w:val="00470B34"/>
    <w:rsid w:val="00470C9E"/>
    <w:rsid w:val="0047139D"/>
    <w:rsid w:val="0047156B"/>
    <w:rsid w:val="00471A84"/>
    <w:rsid w:val="00472084"/>
    <w:rsid w:val="00472FB3"/>
    <w:rsid w:val="004766DA"/>
    <w:rsid w:val="004808F6"/>
    <w:rsid w:val="0048129B"/>
    <w:rsid w:val="0048373F"/>
    <w:rsid w:val="00484510"/>
    <w:rsid w:val="00484884"/>
    <w:rsid w:val="004853E7"/>
    <w:rsid w:val="00485E62"/>
    <w:rsid w:val="00485EE8"/>
    <w:rsid w:val="00485FAB"/>
    <w:rsid w:val="00486467"/>
    <w:rsid w:val="0049022A"/>
    <w:rsid w:val="00490DE8"/>
    <w:rsid w:val="00491EA2"/>
    <w:rsid w:val="004929C9"/>
    <w:rsid w:val="0049307D"/>
    <w:rsid w:val="00494C43"/>
    <w:rsid w:val="004966C1"/>
    <w:rsid w:val="004A0E0D"/>
    <w:rsid w:val="004A108A"/>
    <w:rsid w:val="004A130C"/>
    <w:rsid w:val="004A1FB1"/>
    <w:rsid w:val="004A28DF"/>
    <w:rsid w:val="004A2986"/>
    <w:rsid w:val="004A3548"/>
    <w:rsid w:val="004A3AB9"/>
    <w:rsid w:val="004A4705"/>
    <w:rsid w:val="004A6D9C"/>
    <w:rsid w:val="004A7597"/>
    <w:rsid w:val="004B0042"/>
    <w:rsid w:val="004B136F"/>
    <w:rsid w:val="004B15D3"/>
    <w:rsid w:val="004B192D"/>
    <w:rsid w:val="004B1B3A"/>
    <w:rsid w:val="004B2DB1"/>
    <w:rsid w:val="004B3C29"/>
    <w:rsid w:val="004B422D"/>
    <w:rsid w:val="004B44D6"/>
    <w:rsid w:val="004B46E7"/>
    <w:rsid w:val="004B75AC"/>
    <w:rsid w:val="004C0F3E"/>
    <w:rsid w:val="004C20AF"/>
    <w:rsid w:val="004C2B76"/>
    <w:rsid w:val="004C2F9D"/>
    <w:rsid w:val="004C4793"/>
    <w:rsid w:val="004C4D64"/>
    <w:rsid w:val="004C61F9"/>
    <w:rsid w:val="004C621A"/>
    <w:rsid w:val="004C710C"/>
    <w:rsid w:val="004D0C59"/>
    <w:rsid w:val="004D1E9C"/>
    <w:rsid w:val="004D39D6"/>
    <w:rsid w:val="004D51A1"/>
    <w:rsid w:val="004D6118"/>
    <w:rsid w:val="004D653A"/>
    <w:rsid w:val="004D6A5C"/>
    <w:rsid w:val="004D6FE9"/>
    <w:rsid w:val="004D7324"/>
    <w:rsid w:val="004E0370"/>
    <w:rsid w:val="004E0407"/>
    <w:rsid w:val="004E06E4"/>
    <w:rsid w:val="004E0AF2"/>
    <w:rsid w:val="004E0DAC"/>
    <w:rsid w:val="004E305C"/>
    <w:rsid w:val="004E3649"/>
    <w:rsid w:val="004E5510"/>
    <w:rsid w:val="004E624C"/>
    <w:rsid w:val="004E6DE9"/>
    <w:rsid w:val="004F08A2"/>
    <w:rsid w:val="004F0B74"/>
    <w:rsid w:val="004F0E04"/>
    <w:rsid w:val="004F1B9B"/>
    <w:rsid w:val="004F39BC"/>
    <w:rsid w:val="004F424A"/>
    <w:rsid w:val="004F4374"/>
    <w:rsid w:val="004F5A4A"/>
    <w:rsid w:val="004F5D4B"/>
    <w:rsid w:val="004F7811"/>
    <w:rsid w:val="00500755"/>
    <w:rsid w:val="00501482"/>
    <w:rsid w:val="005017D8"/>
    <w:rsid w:val="0050239C"/>
    <w:rsid w:val="00503FAD"/>
    <w:rsid w:val="00506621"/>
    <w:rsid w:val="005077C0"/>
    <w:rsid w:val="005116E7"/>
    <w:rsid w:val="00511E8E"/>
    <w:rsid w:val="005122FB"/>
    <w:rsid w:val="00512962"/>
    <w:rsid w:val="005133F3"/>
    <w:rsid w:val="00513822"/>
    <w:rsid w:val="005139D3"/>
    <w:rsid w:val="00513A11"/>
    <w:rsid w:val="00513E1B"/>
    <w:rsid w:val="00514436"/>
    <w:rsid w:val="0051481C"/>
    <w:rsid w:val="00514CEC"/>
    <w:rsid w:val="005151A1"/>
    <w:rsid w:val="0051693C"/>
    <w:rsid w:val="00516A0B"/>
    <w:rsid w:val="00517B03"/>
    <w:rsid w:val="005211E4"/>
    <w:rsid w:val="00521334"/>
    <w:rsid w:val="00521892"/>
    <w:rsid w:val="00521EC5"/>
    <w:rsid w:val="0052204C"/>
    <w:rsid w:val="00522358"/>
    <w:rsid w:val="0052309B"/>
    <w:rsid w:val="0052494E"/>
    <w:rsid w:val="005255D7"/>
    <w:rsid w:val="00526611"/>
    <w:rsid w:val="00527123"/>
    <w:rsid w:val="0052732F"/>
    <w:rsid w:val="0053024B"/>
    <w:rsid w:val="005303D5"/>
    <w:rsid w:val="00530A49"/>
    <w:rsid w:val="00530D59"/>
    <w:rsid w:val="005328C3"/>
    <w:rsid w:val="0053396F"/>
    <w:rsid w:val="00534281"/>
    <w:rsid w:val="005346A2"/>
    <w:rsid w:val="005350AB"/>
    <w:rsid w:val="00535772"/>
    <w:rsid w:val="00536436"/>
    <w:rsid w:val="00536519"/>
    <w:rsid w:val="0053729C"/>
    <w:rsid w:val="00537849"/>
    <w:rsid w:val="00537A09"/>
    <w:rsid w:val="00537C8E"/>
    <w:rsid w:val="005415A9"/>
    <w:rsid w:val="00542746"/>
    <w:rsid w:val="00542E98"/>
    <w:rsid w:val="00547B25"/>
    <w:rsid w:val="005504CD"/>
    <w:rsid w:val="00550969"/>
    <w:rsid w:val="0055122D"/>
    <w:rsid w:val="00552127"/>
    <w:rsid w:val="00552C02"/>
    <w:rsid w:val="0055317C"/>
    <w:rsid w:val="00553201"/>
    <w:rsid w:val="00553E34"/>
    <w:rsid w:val="005540E2"/>
    <w:rsid w:val="0055418D"/>
    <w:rsid w:val="00554561"/>
    <w:rsid w:val="0055502A"/>
    <w:rsid w:val="00555313"/>
    <w:rsid w:val="00555CDD"/>
    <w:rsid w:val="005560C1"/>
    <w:rsid w:val="00561ADF"/>
    <w:rsid w:val="005621C1"/>
    <w:rsid w:val="00562B51"/>
    <w:rsid w:val="00564C82"/>
    <w:rsid w:val="005650F4"/>
    <w:rsid w:val="00566E26"/>
    <w:rsid w:val="00567369"/>
    <w:rsid w:val="00570098"/>
    <w:rsid w:val="005709D4"/>
    <w:rsid w:val="00571E31"/>
    <w:rsid w:val="00573F84"/>
    <w:rsid w:val="005741BF"/>
    <w:rsid w:val="00575400"/>
    <w:rsid w:val="00580DAF"/>
    <w:rsid w:val="005811C0"/>
    <w:rsid w:val="0058126C"/>
    <w:rsid w:val="00581557"/>
    <w:rsid w:val="00584373"/>
    <w:rsid w:val="00584784"/>
    <w:rsid w:val="00584B40"/>
    <w:rsid w:val="005858BC"/>
    <w:rsid w:val="0058795B"/>
    <w:rsid w:val="00590492"/>
    <w:rsid w:val="00590CBA"/>
    <w:rsid w:val="005916CF"/>
    <w:rsid w:val="00591E12"/>
    <w:rsid w:val="00594895"/>
    <w:rsid w:val="00594DF5"/>
    <w:rsid w:val="00596C5F"/>
    <w:rsid w:val="005971CA"/>
    <w:rsid w:val="005971E1"/>
    <w:rsid w:val="00597266"/>
    <w:rsid w:val="005A1EC5"/>
    <w:rsid w:val="005A2AF1"/>
    <w:rsid w:val="005A3EB3"/>
    <w:rsid w:val="005A546A"/>
    <w:rsid w:val="005A6C96"/>
    <w:rsid w:val="005A70D2"/>
    <w:rsid w:val="005A7294"/>
    <w:rsid w:val="005A7C27"/>
    <w:rsid w:val="005B1F7E"/>
    <w:rsid w:val="005B36E9"/>
    <w:rsid w:val="005B5230"/>
    <w:rsid w:val="005B6657"/>
    <w:rsid w:val="005B6680"/>
    <w:rsid w:val="005B67F1"/>
    <w:rsid w:val="005C2330"/>
    <w:rsid w:val="005C2838"/>
    <w:rsid w:val="005C3AF8"/>
    <w:rsid w:val="005C3F7B"/>
    <w:rsid w:val="005C4025"/>
    <w:rsid w:val="005C4605"/>
    <w:rsid w:val="005C49D2"/>
    <w:rsid w:val="005C5D5C"/>
    <w:rsid w:val="005C67CD"/>
    <w:rsid w:val="005C6F50"/>
    <w:rsid w:val="005C7009"/>
    <w:rsid w:val="005D032C"/>
    <w:rsid w:val="005D058B"/>
    <w:rsid w:val="005D0E81"/>
    <w:rsid w:val="005D1024"/>
    <w:rsid w:val="005D32EF"/>
    <w:rsid w:val="005D470F"/>
    <w:rsid w:val="005D4B34"/>
    <w:rsid w:val="005D5547"/>
    <w:rsid w:val="005D648C"/>
    <w:rsid w:val="005E01EB"/>
    <w:rsid w:val="005E0736"/>
    <w:rsid w:val="005E085E"/>
    <w:rsid w:val="005E25FD"/>
    <w:rsid w:val="005E310E"/>
    <w:rsid w:val="005E3268"/>
    <w:rsid w:val="005E3711"/>
    <w:rsid w:val="005E449F"/>
    <w:rsid w:val="005E4674"/>
    <w:rsid w:val="005E53B0"/>
    <w:rsid w:val="005E7DAA"/>
    <w:rsid w:val="005F0C8A"/>
    <w:rsid w:val="005F27CE"/>
    <w:rsid w:val="005F2EAC"/>
    <w:rsid w:val="005F36B4"/>
    <w:rsid w:val="005F51F2"/>
    <w:rsid w:val="005F5421"/>
    <w:rsid w:val="005F5C51"/>
    <w:rsid w:val="005F5D5A"/>
    <w:rsid w:val="006000B9"/>
    <w:rsid w:val="0060031D"/>
    <w:rsid w:val="00601424"/>
    <w:rsid w:val="00603012"/>
    <w:rsid w:val="006040A2"/>
    <w:rsid w:val="0060499B"/>
    <w:rsid w:val="006058B1"/>
    <w:rsid w:val="006060A3"/>
    <w:rsid w:val="006110E5"/>
    <w:rsid w:val="00613303"/>
    <w:rsid w:val="006133F6"/>
    <w:rsid w:val="00613AFD"/>
    <w:rsid w:val="006155EF"/>
    <w:rsid w:val="00615E04"/>
    <w:rsid w:val="00616690"/>
    <w:rsid w:val="0061713C"/>
    <w:rsid w:val="00620D99"/>
    <w:rsid w:val="006216DA"/>
    <w:rsid w:val="006229A9"/>
    <w:rsid w:val="00622A4D"/>
    <w:rsid w:val="0062337B"/>
    <w:rsid w:val="00625749"/>
    <w:rsid w:val="0062668F"/>
    <w:rsid w:val="00626CAA"/>
    <w:rsid w:val="006273BA"/>
    <w:rsid w:val="00627C55"/>
    <w:rsid w:val="00630750"/>
    <w:rsid w:val="0063095E"/>
    <w:rsid w:val="00631ABD"/>
    <w:rsid w:val="006321B6"/>
    <w:rsid w:val="006326BA"/>
    <w:rsid w:val="00634A2F"/>
    <w:rsid w:val="00634A6C"/>
    <w:rsid w:val="006362F5"/>
    <w:rsid w:val="006371A0"/>
    <w:rsid w:val="00640C13"/>
    <w:rsid w:val="00640D8D"/>
    <w:rsid w:val="00642389"/>
    <w:rsid w:val="006427E4"/>
    <w:rsid w:val="00644631"/>
    <w:rsid w:val="0065082D"/>
    <w:rsid w:val="006520A6"/>
    <w:rsid w:val="00652259"/>
    <w:rsid w:val="00652BE8"/>
    <w:rsid w:val="00653A0E"/>
    <w:rsid w:val="00653ADC"/>
    <w:rsid w:val="006543E8"/>
    <w:rsid w:val="0065506E"/>
    <w:rsid w:val="0065684D"/>
    <w:rsid w:val="00660255"/>
    <w:rsid w:val="00661DA8"/>
    <w:rsid w:val="0066236B"/>
    <w:rsid w:val="00662B10"/>
    <w:rsid w:val="006648EB"/>
    <w:rsid w:val="006653B9"/>
    <w:rsid w:val="00666ECC"/>
    <w:rsid w:val="00667406"/>
    <w:rsid w:val="00667558"/>
    <w:rsid w:val="00667AAE"/>
    <w:rsid w:val="006703A8"/>
    <w:rsid w:val="00671E1A"/>
    <w:rsid w:val="00672895"/>
    <w:rsid w:val="00672C16"/>
    <w:rsid w:val="0067331B"/>
    <w:rsid w:val="00674C29"/>
    <w:rsid w:val="00675060"/>
    <w:rsid w:val="00675E0D"/>
    <w:rsid w:val="0067691D"/>
    <w:rsid w:val="006779A4"/>
    <w:rsid w:val="006779BE"/>
    <w:rsid w:val="00680727"/>
    <w:rsid w:val="006814AE"/>
    <w:rsid w:val="0068155A"/>
    <w:rsid w:val="00682213"/>
    <w:rsid w:val="0068346A"/>
    <w:rsid w:val="006845E9"/>
    <w:rsid w:val="00684C2C"/>
    <w:rsid w:val="0068633E"/>
    <w:rsid w:val="006871CA"/>
    <w:rsid w:val="00690E18"/>
    <w:rsid w:val="00691957"/>
    <w:rsid w:val="006954BF"/>
    <w:rsid w:val="00695AA2"/>
    <w:rsid w:val="00696826"/>
    <w:rsid w:val="00696F2A"/>
    <w:rsid w:val="00697266"/>
    <w:rsid w:val="006A03E3"/>
    <w:rsid w:val="006A0710"/>
    <w:rsid w:val="006A0C5B"/>
    <w:rsid w:val="006A2539"/>
    <w:rsid w:val="006A3382"/>
    <w:rsid w:val="006A378B"/>
    <w:rsid w:val="006A46E8"/>
    <w:rsid w:val="006A5382"/>
    <w:rsid w:val="006A6ACD"/>
    <w:rsid w:val="006A6CCD"/>
    <w:rsid w:val="006A6D86"/>
    <w:rsid w:val="006A710C"/>
    <w:rsid w:val="006B05BB"/>
    <w:rsid w:val="006B066C"/>
    <w:rsid w:val="006B1011"/>
    <w:rsid w:val="006B2670"/>
    <w:rsid w:val="006B3B20"/>
    <w:rsid w:val="006B4814"/>
    <w:rsid w:val="006B4AC6"/>
    <w:rsid w:val="006B53D9"/>
    <w:rsid w:val="006B592E"/>
    <w:rsid w:val="006C088D"/>
    <w:rsid w:val="006C0906"/>
    <w:rsid w:val="006C2F0A"/>
    <w:rsid w:val="006C2FBE"/>
    <w:rsid w:val="006C3012"/>
    <w:rsid w:val="006C7522"/>
    <w:rsid w:val="006C7DEC"/>
    <w:rsid w:val="006C7E83"/>
    <w:rsid w:val="006D05B1"/>
    <w:rsid w:val="006D07A6"/>
    <w:rsid w:val="006D136E"/>
    <w:rsid w:val="006D38CE"/>
    <w:rsid w:val="006D3B09"/>
    <w:rsid w:val="006D4F43"/>
    <w:rsid w:val="006D7393"/>
    <w:rsid w:val="006E0CCC"/>
    <w:rsid w:val="006E15E3"/>
    <w:rsid w:val="006E17BA"/>
    <w:rsid w:val="006E266C"/>
    <w:rsid w:val="006E537C"/>
    <w:rsid w:val="006E5A86"/>
    <w:rsid w:val="006F1605"/>
    <w:rsid w:val="006F1DD6"/>
    <w:rsid w:val="006F23A0"/>
    <w:rsid w:val="006F2443"/>
    <w:rsid w:val="006F2771"/>
    <w:rsid w:val="006F28C0"/>
    <w:rsid w:val="006F47D4"/>
    <w:rsid w:val="006F4F32"/>
    <w:rsid w:val="006F567C"/>
    <w:rsid w:val="006F65BF"/>
    <w:rsid w:val="006F761D"/>
    <w:rsid w:val="00701C4D"/>
    <w:rsid w:val="00703707"/>
    <w:rsid w:val="00704701"/>
    <w:rsid w:val="00705AF9"/>
    <w:rsid w:val="007078E8"/>
    <w:rsid w:val="00710436"/>
    <w:rsid w:val="00711C13"/>
    <w:rsid w:val="00714E58"/>
    <w:rsid w:val="00717673"/>
    <w:rsid w:val="00717869"/>
    <w:rsid w:val="007204AA"/>
    <w:rsid w:val="007217B5"/>
    <w:rsid w:val="0072180C"/>
    <w:rsid w:val="00722D7F"/>
    <w:rsid w:val="0072328A"/>
    <w:rsid w:val="00723758"/>
    <w:rsid w:val="00724F75"/>
    <w:rsid w:val="007269FE"/>
    <w:rsid w:val="00726F7C"/>
    <w:rsid w:val="0072733E"/>
    <w:rsid w:val="007273CB"/>
    <w:rsid w:val="00727702"/>
    <w:rsid w:val="00727754"/>
    <w:rsid w:val="00727958"/>
    <w:rsid w:val="00727F7E"/>
    <w:rsid w:val="00730790"/>
    <w:rsid w:val="007309BD"/>
    <w:rsid w:val="00732ACB"/>
    <w:rsid w:val="0073514E"/>
    <w:rsid w:val="0073613F"/>
    <w:rsid w:val="0074026E"/>
    <w:rsid w:val="007433DC"/>
    <w:rsid w:val="007440AE"/>
    <w:rsid w:val="007447C2"/>
    <w:rsid w:val="00744A56"/>
    <w:rsid w:val="00744FFE"/>
    <w:rsid w:val="00745E0C"/>
    <w:rsid w:val="007470D9"/>
    <w:rsid w:val="007479CE"/>
    <w:rsid w:val="00750C24"/>
    <w:rsid w:val="00751A92"/>
    <w:rsid w:val="007527EB"/>
    <w:rsid w:val="00752C5A"/>
    <w:rsid w:val="00752CEF"/>
    <w:rsid w:val="00753E0F"/>
    <w:rsid w:val="00754203"/>
    <w:rsid w:val="00754579"/>
    <w:rsid w:val="00755DA2"/>
    <w:rsid w:val="007571F0"/>
    <w:rsid w:val="00760DEA"/>
    <w:rsid w:val="00762A65"/>
    <w:rsid w:val="00762B77"/>
    <w:rsid w:val="00762FB7"/>
    <w:rsid w:val="007630C6"/>
    <w:rsid w:val="007638B8"/>
    <w:rsid w:val="007646CF"/>
    <w:rsid w:val="007649DE"/>
    <w:rsid w:val="00764A86"/>
    <w:rsid w:val="0076574D"/>
    <w:rsid w:val="00765FDF"/>
    <w:rsid w:val="00767BE3"/>
    <w:rsid w:val="00767F8C"/>
    <w:rsid w:val="00770B25"/>
    <w:rsid w:val="00770C97"/>
    <w:rsid w:val="007732F2"/>
    <w:rsid w:val="007744DD"/>
    <w:rsid w:val="007747F4"/>
    <w:rsid w:val="00774841"/>
    <w:rsid w:val="00774CD8"/>
    <w:rsid w:val="007766E1"/>
    <w:rsid w:val="00776CD9"/>
    <w:rsid w:val="007802D1"/>
    <w:rsid w:val="007810B9"/>
    <w:rsid w:val="00781305"/>
    <w:rsid w:val="007816FD"/>
    <w:rsid w:val="00782DA4"/>
    <w:rsid w:val="00782EE9"/>
    <w:rsid w:val="00783AF0"/>
    <w:rsid w:val="00783F66"/>
    <w:rsid w:val="007844D9"/>
    <w:rsid w:val="00784ECA"/>
    <w:rsid w:val="00785993"/>
    <w:rsid w:val="00786211"/>
    <w:rsid w:val="00786428"/>
    <w:rsid w:val="00786CDB"/>
    <w:rsid w:val="00786EEE"/>
    <w:rsid w:val="0079089C"/>
    <w:rsid w:val="00794235"/>
    <w:rsid w:val="00794936"/>
    <w:rsid w:val="007960A5"/>
    <w:rsid w:val="0079652F"/>
    <w:rsid w:val="00796F61"/>
    <w:rsid w:val="0079708B"/>
    <w:rsid w:val="007A01D6"/>
    <w:rsid w:val="007A1687"/>
    <w:rsid w:val="007A1F21"/>
    <w:rsid w:val="007A2AAE"/>
    <w:rsid w:val="007A2B77"/>
    <w:rsid w:val="007A4BF4"/>
    <w:rsid w:val="007A53F3"/>
    <w:rsid w:val="007A595C"/>
    <w:rsid w:val="007A66C3"/>
    <w:rsid w:val="007A67AE"/>
    <w:rsid w:val="007B0C9B"/>
    <w:rsid w:val="007B0F19"/>
    <w:rsid w:val="007B193D"/>
    <w:rsid w:val="007B1C56"/>
    <w:rsid w:val="007B4DFC"/>
    <w:rsid w:val="007B514A"/>
    <w:rsid w:val="007B5673"/>
    <w:rsid w:val="007B5A83"/>
    <w:rsid w:val="007B6E98"/>
    <w:rsid w:val="007B7F10"/>
    <w:rsid w:val="007C0467"/>
    <w:rsid w:val="007C2131"/>
    <w:rsid w:val="007C2616"/>
    <w:rsid w:val="007C2D0A"/>
    <w:rsid w:val="007C3963"/>
    <w:rsid w:val="007C428D"/>
    <w:rsid w:val="007C484F"/>
    <w:rsid w:val="007C48D5"/>
    <w:rsid w:val="007C4A7D"/>
    <w:rsid w:val="007C5814"/>
    <w:rsid w:val="007C5B92"/>
    <w:rsid w:val="007C6B02"/>
    <w:rsid w:val="007C7870"/>
    <w:rsid w:val="007D193A"/>
    <w:rsid w:val="007D3800"/>
    <w:rsid w:val="007D534A"/>
    <w:rsid w:val="007D665D"/>
    <w:rsid w:val="007D6DFF"/>
    <w:rsid w:val="007D762C"/>
    <w:rsid w:val="007D7EC7"/>
    <w:rsid w:val="007E0CA7"/>
    <w:rsid w:val="007E1272"/>
    <w:rsid w:val="007E1A9A"/>
    <w:rsid w:val="007E233E"/>
    <w:rsid w:val="007E2F43"/>
    <w:rsid w:val="007E4344"/>
    <w:rsid w:val="007E4F13"/>
    <w:rsid w:val="007E4F61"/>
    <w:rsid w:val="007E5B77"/>
    <w:rsid w:val="007E5E40"/>
    <w:rsid w:val="007E5F96"/>
    <w:rsid w:val="007E790E"/>
    <w:rsid w:val="007F0CF4"/>
    <w:rsid w:val="007F22C7"/>
    <w:rsid w:val="007F4116"/>
    <w:rsid w:val="007F5CE5"/>
    <w:rsid w:val="007F6097"/>
    <w:rsid w:val="007F76E3"/>
    <w:rsid w:val="007F7C05"/>
    <w:rsid w:val="00800495"/>
    <w:rsid w:val="00800604"/>
    <w:rsid w:val="00800E74"/>
    <w:rsid w:val="00801F4B"/>
    <w:rsid w:val="0080236E"/>
    <w:rsid w:val="008024B5"/>
    <w:rsid w:val="00802766"/>
    <w:rsid w:val="00802A64"/>
    <w:rsid w:val="0080326E"/>
    <w:rsid w:val="0080515A"/>
    <w:rsid w:val="00805945"/>
    <w:rsid w:val="00806460"/>
    <w:rsid w:val="0080779F"/>
    <w:rsid w:val="008106B6"/>
    <w:rsid w:val="00810E1C"/>
    <w:rsid w:val="00811C45"/>
    <w:rsid w:val="008136F8"/>
    <w:rsid w:val="00813F0B"/>
    <w:rsid w:val="008147DD"/>
    <w:rsid w:val="00814864"/>
    <w:rsid w:val="00814BBC"/>
    <w:rsid w:val="00814D34"/>
    <w:rsid w:val="00815250"/>
    <w:rsid w:val="0081564C"/>
    <w:rsid w:val="00816E10"/>
    <w:rsid w:val="0081734E"/>
    <w:rsid w:val="00820618"/>
    <w:rsid w:val="00820FE9"/>
    <w:rsid w:val="008212B3"/>
    <w:rsid w:val="008216FE"/>
    <w:rsid w:val="00822C4E"/>
    <w:rsid w:val="00822EA7"/>
    <w:rsid w:val="0082347B"/>
    <w:rsid w:val="00823A9C"/>
    <w:rsid w:val="008242F1"/>
    <w:rsid w:val="008246A2"/>
    <w:rsid w:val="00824861"/>
    <w:rsid w:val="00826362"/>
    <w:rsid w:val="008271F5"/>
    <w:rsid w:val="00830ADE"/>
    <w:rsid w:val="00830B5F"/>
    <w:rsid w:val="008310B4"/>
    <w:rsid w:val="00831E59"/>
    <w:rsid w:val="008321B7"/>
    <w:rsid w:val="008325F8"/>
    <w:rsid w:val="0083342B"/>
    <w:rsid w:val="00834EFD"/>
    <w:rsid w:val="00836433"/>
    <w:rsid w:val="00836DCB"/>
    <w:rsid w:val="00836FF5"/>
    <w:rsid w:val="00837655"/>
    <w:rsid w:val="00837E01"/>
    <w:rsid w:val="00840485"/>
    <w:rsid w:val="00840E82"/>
    <w:rsid w:val="008426AE"/>
    <w:rsid w:val="00845318"/>
    <w:rsid w:val="0084728F"/>
    <w:rsid w:val="00847C63"/>
    <w:rsid w:val="00851725"/>
    <w:rsid w:val="00852FC9"/>
    <w:rsid w:val="0085392F"/>
    <w:rsid w:val="0085458C"/>
    <w:rsid w:val="00854DF2"/>
    <w:rsid w:val="00854FD2"/>
    <w:rsid w:val="00855628"/>
    <w:rsid w:val="00857E08"/>
    <w:rsid w:val="008605BD"/>
    <w:rsid w:val="00860E10"/>
    <w:rsid w:val="00864D3A"/>
    <w:rsid w:val="00865853"/>
    <w:rsid w:val="00866873"/>
    <w:rsid w:val="00867053"/>
    <w:rsid w:val="00870E2A"/>
    <w:rsid w:val="0087165A"/>
    <w:rsid w:val="0087194C"/>
    <w:rsid w:val="00871B95"/>
    <w:rsid w:val="00874216"/>
    <w:rsid w:val="00874BE1"/>
    <w:rsid w:val="00874E94"/>
    <w:rsid w:val="008759F2"/>
    <w:rsid w:val="00875D58"/>
    <w:rsid w:val="00877837"/>
    <w:rsid w:val="00880E00"/>
    <w:rsid w:val="008817B8"/>
    <w:rsid w:val="008827B7"/>
    <w:rsid w:val="00882902"/>
    <w:rsid w:val="0088300A"/>
    <w:rsid w:val="00884ABF"/>
    <w:rsid w:val="00884C27"/>
    <w:rsid w:val="00885B0A"/>
    <w:rsid w:val="008868D5"/>
    <w:rsid w:val="0088764B"/>
    <w:rsid w:val="00892D42"/>
    <w:rsid w:val="00895DB5"/>
    <w:rsid w:val="0089742C"/>
    <w:rsid w:val="008A0E88"/>
    <w:rsid w:val="008A1251"/>
    <w:rsid w:val="008A2E65"/>
    <w:rsid w:val="008A3360"/>
    <w:rsid w:val="008A4026"/>
    <w:rsid w:val="008A58D6"/>
    <w:rsid w:val="008A593B"/>
    <w:rsid w:val="008A5C62"/>
    <w:rsid w:val="008A6AA1"/>
    <w:rsid w:val="008A6E4F"/>
    <w:rsid w:val="008A7176"/>
    <w:rsid w:val="008A7D83"/>
    <w:rsid w:val="008B12D3"/>
    <w:rsid w:val="008B1B73"/>
    <w:rsid w:val="008B2024"/>
    <w:rsid w:val="008B2A53"/>
    <w:rsid w:val="008B2A70"/>
    <w:rsid w:val="008B2CE1"/>
    <w:rsid w:val="008B2D58"/>
    <w:rsid w:val="008B33E4"/>
    <w:rsid w:val="008B3810"/>
    <w:rsid w:val="008B4124"/>
    <w:rsid w:val="008B4D4A"/>
    <w:rsid w:val="008B4EC1"/>
    <w:rsid w:val="008B543F"/>
    <w:rsid w:val="008B5F23"/>
    <w:rsid w:val="008B743C"/>
    <w:rsid w:val="008C0E6A"/>
    <w:rsid w:val="008C27F0"/>
    <w:rsid w:val="008C30EB"/>
    <w:rsid w:val="008C33EA"/>
    <w:rsid w:val="008C35DF"/>
    <w:rsid w:val="008C4932"/>
    <w:rsid w:val="008D08D0"/>
    <w:rsid w:val="008D1B64"/>
    <w:rsid w:val="008D1E15"/>
    <w:rsid w:val="008D22FB"/>
    <w:rsid w:val="008D292A"/>
    <w:rsid w:val="008D32A4"/>
    <w:rsid w:val="008D3F3F"/>
    <w:rsid w:val="008D4F24"/>
    <w:rsid w:val="008D4F5E"/>
    <w:rsid w:val="008D4F8D"/>
    <w:rsid w:val="008D611D"/>
    <w:rsid w:val="008D66C5"/>
    <w:rsid w:val="008D6986"/>
    <w:rsid w:val="008D6C62"/>
    <w:rsid w:val="008D77BF"/>
    <w:rsid w:val="008D7933"/>
    <w:rsid w:val="008E04FA"/>
    <w:rsid w:val="008E07D1"/>
    <w:rsid w:val="008E18B2"/>
    <w:rsid w:val="008E2AC8"/>
    <w:rsid w:val="008E3E80"/>
    <w:rsid w:val="008E4A65"/>
    <w:rsid w:val="008E4AF2"/>
    <w:rsid w:val="008E5AB7"/>
    <w:rsid w:val="008E6E8C"/>
    <w:rsid w:val="008F0EC3"/>
    <w:rsid w:val="008F1442"/>
    <w:rsid w:val="008F191B"/>
    <w:rsid w:val="008F1F2A"/>
    <w:rsid w:val="008F21A6"/>
    <w:rsid w:val="008F29CC"/>
    <w:rsid w:val="008F2A8E"/>
    <w:rsid w:val="008F5C12"/>
    <w:rsid w:val="008F64A9"/>
    <w:rsid w:val="008F6EEE"/>
    <w:rsid w:val="008F7795"/>
    <w:rsid w:val="008F7B30"/>
    <w:rsid w:val="009025F3"/>
    <w:rsid w:val="009026E8"/>
    <w:rsid w:val="0090293F"/>
    <w:rsid w:val="0090638F"/>
    <w:rsid w:val="009078BF"/>
    <w:rsid w:val="00910631"/>
    <w:rsid w:val="00911372"/>
    <w:rsid w:val="00912993"/>
    <w:rsid w:val="00912D2D"/>
    <w:rsid w:val="0091390A"/>
    <w:rsid w:val="00913A36"/>
    <w:rsid w:val="009149AC"/>
    <w:rsid w:val="00914C0B"/>
    <w:rsid w:val="00915BA3"/>
    <w:rsid w:val="00916380"/>
    <w:rsid w:val="00917363"/>
    <w:rsid w:val="009213E8"/>
    <w:rsid w:val="00921F5F"/>
    <w:rsid w:val="00923042"/>
    <w:rsid w:val="009232AC"/>
    <w:rsid w:val="00923C2B"/>
    <w:rsid w:val="0092450D"/>
    <w:rsid w:val="0092566C"/>
    <w:rsid w:val="00926F53"/>
    <w:rsid w:val="0092743A"/>
    <w:rsid w:val="00927579"/>
    <w:rsid w:val="00930260"/>
    <w:rsid w:val="00930298"/>
    <w:rsid w:val="009306B5"/>
    <w:rsid w:val="00931B11"/>
    <w:rsid w:val="00934054"/>
    <w:rsid w:val="00935789"/>
    <w:rsid w:val="00936108"/>
    <w:rsid w:val="00936AD7"/>
    <w:rsid w:val="009401E5"/>
    <w:rsid w:val="0094078E"/>
    <w:rsid w:val="00940D5C"/>
    <w:rsid w:val="009414E4"/>
    <w:rsid w:val="0094156A"/>
    <w:rsid w:val="00941CB1"/>
    <w:rsid w:val="009438D9"/>
    <w:rsid w:val="0094638C"/>
    <w:rsid w:val="00947D26"/>
    <w:rsid w:val="00950473"/>
    <w:rsid w:val="009508A8"/>
    <w:rsid w:val="0095117D"/>
    <w:rsid w:val="00951634"/>
    <w:rsid w:val="00952873"/>
    <w:rsid w:val="00952D22"/>
    <w:rsid w:val="00952F55"/>
    <w:rsid w:val="0095305A"/>
    <w:rsid w:val="0095443F"/>
    <w:rsid w:val="009552DB"/>
    <w:rsid w:val="00956451"/>
    <w:rsid w:val="00957B91"/>
    <w:rsid w:val="00962E10"/>
    <w:rsid w:val="00962EBC"/>
    <w:rsid w:val="009641C8"/>
    <w:rsid w:val="00964882"/>
    <w:rsid w:val="00964A76"/>
    <w:rsid w:val="00964B6A"/>
    <w:rsid w:val="00965C9D"/>
    <w:rsid w:val="0096670F"/>
    <w:rsid w:val="00967CEC"/>
    <w:rsid w:val="00971DEC"/>
    <w:rsid w:val="00971FFB"/>
    <w:rsid w:val="0097291B"/>
    <w:rsid w:val="009729AB"/>
    <w:rsid w:val="00973D1B"/>
    <w:rsid w:val="00974235"/>
    <w:rsid w:val="009746E5"/>
    <w:rsid w:val="00974E02"/>
    <w:rsid w:val="00974F8A"/>
    <w:rsid w:val="0097673B"/>
    <w:rsid w:val="00977974"/>
    <w:rsid w:val="0098006F"/>
    <w:rsid w:val="009803AA"/>
    <w:rsid w:val="00980584"/>
    <w:rsid w:val="009806A7"/>
    <w:rsid w:val="00980717"/>
    <w:rsid w:val="00981A28"/>
    <w:rsid w:val="0098283F"/>
    <w:rsid w:val="00983C6D"/>
    <w:rsid w:val="00984001"/>
    <w:rsid w:val="009851DA"/>
    <w:rsid w:val="00986F38"/>
    <w:rsid w:val="009914D6"/>
    <w:rsid w:val="00993750"/>
    <w:rsid w:val="00993855"/>
    <w:rsid w:val="00993BBD"/>
    <w:rsid w:val="0099441E"/>
    <w:rsid w:val="00994612"/>
    <w:rsid w:val="00994BDE"/>
    <w:rsid w:val="009958EB"/>
    <w:rsid w:val="009960DF"/>
    <w:rsid w:val="00996149"/>
    <w:rsid w:val="00997E37"/>
    <w:rsid w:val="00997E76"/>
    <w:rsid w:val="009A06DE"/>
    <w:rsid w:val="009A3008"/>
    <w:rsid w:val="009A3C9C"/>
    <w:rsid w:val="009A3E9F"/>
    <w:rsid w:val="009A52D0"/>
    <w:rsid w:val="009A6E9F"/>
    <w:rsid w:val="009A7E3B"/>
    <w:rsid w:val="009B18AF"/>
    <w:rsid w:val="009B1C68"/>
    <w:rsid w:val="009B27A9"/>
    <w:rsid w:val="009B3694"/>
    <w:rsid w:val="009B7AA4"/>
    <w:rsid w:val="009B7CFC"/>
    <w:rsid w:val="009C07FC"/>
    <w:rsid w:val="009C0D97"/>
    <w:rsid w:val="009C1608"/>
    <w:rsid w:val="009C2207"/>
    <w:rsid w:val="009C325E"/>
    <w:rsid w:val="009C4494"/>
    <w:rsid w:val="009C54E3"/>
    <w:rsid w:val="009C5663"/>
    <w:rsid w:val="009C61AC"/>
    <w:rsid w:val="009C6937"/>
    <w:rsid w:val="009C7094"/>
    <w:rsid w:val="009C7B59"/>
    <w:rsid w:val="009D0E66"/>
    <w:rsid w:val="009D28E5"/>
    <w:rsid w:val="009D2F22"/>
    <w:rsid w:val="009D32E7"/>
    <w:rsid w:val="009D3F50"/>
    <w:rsid w:val="009D5751"/>
    <w:rsid w:val="009D5D83"/>
    <w:rsid w:val="009D7FBD"/>
    <w:rsid w:val="009E106F"/>
    <w:rsid w:val="009E4A54"/>
    <w:rsid w:val="009E54FC"/>
    <w:rsid w:val="009E6A24"/>
    <w:rsid w:val="009E6C5C"/>
    <w:rsid w:val="009E752E"/>
    <w:rsid w:val="009F026B"/>
    <w:rsid w:val="009F47D1"/>
    <w:rsid w:val="009F56F4"/>
    <w:rsid w:val="009F5C68"/>
    <w:rsid w:val="009F5FB3"/>
    <w:rsid w:val="009F6356"/>
    <w:rsid w:val="00A001BD"/>
    <w:rsid w:val="00A00ABB"/>
    <w:rsid w:val="00A0104C"/>
    <w:rsid w:val="00A01E9A"/>
    <w:rsid w:val="00A021C7"/>
    <w:rsid w:val="00A032BE"/>
    <w:rsid w:val="00A03B72"/>
    <w:rsid w:val="00A046CC"/>
    <w:rsid w:val="00A04FD4"/>
    <w:rsid w:val="00A054DA"/>
    <w:rsid w:val="00A058B2"/>
    <w:rsid w:val="00A06265"/>
    <w:rsid w:val="00A0626C"/>
    <w:rsid w:val="00A10156"/>
    <w:rsid w:val="00A11F4D"/>
    <w:rsid w:val="00A1212D"/>
    <w:rsid w:val="00A130A9"/>
    <w:rsid w:val="00A14555"/>
    <w:rsid w:val="00A15E38"/>
    <w:rsid w:val="00A21700"/>
    <w:rsid w:val="00A21FD1"/>
    <w:rsid w:val="00A22440"/>
    <w:rsid w:val="00A22840"/>
    <w:rsid w:val="00A23A2F"/>
    <w:rsid w:val="00A26D45"/>
    <w:rsid w:val="00A30D53"/>
    <w:rsid w:val="00A31A1F"/>
    <w:rsid w:val="00A327DA"/>
    <w:rsid w:val="00A32AD1"/>
    <w:rsid w:val="00A32EDD"/>
    <w:rsid w:val="00A34953"/>
    <w:rsid w:val="00A35EB0"/>
    <w:rsid w:val="00A36687"/>
    <w:rsid w:val="00A36F85"/>
    <w:rsid w:val="00A37582"/>
    <w:rsid w:val="00A40734"/>
    <w:rsid w:val="00A4073A"/>
    <w:rsid w:val="00A41FB6"/>
    <w:rsid w:val="00A4259E"/>
    <w:rsid w:val="00A437DB"/>
    <w:rsid w:val="00A43D2C"/>
    <w:rsid w:val="00A43FC4"/>
    <w:rsid w:val="00A446E0"/>
    <w:rsid w:val="00A456B5"/>
    <w:rsid w:val="00A459F2"/>
    <w:rsid w:val="00A46A54"/>
    <w:rsid w:val="00A47759"/>
    <w:rsid w:val="00A47AF4"/>
    <w:rsid w:val="00A50009"/>
    <w:rsid w:val="00A50D27"/>
    <w:rsid w:val="00A51A0A"/>
    <w:rsid w:val="00A5238F"/>
    <w:rsid w:val="00A52556"/>
    <w:rsid w:val="00A53C7E"/>
    <w:rsid w:val="00A548A0"/>
    <w:rsid w:val="00A55039"/>
    <w:rsid w:val="00A55A44"/>
    <w:rsid w:val="00A562AF"/>
    <w:rsid w:val="00A6039B"/>
    <w:rsid w:val="00A6379D"/>
    <w:rsid w:val="00A638A6"/>
    <w:rsid w:val="00A63B07"/>
    <w:rsid w:val="00A63EF1"/>
    <w:rsid w:val="00A64269"/>
    <w:rsid w:val="00A6484E"/>
    <w:rsid w:val="00A66CD4"/>
    <w:rsid w:val="00A671BA"/>
    <w:rsid w:val="00A6740F"/>
    <w:rsid w:val="00A70591"/>
    <w:rsid w:val="00A71C30"/>
    <w:rsid w:val="00A73EEC"/>
    <w:rsid w:val="00A75171"/>
    <w:rsid w:val="00A75F72"/>
    <w:rsid w:val="00A7600B"/>
    <w:rsid w:val="00A77C21"/>
    <w:rsid w:val="00A77DEC"/>
    <w:rsid w:val="00A77F2A"/>
    <w:rsid w:val="00A80C2D"/>
    <w:rsid w:val="00A812B7"/>
    <w:rsid w:val="00A8131E"/>
    <w:rsid w:val="00A827E6"/>
    <w:rsid w:val="00A874B9"/>
    <w:rsid w:val="00A874D4"/>
    <w:rsid w:val="00A902B7"/>
    <w:rsid w:val="00A9069A"/>
    <w:rsid w:val="00A90759"/>
    <w:rsid w:val="00A92156"/>
    <w:rsid w:val="00A9280A"/>
    <w:rsid w:val="00A92B2E"/>
    <w:rsid w:val="00A92BFC"/>
    <w:rsid w:val="00A94B91"/>
    <w:rsid w:val="00A953B9"/>
    <w:rsid w:val="00A959A6"/>
    <w:rsid w:val="00A95E89"/>
    <w:rsid w:val="00A962A7"/>
    <w:rsid w:val="00A964FE"/>
    <w:rsid w:val="00A97627"/>
    <w:rsid w:val="00A9764E"/>
    <w:rsid w:val="00A977D2"/>
    <w:rsid w:val="00AA0D78"/>
    <w:rsid w:val="00AA4712"/>
    <w:rsid w:val="00AA4C94"/>
    <w:rsid w:val="00AA54E2"/>
    <w:rsid w:val="00AA56BC"/>
    <w:rsid w:val="00AA5844"/>
    <w:rsid w:val="00AA73D7"/>
    <w:rsid w:val="00AB0618"/>
    <w:rsid w:val="00AB0F27"/>
    <w:rsid w:val="00AB217C"/>
    <w:rsid w:val="00AB28B7"/>
    <w:rsid w:val="00AB37EE"/>
    <w:rsid w:val="00AB41A5"/>
    <w:rsid w:val="00AB5DE6"/>
    <w:rsid w:val="00AB6EA1"/>
    <w:rsid w:val="00AB7D59"/>
    <w:rsid w:val="00AC10FA"/>
    <w:rsid w:val="00AC214F"/>
    <w:rsid w:val="00AC2AE9"/>
    <w:rsid w:val="00AC3FAA"/>
    <w:rsid w:val="00AC4416"/>
    <w:rsid w:val="00AC454E"/>
    <w:rsid w:val="00AC47D3"/>
    <w:rsid w:val="00AC559B"/>
    <w:rsid w:val="00AC62A2"/>
    <w:rsid w:val="00AC6C78"/>
    <w:rsid w:val="00AD14B3"/>
    <w:rsid w:val="00AD36B2"/>
    <w:rsid w:val="00AD4288"/>
    <w:rsid w:val="00AD465D"/>
    <w:rsid w:val="00AD4CB1"/>
    <w:rsid w:val="00AD5535"/>
    <w:rsid w:val="00AD64D1"/>
    <w:rsid w:val="00AE01DB"/>
    <w:rsid w:val="00AE04CA"/>
    <w:rsid w:val="00AE0C94"/>
    <w:rsid w:val="00AE0EFA"/>
    <w:rsid w:val="00AE4C70"/>
    <w:rsid w:val="00AE4F54"/>
    <w:rsid w:val="00AE6300"/>
    <w:rsid w:val="00AE6E0E"/>
    <w:rsid w:val="00AE7C77"/>
    <w:rsid w:val="00AF1787"/>
    <w:rsid w:val="00AF1CDE"/>
    <w:rsid w:val="00AF3217"/>
    <w:rsid w:val="00AF549E"/>
    <w:rsid w:val="00B00802"/>
    <w:rsid w:val="00B0092F"/>
    <w:rsid w:val="00B01820"/>
    <w:rsid w:val="00B02531"/>
    <w:rsid w:val="00B02FA1"/>
    <w:rsid w:val="00B03DDC"/>
    <w:rsid w:val="00B05700"/>
    <w:rsid w:val="00B06666"/>
    <w:rsid w:val="00B06E45"/>
    <w:rsid w:val="00B12306"/>
    <w:rsid w:val="00B12BF5"/>
    <w:rsid w:val="00B13CEC"/>
    <w:rsid w:val="00B14163"/>
    <w:rsid w:val="00B1507B"/>
    <w:rsid w:val="00B15B58"/>
    <w:rsid w:val="00B15EDE"/>
    <w:rsid w:val="00B15F23"/>
    <w:rsid w:val="00B16007"/>
    <w:rsid w:val="00B161B9"/>
    <w:rsid w:val="00B175B8"/>
    <w:rsid w:val="00B17F8E"/>
    <w:rsid w:val="00B21718"/>
    <w:rsid w:val="00B21994"/>
    <w:rsid w:val="00B23E45"/>
    <w:rsid w:val="00B24D38"/>
    <w:rsid w:val="00B24E10"/>
    <w:rsid w:val="00B24FB8"/>
    <w:rsid w:val="00B25F51"/>
    <w:rsid w:val="00B26232"/>
    <w:rsid w:val="00B262D0"/>
    <w:rsid w:val="00B26495"/>
    <w:rsid w:val="00B2656C"/>
    <w:rsid w:val="00B26D22"/>
    <w:rsid w:val="00B3019D"/>
    <w:rsid w:val="00B32E36"/>
    <w:rsid w:val="00B33D32"/>
    <w:rsid w:val="00B34BD0"/>
    <w:rsid w:val="00B35FBB"/>
    <w:rsid w:val="00B365F5"/>
    <w:rsid w:val="00B40006"/>
    <w:rsid w:val="00B40A4E"/>
    <w:rsid w:val="00B41372"/>
    <w:rsid w:val="00B416EE"/>
    <w:rsid w:val="00B44637"/>
    <w:rsid w:val="00B44EC1"/>
    <w:rsid w:val="00B45634"/>
    <w:rsid w:val="00B46341"/>
    <w:rsid w:val="00B5133B"/>
    <w:rsid w:val="00B516AC"/>
    <w:rsid w:val="00B51B46"/>
    <w:rsid w:val="00B52480"/>
    <w:rsid w:val="00B53DE3"/>
    <w:rsid w:val="00B554EC"/>
    <w:rsid w:val="00B5552B"/>
    <w:rsid w:val="00B55900"/>
    <w:rsid w:val="00B55C88"/>
    <w:rsid w:val="00B55F89"/>
    <w:rsid w:val="00B57633"/>
    <w:rsid w:val="00B57D8D"/>
    <w:rsid w:val="00B60384"/>
    <w:rsid w:val="00B6069F"/>
    <w:rsid w:val="00B60725"/>
    <w:rsid w:val="00B61161"/>
    <w:rsid w:val="00B626E0"/>
    <w:rsid w:val="00B65A2C"/>
    <w:rsid w:val="00B6601A"/>
    <w:rsid w:val="00B66535"/>
    <w:rsid w:val="00B6730D"/>
    <w:rsid w:val="00B70638"/>
    <w:rsid w:val="00B724B2"/>
    <w:rsid w:val="00B753A2"/>
    <w:rsid w:val="00B76CA9"/>
    <w:rsid w:val="00B814E1"/>
    <w:rsid w:val="00B81BBF"/>
    <w:rsid w:val="00B820FE"/>
    <w:rsid w:val="00B82BBB"/>
    <w:rsid w:val="00B83A0E"/>
    <w:rsid w:val="00B85864"/>
    <w:rsid w:val="00B85BA7"/>
    <w:rsid w:val="00B869C3"/>
    <w:rsid w:val="00B86E89"/>
    <w:rsid w:val="00B87820"/>
    <w:rsid w:val="00B87B40"/>
    <w:rsid w:val="00B905EE"/>
    <w:rsid w:val="00B913DD"/>
    <w:rsid w:val="00B91573"/>
    <w:rsid w:val="00B9183F"/>
    <w:rsid w:val="00B91F15"/>
    <w:rsid w:val="00B9256D"/>
    <w:rsid w:val="00B936C1"/>
    <w:rsid w:val="00B95530"/>
    <w:rsid w:val="00BA0C9A"/>
    <w:rsid w:val="00BA0CE2"/>
    <w:rsid w:val="00BA1128"/>
    <w:rsid w:val="00BA1C52"/>
    <w:rsid w:val="00BA2535"/>
    <w:rsid w:val="00BA30B4"/>
    <w:rsid w:val="00BA3B77"/>
    <w:rsid w:val="00BA3FEF"/>
    <w:rsid w:val="00BA45B4"/>
    <w:rsid w:val="00BA5BEE"/>
    <w:rsid w:val="00BA6225"/>
    <w:rsid w:val="00BA7759"/>
    <w:rsid w:val="00BB037A"/>
    <w:rsid w:val="00BB1CC3"/>
    <w:rsid w:val="00BB2B2F"/>
    <w:rsid w:val="00BB2F64"/>
    <w:rsid w:val="00BB310B"/>
    <w:rsid w:val="00BB58DF"/>
    <w:rsid w:val="00BB7D11"/>
    <w:rsid w:val="00BB7EAC"/>
    <w:rsid w:val="00BC0554"/>
    <w:rsid w:val="00BC21AA"/>
    <w:rsid w:val="00BC32A9"/>
    <w:rsid w:val="00BC4BAE"/>
    <w:rsid w:val="00BC5F63"/>
    <w:rsid w:val="00BC5FF5"/>
    <w:rsid w:val="00BC7161"/>
    <w:rsid w:val="00BD012B"/>
    <w:rsid w:val="00BD0258"/>
    <w:rsid w:val="00BD06D0"/>
    <w:rsid w:val="00BD0BCE"/>
    <w:rsid w:val="00BD178B"/>
    <w:rsid w:val="00BD1E47"/>
    <w:rsid w:val="00BD1F65"/>
    <w:rsid w:val="00BD2698"/>
    <w:rsid w:val="00BD2928"/>
    <w:rsid w:val="00BD492C"/>
    <w:rsid w:val="00BD5307"/>
    <w:rsid w:val="00BD548C"/>
    <w:rsid w:val="00BD6839"/>
    <w:rsid w:val="00BD70B3"/>
    <w:rsid w:val="00BD7A34"/>
    <w:rsid w:val="00BE178F"/>
    <w:rsid w:val="00BE1C8E"/>
    <w:rsid w:val="00BE237A"/>
    <w:rsid w:val="00BE256D"/>
    <w:rsid w:val="00BE2809"/>
    <w:rsid w:val="00BE49D0"/>
    <w:rsid w:val="00BE5CD4"/>
    <w:rsid w:val="00BE6479"/>
    <w:rsid w:val="00BE6B48"/>
    <w:rsid w:val="00BF12F8"/>
    <w:rsid w:val="00BF21DF"/>
    <w:rsid w:val="00BF29E8"/>
    <w:rsid w:val="00BF34C9"/>
    <w:rsid w:val="00BF3766"/>
    <w:rsid w:val="00BF3826"/>
    <w:rsid w:val="00BF4021"/>
    <w:rsid w:val="00BF4BE4"/>
    <w:rsid w:val="00BF524F"/>
    <w:rsid w:val="00BF7320"/>
    <w:rsid w:val="00BF787B"/>
    <w:rsid w:val="00BF7CB0"/>
    <w:rsid w:val="00C01167"/>
    <w:rsid w:val="00C0154C"/>
    <w:rsid w:val="00C02428"/>
    <w:rsid w:val="00C02DCE"/>
    <w:rsid w:val="00C0438D"/>
    <w:rsid w:val="00C04779"/>
    <w:rsid w:val="00C04DD9"/>
    <w:rsid w:val="00C0621D"/>
    <w:rsid w:val="00C0690E"/>
    <w:rsid w:val="00C075CB"/>
    <w:rsid w:val="00C07D8E"/>
    <w:rsid w:val="00C07F7B"/>
    <w:rsid w:val="00C10D2B"/>
    <w:rsid w:val="00C10D3F"/>
    <w:rsid w:val="00C10F60"/>
    <w:rsid w:val="00C114A3"/>
    <w:rsid w:val="00C140F8"/>
    <w:rsid w:val="00C14561"/>
    <w:rsid w:val="00C148FE"/>
    <w:rsid w:val="00C14BA4"/>
    <w:rsid w:val="00C152B2"/>
    <w:rsid w:val="00C1539A"/>
    <w:rsid w:val="00C16063"/>
    <w:rsid w:val="00C16460"/>
    <w:rsid w:val="00C20E1C"/>
    <w:rsid w:val="00C2158B"/>
    <w:rsid w:val="00C236E8"/>
    <w:rsid w:val="00C24CAA"/>
    <w:rsid w:val="00C25511"/>
    <w:rsid w:val="00C27BC6"/>
    <w:rsid w:val="00C27F69"/>
    <w:rsid w:val="00C3002B"/>
    <w:rsid w:val="00C3013A"/>
    <w:rsid w:val="00C307F3"/>
    <w:rsid w:val="00C32AD5"/>
    <w:rsid w:val="00C32DEC"/>
    <w:rsid w:val="00C333FE"/>
    <w:rsid w:val="00C33421"/>
    <w:rsid w:val="00C3347D"/>
    <w:rsid w:val="00C33695"/>
    <w:rsid w:val="00C34773"/>
    <w:rsid w:val="00C34868"/>
    <w:rsid w:val="00C34F09"/>
    <w:rsid w:val="00C35E2D"/>
    <w:rsid w:val="00C36327"/>
    <w:rsid w:val="00C36BF3"/>
    <w:rsid w:val="00C36E1E"/>
    <w:rsid w:val="00C374EE"/>
    <w:rsid w:val="00C379AE"/>
    <w:rsid w:val="00C40194"/>
    <w:rsid w:val="00C4067F"/>
    <w:rsid w:val="00C40AE4"/>
    <w:rsid w:val="00C40D0C"/>
    <w:rsid w:val="00C4106C"/>
    <w:rsid w:val="00C41F54"/>
    <w:rsid w:val="00C426B0"/>
    <w:rsid w:val="00C43826"/>
    <w:rsid w:val="00C44A2D"/>
    <w:rsid w:val="00C44CCE"/>
    <w:rsid w:val="00C45D2F"/>
    <w:rsid w:val="00C45F79"/>
    <w:rsid w:val="00C462AC"/>
    <w:rsid w:val="00C469FD"/>
    <w:rsid w:val="00C46CDD"/>
    <w:rsid w:val="00C47ED6"/>
    <w:rsid w:val="00C47FF7"/>
    <w:rsid w:val="00C51712"/>
    <w:rsid w:val="00C5224F"/>
    <w:rsid w:val="00C52867"/>
    <w:rsid w:val="00C52932"/>
    <w:rsid w:val="00C52C62"/>
    <w:rsid w:val="00C530F1"/>
    <w:rsid w:val="00C531F5"/>
    <w:rsid w:val="00C53375"/>
    <w:rsid w:val="00C53692"/>
    <w:rsid w:val="00C53C9B"/>
    <w:rsid w:val="00C54E19"/>
    <w:rsid w:val="00C551A7"/>
    <w:rsid w:val="00C560BE"/>
    <w:rsid w:val="00C5722D"/>
    <w:rsid w:val="00C57335"/>
    <w:rsid w:val="00C602A0"/>
    <w:rsid w:val="00C6102A"/>
    <w:rsid w:val="00C61375"/>
    <w:rsid w:val="00C61869"/>
    <w:rsid w:val="00C61C6D"/>
    <w:rsid w:val="00C639DE"/>
    <w:rsid w:val="00C63EA2"/>
    <w:rsid w:val="00C64433"/>
    <w:rsid w:val="00C67C37"/>
    <w:rsid w:val="00C70016"/>
    <w:rsid w:val="00C7091A"/>
    <w:rsid w:val="00C71091"/>
    <w:rsid w:val="00C72AB9"/>
    <w:rsid w:val="00C739BF"/>
    <w:rsid w:val="00C74586"/>
    <w:rsid w:val="00C74964"/>
    <w:rsid w:val="00C74F1A"/>
    <w:rsid w:val="00C759B5"/>
    <w:rsid w:val="00C76B94"/>
    <w:rsid w:val="00C815E8"/>
    <w:rsid w:val="00C81BA3"/>
    <w:rsid w:val="00C82A4C"/>
    <w:rsid w:val="00C83C77"/>
    <w:rsid w:val="00C84B96"/>
    <w:rsid w:val="00C84D59"/>
    <w:rsid w:val="00C85779"/>
    <w:rsid w:val="00C87556"/>
    <w:rsid w:val="00C90206"/>
    <w:rsid w:val="00C9081F"/>
    <w:rsid w:val="00C908E5"/>
    <w:rsid w:val="00C90A19"/>
    <w:rsid w:val="00C90F98"/>
    <w:rsid w:val="00C92E3B"/>
    <w:rsid w:val="00C94BAD"/>
    <w:rsid w:val="00C97305"/>
    <w:rsid w:val="00CA09A8"/>
    <w:rsid w:val="00CA0BB7"/>
    <w:rsid w:val="00CA1983"/>
    <w:rsid w:val="00CA1EF4"/>
    <w:rsid w:val="00CA24D3"/>
    <w:rsid w:val="00CA2721"/>
    <w:rsid w:val="00CA2811"/>
    <w:rsid w:val="00CA3338"/>
    <w:rsid w:val="00CA51AB"/>
    <w:rsid w:val="00CA638D"/>
    <w:rsid w:val="00CA655D"/>
    <w:rsid w:val="00CA72E4"/>
    <w:rsid w:val="00CA778D"/>
    <w:rsid w:val="00CB0FE7"/>
    <w:rsid w:val="00CB10D6"/>
    <w:rsid w:val="00CB231C"/>
    <w:rsid w:val="00CB49B5"/>
    <w:rsid w:val="00CB5779"/>
    <w:rsid w:val="00CB59AC"/>
    <w:rsid w:val="00CC0A46"/>
    <w:rsid w:val="00CC1415"/>
    <w:rsid w:val="00CC1A1F"/>
    <w:rsid w:val="00CC286B"/>
    <w:rsid w:val="00CC2ACF"/>
    <w:rsid w:val="00CC3C88"/>
    <w:rsid w:val="00CC47DF"/>
    <w:rsid w:val="00CC58CB"/>
    <w:rsid w:val="00CC5C6A"/>
    <w:rsid w:val="00CC61EC"/>
    <w:rsid w:val="00CC6358"/>
    <w:rsid w:val="00CC6362"/>
    <w:rsid w:val="00CC704B"/>
    <w:rsid w:val="00CC7568"/>
    <w:rsid w:val="00CC7BB0"/>
    <w:rsid w:val="00CD0B37"/>
    <w:rsid w:val="00CD26BA"/>
    <w:rsid w:val="00CD3D5A"/>
    <w:rsid w:val="00CD4BE8"/>
    <w:rsid w:val="00CD79D7"/>
    <w:rsid w:val="00CE067E"/>
    <w:rsid w:val="00CE38D5"/>
    <w:rsid w:val="00CE71A7"/>
    <w:rsid w:val="00CE71FC"/>
    <w:rsid w:val="00CE7FB9"/>
    <w:rsid w:val="00CF089B"/>
    <w:rsid w:val="00CF1DE1"/>
    <w:rsid w:val="00CF28D4"/>
    <w:rsid w:val="00CF2C4C"/>
    <w:rsid w:val="00CF440B"/>
    <w:rsid w:val="00CF4C70"/>
    <w:rsid w:val="00CF5AEF"/>
    <w:rsid w:val="00CF657A"/>
    <w:rsid w:val="00CF73FC"/>
    <w:rsid w:val="00D01594"/>
    <w:rsid w:val="00D017E7"/>
    <w:rsid w:val="00D029C4"/>
    <w:rsid w:val="00D03A48"/>
    <w:rsid w:val="00D04400"/>
    <w:rsid w:val="00D04DC1"/>
    <w:rsid w:val="00D05399"/>
    <w:rsid w:val="00D07E78"/>
    <w:rsid w:val="00D104FB"/>
    <w:rsid w:val="00D12C67"/>
    <w:rsid w:val="00D1322A"/>
    <w:rsid w:val="00D13702"/>
    <w:rsid w:val="00D1378A"/>
    <w:rsid w:val="00D15B8D"/>
    <w:rsid w:val="00D179F4"/>
    <w:rsid w:val="00D22B4A"/>
    <w:rsid w:val="00D22E39"/>
    <w:rsid w:val="00D23C5E"/>
    <w:rsid w:val="00D24B48"/>
    <w:rsid w:val="00D26E81"/>
    <w:rsid w:val="00D270EF"/>
    <w:rsid w:val="00D2741E"/>
    <w:rsid w:val="00D3160D"/>
    <w:rsid w:val="00D31E14"/>
    <w:rsid w:val="00D330A0"/>
    <w:rsid w:val="00D36C54"/>
    <w:rsid w:val="00D36E20"/>
    <w:rsid w:val="00D37D8B"/>
    <w:rsid w:val="00D40544"/>
    <w:rsid w:val="00D40A05"/>
    <w:rsid w:val="00D42066"/>
    <w:rsid w:val="00D4212C"/>
    <w:rsid w:val="00D42240"/>
    <w:rsid w:val="00D4261D"/>
    <w:rsid w:val="00D4284F"/>
    <w:rsid w:val="00D43EE7"/>
    <w:rsid w:val="00D443A8"/>
    <w:rsid w:val="00D452D6"/>
    <w:rsid w:val="00D46EB6"/>
    <w:rsid w:val="00D476B5"/>
    <w:rsid w:val="00D476B8"/>
    <w:rsid w:val="00D47C6D"/>
    <w:rsid w:val="00D50FBF"/>
    <w:rsid w:val="00D5156B"/>
    <w:rsid w:val="00D51934"/>
    <w:rsid w:val="00D51B76"/>
    <w:rsid w:val="00D53921"/>
    <w:rsid w:val="00D548BB"/>
    <w:rsid w:val="00D55009"/>
    <w:rsid w:val="00D5570E"/>
    <w:rsid w:val="00D55EA7"/>
    <w:rsid w:val="00D56B79"/>
    <w:rsid w:val="00D56E34"/>
    <w:rsid w:val="00D62BC9"/>
    <w:rsid w:val="00D6538D"/>
    <w:rsid w:val="00D6552F"/>
    <w:rsid w:val="00D65CBE"/>
    <w:rsid w:val="00D65DEB"/>
    <w:rsid w:val="00D668B0"/>
    <w:rsid w:val="00D66B7F"/>
    <w:rsid w:val="00D66FBC"/>
    <w:rsid w:val="00D70B79"/>
    <w:rsid w:val="00D71956"/>
    <w:rsid w:val="00D72131"/>
    <w:rsid w:val="00D73BF7"/>
    <w:rsid w:val="00D74103"/>
    <w:rsid w:val="00D744B3"/>
    <w:rsid w:val="00D7596E"/>
    <w:rsid w:val="00D76F4A"/>
    <w:rsid w:val="00D7798C"/>
    <w:rsid w:val="00D77AC6"/>
    <w:rsid w:val="00D80BA1"/>
    <w:rsid w:val="00D81A4C"/>
    <w:rsid w:val="00D81C70"/>
    <w:rsid w:val="00D82418"/>
    <w:rsid w:val="00D8630D"/>
    <w:rsid w:val="00D90B54"/>
    <w:rsid w:val="00D91D82"/>
    <w:rsid w:val="00D92CE6"/>
    <w:rsid w:val="00D93ABD"/>
    <w:rsid w:val="00D94B06"/>
    <w:rsid w:val="00D963FD"/>
    <w:rsid w:val="00D97476"/>
    <w:rsid w:val="00D979F3"/>
    <w:rsid w:val="00DA0074"/>
    <w:rsid w:val="00DA0230"/>
    <w:rsid w:val="00DA0E4D"/>
    <w:rsid w:val="00DA0E70"/>
    <w:rsid w:val="00DA1A6C"/>
    <w:rsid w:val="00DA28D7"/>
    <w:rsid w:val="00DA4785"/>
    <w:rsid w:val="00DA4C1A"/>
    <w:rsid w:val="00DA5B19"/>
    <w:rsid w:val="00DA6335"/>
    <w:rsid w:val="00DA6A19"/>
    <w:rsid w:val="00DA6DF4"/>
    <w:rsid w:val="00DA7AFC"/>
    <w:rsid w:val="00DB0A86"/>
    <w:rsid w:val="00DB1A36"/>
    <w:rsid w:val="00DB1A6C"/>
    <w:rsid w:val="00DB1B1D"/>
    <w:rsid w:val="00DB2C6B"/>
    <w:rsid w:val="00DB32E0"/>
    <w:rsid w:val="00DB3339"/>
    <w:rsid w:val="00DB3E6D"/>
    <w:rsid w:val="00DB488E"/>
    <w:rsid w:val="00DB5A10"/>
    <w:rsid w:val="00DB7108"/>
    <w:rsid w:val="00DB7338"/>
    <w:rsid w:val="00DC0A53"/>
    <w:rsid w:val="00DC0D9A"/>
    <w:rsid w:val="00DC2247"/>
    <w:rsid w:val="00DC5761"/>
    <w:rsid w:val="00DC5BDE"/>
    <w:rsid w:val="00DC60B4"/>
    <w:rsid w:val="00DC6CFA"/>
    <w:rsid w:val="00DC7904"/>
    <w:rsid w:val="00DD01BC"/>
    <w:rsid w:val="00DD32F3"/>
    <w:rsid w:val="00DD3A18"/>
    <w:rsid w:val="00DD3CE3"/>
    <w:rsid w:val="00DD3FC1"/>
    <w:rsid w:val="00DD4640"/>
    <w:rsid w:val="00DD52BD"/>
    <w:rsid w:val="00DD54FE"/>
    <w:rsid w:val="00DD55A8"/>
    <w:rsid w:val="00DD6D82"/>
    <w:rsid w:val="00DD71FB"/>
    <w:rsid w:val="00DE084C"/>
    <w:rsid w:val="00DE181E"/>
    <w:rsid w:val="00DE1B43"/>
    <w:rsid w:val="00DE28BB"/>
    <w:rsid w:val="00DE30E5"/>
    <w:rsid w:val="00DE3E7B"/>
    <w:rsid w:val="00DE4834"/>
    <w:rsid w:val="00DE65B6"/>
    <w:rsid w:val="00DE6904"/>
    <w:rsid w:val="00DE6B9D"/>
    <w:rsid w:val="00DE7337"/>
    <w:rsid w:val="00DF1C3D"/>
    <w:rsid w:val="00DF1E10"/>
    <w:rsid w:val="00DF2152"/>
    <w:rsid w:val="00DF23A5"/>
    <w:rsid w:val="00DF284E"/>
    <w:rsid w:val="00DF3113"/>
    <w:rsid w:val="00DF37E4"/>
    <w:rsid w:val="00DF44DE"/>
    <w:rsid w:val="00DF459E"/>
    <w:rsid w:val="00DF5504"/>
    <w:rsid w:val="00DF6E07"/>
    <w:rsid w:val="00E020DA"/>
    <w:rsid w:val="00E023B8"/>
    <w:rsid w:val="00E0412C"/>
    <w:rsid w:val="00E04AB1"/>
    <w:rsid w:val="00E05F92"/>
    <w:rsid w:val="00E1004A"/>
    <w:rsid w:val="00E10C13"/>
    <w:rsid w:val="00E130BB"/>
    <w:rsid w:val="00E1339B"/>
    <w:rsid w:val="00E133CB"/>
    <w:rsid w:val="00E1355B"/>
    <w:rsid w:val="00E1368A"/>
    <w:rsid w:val="00E137C4"/>
    <w:rsid w:val="00E1608F"/>
    <w:rsid w:val="00E20339"/>
    <w:rsid w:val="00E20B6A"/>
    <w:rsid w:val="00E2331D"/>
    <w:rsid w:val="00E2403F"/>
    <w:rsid w:val="00E24D51"/>
    <w:rsid w:val="00E25ABE"/>
    <w:rsid w:val="00E265D2"/>
    <w:rsid w:val="00E26F3A"/>
    <w:rsid w:val="00E27129"/>
    <w:rsid w:val="00E27CE1"/>
    <w:rsid w:val="00E309DC"/>
    <w:rsid w:val="00E3359B"/>
    <w:rsid w:val="00E34F73"/>
    <w:rsid w:val="00E35164"/>
    <w:rsid w:val="00E35A42"/>
    <w:rsid w:val="00E35D9F"/>
    <w:rsid w:val="00E40093"/>
    <w:rsid w:val="00E4054D"/>
    <w:rsid w:val="00E40B0F"/>
    <w:rsid w:val="00E40BAF"/>
    <w:rsid w:val="00E417E3"/>
    <w:rsid w:val="00E458FD"/>
    <w:rsid w:val="00E47803"/>
    <w:rsid w:val="00E47D39"/>
    <w:rsid w:val="00E47F58"/>
    <w:rsid w:val="00E507CB"/>
    <w:rsid w:val="00E5081D"/>
    <w:rsid w:val="00E51FD3"/>
    <w:rsid w:val="00E5358B"/>
    <w:rsid w:val="00E54170"/>
    <w:rsid w:val="00E559F2"/>
    <w:rsid w:val="00E5610C"/>
    <w:rsid w:val="00E6097A"/>
    <w:rsid w:val="00E61684"/>
    <w:rsid w:val="00E6189F"/>
    <w:rsid w:val="00E61B1F"/>
    <w:rsid w:val="00E61C3D"/>
    <w:rsid w:val="00E61D64"/>
    <w:rsid w:val="00E61F1C"/>
    <w:rsid w:val="00E62B63"/>
    <w:rsid w:val="00E6403A"/>
    <w:rsid w:val="00E65145"/>
    <w:rsid w:val="00E65BC0"/>
    <w:rsid w:val="00E65CAA"/>
    <w:rsid w:val="00E65E9A"/>
    <w:rsid w:val="00E66C4A"/>
    <w:rsid w:val="00E67835"/>
    <w:rsid w:val="00E71110"/>
    <w:rsid w:val="00E73E14"/>
    <w:rsid w:val="00E748AE"/>
    <w:rsid w:val="00E755EF"/>
    <w:rsid w:val="00E75FD6"/>
    <w:rsid w:val="00E7627F"/>
    <w:rsid w:val="00E76419"/>
    <w:rsid w:val="00E804AD"/>
    <w:rsid w:val="00E80820"/>
    <w:rsid w:val="00E825E3"/>
    <w:rsid w:val="00E82E47"/>
    <w:rsid w:val="00E845E4"/>
    <w:rsid w:val="00E8630A"/>
    <w:rsid w:val="00E90342"/>
    <w:rsid w:val="00E909DD"/>
    <w:rsid w:val="00E9106D"/>
    <w:rsid w:val="00E934ED"/>
    <w:rsid w:val="00E93619"/>
    <w:rsid w:val="00E937F5"/>
    <w:rsid w:val="00E940AD"/>
    <w:rsid w:val="00E95A48"/>
    <w:rsid w:val="00E97119"/>
    <w:rsid w:val="00E97135"/>
    <w:rsid w:val="00EA0421"/>
    <w:rsid w:val="00EA2185"/>
    <w:rsid w:val="00EA22F1"/>
    <w:rsid w:val="00EA2DB1"/>
    <w:rsid w:val="00EA54B3"/>
    <w:rsid w:val="00EA5836"/>
    <w:rsid w:val="00EA6142"/>
    <w:rsid w:val="00EA74D1"/>
    <w:rsid w:val="00EB12EC"/>
    <w:rsid w:val="00EB375C"/>
    <w:rsid w:val="00EB3E25"/>
    <w:rsid w:val="00EB4D7C"/>
    <w:rsid w:val="00EB4F84"/>
    <w:rsid w:val="00EB72A4"/>
    <w:rsid w:val="00EB7C0C"/>
    <w:rsid w:val="00EC108F"/>
    <w:rsid w:val="00EC111C"/>
    <w:rsid w:val="00EC52A6"/>
    <w:rsid w:val="00EC5555"/>
    <w:rsid w:val="00EC5EE6"/>
    <w:rsid w:val="00EC7286"/>
    <w:rsid w:val="00EC748B"/>
    <w:rsid w:val="00EC75DE"/>
    <w:rsid w:val="00ED0316"/>
    <w:rsid w:val="00ED3A7E"/>
    <w:rsid w:val="00ED4CD4"/>
    <w:rsid w:val="00ED5D99"/>
    <w:rsid w:val="00ED6114"/>
    <w:rsid w:val="00ED6838"/>
    <w:rsid w:val="00ED71D5"/>
    <w:rsid w:val="00EE1509"/>
    <w:rsid w:val="00EE33FC"/>
    <w:rsid w:val="00EE50EF"/>
    <w:rsid w:val="00EE5996"/>
    <w:rsid w:val="00EE62C9"/>
    <w:rsid w:val="00EE6DD4"/>
    <w:rsid w:val="00EE713C"/>
    <w:rsid w:val="00EE7F73"/>
    <w:rsid w:val="00EF105F"/>
    <w:rsid w:val="00EF1457"/>
    <w:rsid w:val="00EF29FD"/>
    <w:rsid w:val="00EF3316"/>
    <w:rsid w:val="00EF34E7"/>
    <w:rsid w:val="00EF381E"/>
    <w:rsid w:val="00EF3CE0"/>
    <w:rsid w:val="00EF4D35"/>
    <w:rsid w:val="00EF6121"/>
    <w:rsid w:val="00EF6540"/>
    <w:rsid w:val="00EF6F4F"/>
    <w:rsid w:val="00EF7483"/>
    <w:rsid w:val="00EF7F80"/>
    <w:rsid w:val="00F0031F"/>
    <w:rsid w:val="00F0226B"/>
    <w:rsid w:val="00F02758"/>
    <w:rsid w:val="00F03989"/>
    <w:rsid w:val="00F0496E"/>
    <w:rsid w:val="00F04E5E"/>
    <w:rsid w:val="00F057F8"/>
    <w:rsid w:val="00F05A8C"/>
    <w:rsid w:val="00F10842"/>
    <w:rsid w:val="00F10D9E"/>
    <w:rsid w:val="00F10DD6"/>
    <w:rsid w:val="00F11524"/>
    <w:rsid w:val="00F11C90"/>
    <w:rsid w:val="00F12160"/>
    <w:rsid w:val="00F14FD5"/>
    <w:rsid w:val="00F15F08"/>
    <w:rsid w:val="00F17E34"/>
    <w:rsid w:val="00F20026"/>
    <w:rsid w:val="00F2042D"/>
    <w:rsid w:val="00F20438"/>
    <w:rsid w:val="00F20C11"/>
    <w:rsid w:val="00F22241"/>
    <w:rsid w:val="00F22F65"/>
    <w:rsid w:val="00F232EC"/>
    <w:rsid w:val="00F23612"/>
    <w:rsid w:val="00F2395B"/>
    <w:rsid w:val="00F23C6F"/>
    <w:rsid w:val="00F25308"/>
    <w:rsid w:val="00F25349"/>
    <w:rsid w:val="00F25425"/>
    <w:rsid w:val="00F30E5E"/>
    <w:rsid w:val="00F30E7F"/>
    <w:rsid w:val="00F320B3"/>
    <w:rsid w:val="00F33E20"/>
    <w:rsid w:val="00F33E7E"/>
    <w:rsid w:val="00F34217"/>
    <w:rsid w:val="00F35806"/>
    <w:rsid w:val="00F37487"/>
    <w:rsid w:val="00F37655"/>
    <w:rsid w:val="00F4111D"/>
    <w:rsid w:val="00F415E5"/>
    <w:rsid w:val="00F41C38"/>
    <w:rsid w:val="00F43A67"/>
    <w:rsid w:val="00F43C1E"/>
    <w:rsid w:val="00F44F48"/>
    <w:rsid w:val="00F4507D"/>
    <w:rsid w:val="00F4620A"/>
    <w:rsid w:val="00F46F20"/>
    <w:rsid w:val="00F47A4D"/>
    <w:rsid w:val="00F47FD5"/>
    <w:rsid w:val="00F50EE3"/>
    <w:rsid w:val="00F5299F"/>
    <w:rsid w:val="00F52D0B"/>
    <w:rsid w:val="00F535AC"/>
    <w:rsid w:val="00F53E0D"/>
    <w:rsid w:val="00F55F89"/>
    <w:rsid w:val="00F56839"/>
    <w:rsid w:val="00F56DF4"/>
    <w:rsid w:val="00F578E4"/>
    <w:rsid w:val="00F57E7C"/>
    <w:rsid w:val="00F604D9"/>
    <w:rsid w:val="00F60CCE"/>
    <w:rsid w:val="00F60FCA"/>
    <w:rsid w:val="00F616DB"/>
    <w:rsid w:val="00F62311"/>
    <w:rsid w:val="00F626F8"/>
    <w:rsid w:val="00F629B1"/>
    <w:rsid w:val="00F62BB1"/>
    <w:rsid w:val="00F62DEB"/>
    <w:rsid w:val="00F6368A"/>
    <w:rsid w:val="00F65BCD"/>
    <w:rsid w:val="00F674AE"/>
    <w:rsid w:val="00F6783E"/>
    <w:rsid w:val="00F67D79"/>
    <w:rsid w:val="00F716B4"/>
    <w:rsid w:val="00F724C6"/>
    <w:rsid w:val="00F727EC"/>
    <w:rsid w:val="00F72FAE"/>
    <w:rsid w:val="00F732EC"/>
    <w:rsid w:val="00F7463A"/>
    <w:rsid w:val="00F75533"/>
    <w:rsid w:val="00F75DED"/>
    <w:rsid w:val="00F80D05"/>
    <w:rsid w:val="00F80F32"/>
    <w:rsid w:val="00F81D51"/>
    <w:rsid w:val="00F82DED"/>
    <w:rsid w:val="00F82EB6"/>
    <w:rsid w:val="00F8345B"/>
    <w:rsid w:val="00F844A4"/>
    <w:rsid w:val="00F86AEC"/>
    <w:rsid w:val="00F87E6F"/>
    <w:rsid w:val="00F90980"/>
    <w:rsid w:val="00F946DD"/>
    <w:rsid w:val="00F94FA7"/>
    <w:rsid w:val="00F952F0"/>
    <w:rsid w:val="00F952FE"/>
    <w:rsid w:val="00F95616"/>
    <w:rsid w:val="00F95C7B"/>
    <w:rsid w:val="00FA0BBA"/>
    <w:rsid w:val="00FA0FE4"/>
    <w:rsid w:val="00FA12DD"/>
    <w:rsid w:val="00FA245D"/>
    <w:rsid w:val="00FA25DC"/>
    <w:rsid w:val="00FA3BF0"/>
    <w:rsid w:val="00FA42F5"/>
    <w:rsid w:val="00FA489C"/>
    <w:rsid w:val="00FA57BF"/>
    <w:rsid w:val="00FA684E"/>
    <w:rsid w:val="00FA6870"/>
    <w:rsid w:val="00FA6CFD"/>
    <w:rsid w:val="00FA7946"/>
    <w:rsid w:val="00FA7D30"/>
    <w:rsid w:val="00FB05B5"/>
    <w:rsid w:val="00FB0708"/>
    <w:rsid w:val="00FB1CB1"/>
    <w:rsid w:val="00FB30F1"/>
    <w:rsid w:val="00FB48AF"/>
    <w:rsid w:val="00FB48B1"/>
    <w:rsid w:val="00FB4BE7"/>
    <w:rsid w:val="00FB4F31"/>
    <w:rsid w:val="00FB51E6"/>
    <w:rsid w:val="00FB5950"/>
    <w:rsid w:val="00FB5D63"/>
    <w:rsid w:val="00FB6089"/>
    <w:rsid w:val="00FB6D21"/>
    <w:rsid w:val="00FB7562"/>
    <w:rsid w:val="00FB769C"/>
    <w:rsid w:val="00FB78F0"/>
    <w:rsid w:val="00FC3B72"/>
    <w:rsid w:val="00FC3C2A"/>
    <w:rsid w:val="00FC42CC"/>
    <w:rsid w:val="00FC4FAC"/>
    <w:rsid w:val="00FC58D1"/>
    <w:rsid w:val="00FC5BB9"/>
    <w:rsid w:val="00FC6613"/>
    <w:rsid w:val="00FC67EB"/>
    <w:rsid w:val="00FD11C8"/>
    <w:rsid w:val="00FD1296"/>
    <w:rsid w:val="00FD16BA"/>
    <w:rsid w:val="00FD24D7"/>
    <w:rsid w:val="00FD294B"/>
    <w:rsid w:val="00FD32ED"/>
    <w:rsid w:val="00FD5D53"/>
    <w:rsid w:val="00FD6D4E"/>
    <w:rsid w:val="00FE309B"/>
    <w:rsid w:val="00FE325D"/>
    <w:rsid w:val="00FE3798"/>
    <w:rsid w:val="00FE42B1"/>
    <w:rsid w:val="00FE498D"/>
    <w:rsid w:val="00FE4C07"/>
    <w:rsid w:val="00FE4C72"/>
    <w:rsid w:val="00FE4F2D"/>
    <w:rsid w:val="00FE4F5C"/>
    <w:rsid w:val="00FE5149"/>
    <w:rsid w:val="00FE6B04"/>
    <w:rsid w:val="00FE6B31"/>
    <w:rsid w:val="00FF1770"/>
    <w:rsid w:val="00FF3DBA"/>
    <w:rsid w:val="00FF4EE3"/>
    <w:rsid w:val="00FF5567"/>
    <w:rsid w:val="00FF5804"/>
    <w:rsid w:val="00FF6D73"/>
    <w:rsid w:val="00FF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7F5DD8A"/>
  <w15:docId w15:val="{23F10762-06F6-4549-AB4B-9FCD90945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E70"/>
    <w:rPr>
      <w:sz w:val="20"/>
      <w:szCs w:val="20"/>
      <w:lang w:eastAsia="es-E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7597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7597"/>
    <w:pPr>
      <w:keepNext/>
      <w:ind w:left="-709"/>
      <w:jc w:val="center"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7D762C"/>
    <w:pPr>
      <w:keepNext/>
      <w:keepLines/>
      <w:spacing w:before="40"/>
      <w:outlineLvl w:val="2"/>
    </w:pPr>
    <w:rPr>
      <w:rFonts w:ascii="Cambria" w:hAnsi="Cambria"/>
      <w:color w:val="243F6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7597"/>
    <w:pPr>
      <w:keepNext/>
      <w:jc w:val="both"/>
      <w:outlineLvl w:val="3"/>
    </w:pPr>
    <w:rPr>
      <w:rFonts w:ascii="Arial" w:hAnsi="Arial"/>
      <w:b/>
      <w:sz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27317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025F3"/>
    <w:rPr>
      <w:rFonts w:ascii="Cambria" w:hAnsi="Cambria" w:cs="Times New Roman"/>
      <w:b/>
      <w:bCs/>
      <w:kern w:val="32"/>
      <w:sz w:val="32"/>
      <w:szCs w:val="32"/>
      <w:lang w:val="pl-PL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025F3"/>
    <w:rPr>
      <w:rFonts w:ascii="Cambria" w:hAnsi="Cambria" w:cs="Times New Roman"/>
      <w:b/>
      <w:bCs/>
      <w:i/>
      <w:iCs/>
      <w:sz w:val="28"/>
      <w:szCs w:val="28"/>
      <w:lang w:val="pl-PL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D762C"/>
    <w:rPr>
      <w:rFonts w:ascii="Cambria" w:hAnsi="Cambria" w:cs="Times New Roman"/>
      <w:color w:val="243F60"/>
      <w:sz w:val="24"/>
      <w:szCs w:val="24"/>
      <w:lang w:val="pl-PL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025F3"/>
    <w:rPr>
      <w:rFonts w:ascii="Calibri" w:hAnsi="Calibri" w:cs="Times New Roman"/>
      <w:b/>
      <w:bCs/>
      <w:sz w:val="28"/>
      <w:szCs w:val="28"/>
      <w:lang w:val="pl-PL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9025F3"/>
    <w:rPr>
      <w:rFonts w:ascii="Calibri" w:hAnsi="Calibri" w:cs="Times New Roman"/>
      <w:sz w:val="24"/>
      <w:szCs w:val="24"/>
      <w:lang w:val="pl-PL"/>
    </w:rPr>
  </w:style>
  <w:style w:type="paragraph" w:styleId="Header">
    <w:name w:val="header"/>
    <w:basedOn w:val="Normal"/>
    <w:link w:val="HeaderChar"/>
    <w:uiPriority w:val="99"/>
    <w:rsid w:val="004A7597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025F3"/>
    <w:rPr>
      <w:rFonts w:cs="Times New Roman"/>
      <w:sz w:val="20"/>
      <w:szCs w:val="20"/>
      <w:lang w:val="pl-PL"/>
    </w:rPr>
  </w:style>
  <w:style w:type="paragraph" w:styleId="Footer">
    <w:name w:val="footer"/>
    <w:basedOn w:val="Normal"/>
    <w:link w:val="FooterChar"/>
    <w:uiPriority w:val="99"/>
    <w:rsid w:val="004A7597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025F3"/>
    <w:rPr>
      <w:rFonts w:cs="Times New Roman"/>
      <w:sz w:val="20"/>
      <w:szCs w:val="20"/>
      <w:lang w:val="pl-PL"/>
    </w:rPr>
  </w:style>
  <w:style w:type="paragraph" w:styleId="BodyText">
    <w:name w:val="Body Text"/>
    <w:basedOn w:val="Normal"/>
    <w:link w:val="BodyTextChar"/>
    <w:uiPriority w:val="99"/>
    <w:rsid w:val="004A7597"/>
    <w:pPr>
      <w:jc w:val="both"/>
    </w:pPr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025F3"/>
    <w:rPr>
      <w:rFonts w:cs="Times New Roman"/>
      <w:sz w:val="20"/>
      <w:szCs w:val="20"/>
      <w:lang w:val="pl-PL"/>
    </w:rPr>
  </w:style>
  <w:style w:type="paragraph" w:styleId="BodyText2">
    <w:name w:val="Body Text 2"/>
    <w:basedOn w:val="Normal"/>
    <w:link w:val="BodyText2Char"/>
    <w:uiPriority w:val="99"/>
    <w:rsid w:val="004A7597"/>
    <w:pPr>
      <w:jc w:val="center"/>
    </w:pPr>
    <w:rPr>
      <w:rFonts w:ascii="Arial" w:hAnsi="Arial"/>
      <w:b/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025F3"/>
    <w:rPr>
      <w:rFonts w:cs="Times New Roman"/>
      <w:sz w:val="20"/>
      <w:szCs w:val="20"/>
      <w:lang w:val="pl-PL"/>
    </w:rPr>
  </w:style>
  <w:style w:type="paragraph" w:styleId="BodyText3">
    <w:name w:val="Body Text 3"/>
    <w:basedOn w:val="Normal"/>
    <w:link w:val="BodyText3Char"/>
    <w:uiPriority w:val="99"/>
    <w:rsid w:val="004A7597"/>
    <w:pPr>
      <w:jc w:val="both"/>
    </w:pPr>
    <w:rPr>
      <w:rFonts w:ascii="Arial" w:hAnsi="Arial"/>
      <w:b/>
      <w:sz w:val="24"/>
      <w:u w:val="single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9025F3"/>
    <w:rPr>
      <w:rFonts w:cs="Times New Roman"/>
      <w:sz w:val="16"/>
      <w:szCs w:val="16"/>
      <w:lang w:val="pl-PL"/>
    </w:rPr>
  </w:style>
  <w:style w:type="paragraph" w:styleId="Title">
    <w:name w:val="Title"/>
    <w:basedOn w:val="Normal"/>
    <w:link w:val="TitleChar"/>
    <w:uiPriority w:val="99"/>
    <w:qFormat/>
    <w:rsid w:val="004A7597"/>
    <w:pPr>
      <w:jc w:val="center"/>
    </w:pPr>
    <w:rPr>
      <w:rFonts w:ascii="Arial" w:hAnsi="Arial"/>
      <w:b/>
      <w:sz w:val="24"/>
    </w:rPr>
  </w:style>
  <w:style w:type="character" w:customStyle="1" w:styleId="TitleChar">
    <w:name w:val="Title Char"/>
    <w:basedOn w:val="DefaultParagraphFont"/>
    <w:link w:val="Title"/>
    <w:uiPriority w:val="99"/>
    <w:locked/>
    <w:rsid w:val="009025F3"/>
    <w:rPr>
      <w:rFonts w:ascii="Cambria" w:hAnsi="Cambria" w:cs="Times New Roman"/>
      <w:b/>
      <w:bCs/>
      <w:kern w:val="28"/>
      <w:sz w:val="32"/>
      <w:szCs w:val="32"/>
      <w:lang w:val="pl-PL"/>
    </w:rPr>
  </w:style>
  <w:style w:type="paragraph" w:styleId="BodyTextIndent2">
    <w:name w:val="Body Text Indent 2"/>
    <w:basedOn w:val="Normal"/>
    <w:link w:val="BodyTextIndent2Char"/>
    <w:uiPriority w:val="99"/>
    <w:rsid w:val="004A7597"/>
    <w:pPr>
      <w:ind w:firstLine="705"/>
      <w:jc w:val="both"/>
    </w:pPr>
    <w:rPr>
      <w:rFonts w:ascii="Arial" w:hAnsi="Arial"/>
      <w:sz w:val="3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025F3"/>
    <w:rPr>
      <w:rFonts w:cs="Times New Roman"/>
      <w:sz w:val="20"/>
      <w:szCs w:val="20"/>
      <w:lang w:val="pl-PL"/>
    </w:rPr>
  </w:style>
  <w:style w:type="paragraph" w:styleId="BodyTextIndent">
    <w:name w:val="Body Text Indent"/>
    <w:basedOn w:val="Normal"/>
    <w:link w:val="BodyTextIndentChar"/>
    <w:uiPriority w:val="99"/>
    <w:rsid w:val="004A7597"/>
    <w:pPr>
      <w:ind w:left="14" w:firstLine="691"/>
      <w:jc w:val="both"/>
    </w:pPr>
    <w:rPr>
      <w:rFonts w:ascii="Arial" w:hAnsi="Arial"/>
      <w:sz w:val="3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025F3"/>
    <w:rPr>
      <w:rFonts w:cs="Times New Roman"/>
      <w:sz w:val="20"/>
      <w:szCs w:val="20"/>
      <w:lang w:val="pl-PL"/>
    </w:rPr>
  </w:style>
  <w:style w:type="paragraph" w:styleId="ListBullet">
    <w:name w:val="List Bullet"/>
    <w:basedOn w:val="Normal"/>
    <w:autoRedefine/>
    <w:uiPriority w:val="99"/>
    <w:rsid w:val="004A7597"/>
    <w:pPr>
      <w:ind w:left="709" w:hanging="709"/>
    </w:pPr>
    <w:rPr>
      <w:rFonts w:ascii="Arial" w:hAnsi="Arial"/>
      <w:sz w:val="28"/>
    </w:rPr>
  </w:style>
  <w:style w:type="table" w:styleId="TableGrid">
    <w:name w:val="Table Grid"/>
    <w:basedOn w:val="TableNormal"/>
    <w:uiPriority w:val="99"/>
    <w:rsid w:val="006D739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rsid w:val="006D739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5255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025F3"/>
    <w:rPr>
      <w:rFonts w:cs="Times New Roman"/>
      <w:sz w:val="2"/>
      <w:lang w:val="pl-PL"/>
    </w:rPr>
  </w:style>
  <w:style w:type="paragraph" w:styleId="NormalWeb">
    <w:name w:val="Normal (Web)"/>
    <w:basedOn w:val="Normal"/>
    <w:uiPriority w:val="99"/>
    <w:rsid w:val="00A52556"/>
    <w:pPr>
      <w:spacing w:line="288" w:lineRule="auto"/>
    </w:pPr>
    <w:rPr>
      <w:rFonts w:ascii="Verdana" w:hAnsi="Verdana"/>
    </w:rPr>
  </w:style>
  <w:style w:type="paragraph" w:styleId="DocumentMap">
    <w:name w:val="Document Map"/>
    <w:basedOn w:val="Normal"/>
    <w:link w:val="DocumentMapChar"/>
    <w:uiPriority w:val="99"/>
    <w:semiHidden/>
    <w:rsid w:val="00154CE2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9025F3"/>
    <w:rPr>
      <w:rFonts w:cs="Times New Roman"/>
      <w:sz w:val="2"/>
      <w:lang w:val="pl-PL"/>
    </w:rPr>
  </w:style>
  <w:style w:type="character" w:styleId="Hyperlink">
    <w:name w:val="Hyperlink"/>
    <w:basedOn w:val="DefaultParagraphFont"/>
    <w:uiPriority w:val="99"/>
    <w:rsid w:val="001744A4"/>
    <w:rPr>
      <w:rFonts w:cs="Times New Roman"/>
      <w:color w:val="000000"/>
      <w:u w:val="none"/>
      <w:effect w:val="none"/>
    </w:rPr>
  </w:style>
  <w:style w:type="paragraph" w:customStyle="1" w:styleId="Car">
    <w:name w:val="Car"/>
    <w:basedOn w:val="Normal"/>
    <w:uiPriority w:val="99"/>
    <w:rsid w:val="00BB1CC3"/>
    <w:rPr>
      <w:sz w:val="24"/>
      <w:szCs w:val="24"/>
      <w:lang w:eastAsia="pl-PL"/>
    </w:rPr>
  </w:style>
  <w:style w:type="paragraph" w:customStyle="1" w:styleId="parrafo1">
    <w:name w:val="parrafo1"/>
    <w:basedOn w:val="Normal"/>
    <w:uiPriority w:val="99"/>
    <w:rsid w:val="00B87820"/>
    <w:pPr>
      <w:spacing w:before="180" w:after="180"/>
      <w:ind w:firstLine="360"/>
      <w:jc w:val="both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4B75A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B75AC"/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9025F3"/>
    <w:rPr>
      <w:rFonts w:cs="Times New Roman"/>
      <w:sz w:val="20"/>
      <w:szCs w:val="20"/>
      <w:lang w:val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B75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025F3"/>
    <w:rPr>
      <w:rFonts w:cs="Times New Roman"/>
      <w:b/>
      <w:bCs/>
      <w:sz w:val="20"/>
      <w:szCs w:val="20"/>
      <w:lang w:val="pl-PL"/>
    </w:rPr>
  </w:style>
  <w:style w:type="character" w:customStyle="1" w:styleId="b1">
    <w:name w:val="b1"/>
    <w:basedOn w:val="DefaultParagraphFont"/>
    <w:uiPriority w:val="99"/>
    <w:rsid w:val="00805945"/>
    <w:rPr>
      <w:rFonts w:cs="Times New Roman"/>
      <w:color w:val="000000"/>
    </w:rPr>
  </w:style>
  <w:style w:type="paragraph" w:customStyle="1" w:styleId="Default">
    <w:name w:val="Default"/>
    <w:uiPriority w:val="99"/>
    <w:rsid w:val="005C2330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s-ES"/>
    </w:rPr>
  </w:style>
  <w:style w:type="paragraph" w:customStyle="1" w:styleId="Pa11">
    <w:name w:val="Pa11"/>
    <w:basedOn w:val="Default"/>
    <w:next w:val="Default"/>
    <w:uiPriority w:val="99"/>
    <w:rsid w:val="004766DA"/>
    <w:pPr>
      <w:spacing w:line="201" w:lineRule="atLeast"/>
    </w:pPr>
    <w:rPr>
      <w:rFonts w:ascii="Arial" w:hAnsi="Arial" w:cs="Times New Roman"/>
      <w:color w:val="auto"/>
    </w:rPr>
  </w:style>
  <w:style w:type="paragraph" w:customStyle="1" w:styleId="Pa6">
    <w:name w:val="Pa6"/>
    <w:basedOn w:val="Default"/>
    <w:next w:val="Default"/>
    <w:uiPriority w:val="99"/>
    <w:rsid w:val="004766DA"/>
    <w:pPr>
      <w:spacing w:line="201" w:lineRule="atLeast"/>
    </w:pPr>
    <w:rPr>
      <w:rFonts w:ascii="Arial" w:hAnsi="Arial" w:cs="Times New Roman"/>
      <w:color w:val="auto"/>
    </w:rPr>
  </w:style>
  <w:style w:type="paragraph" w:customStyle="1" w:styleId="CM1">
    <w:name w:val="CM1"/>
    <w:basedOn w:val="Default"/>
    <w:next w:val="Default"/>
    <w:uiPriority w:val="99"/>
    <w:rsid w:val="008212B3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8212B3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8212B3"/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DB333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rsid w:val="00501482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501482"/>
    <w:rPr>
      <w:rFonts w:cs="Times New Roman"/>
      <w:sz w:val="20"/>
      <w:szCs w:val="20"/>
      <w:lang w:val="pl-PL"/>
    </w:rPr>
  </w:style>
  <w:style w:type="character" w:styleId="FootnoteReference">
    <w:name w:val="footnote reference"/>
    <w:basedOn w:val="DefaultParagraphFont"/>
    <w:uiPriority w:val="99"/>
    <w:semiHidden/>
    <w:rsid w:val="00501482"/>
    <w:rPr>
      <w:rFonts w:cs="Times New Roman"/>
      <w:vertAlign w:val="superscript"/>
    </w:rPr>
  </w:style>
  <w:style w:type="character" w:customStyle="1" w:styleId="super">
    <w:name w:val="super"/>
    <w:basedOn w:val="DefaultParagraphFont"/>
    <w:uiPriority w:val="99"/>
    <w:rsid w:val="00501482"/>
    <w:rPr>
      <w:rFonts w:cs="Times New Roman"/>
    </w:rPr>
  </w:style>
  <w:style w:type="paragraph" w:styleId="Revision">
    <w:name w:val="Revision"/>
    <w:hidden/>
    <w:uiPriority w:val="99"/>
    <w:semiHidden/>
    <w:rsid w:val="00B02531"/>
    <w:rPr>
      <w:sz w:val="20"/>
      <w:szCs w:val="20"/>
      <w:lang w:eastAsia="es-ES"/>
    </w:rPr>
  </w:style>
  <w:style w:type="paragraph" w:customStyle="1" w:styleId="cabezatabla">
    <w:name w:val="cabeza_tabla"/>
    <w:basedOn w:val="Normal"/>
    <w:uiPriority w:val="99"/>
    <w:rsid w:val="005F0C8A"/>
    <w:pPr>
      <w:spacing w:before="100" w:beforeAutospacing="1" w:after="100" w:afterAutospacing="1"/>
    </w:pPr>
    <w:rPr>
      <w:sz w:val="24"/>
      <w:szCs w:val="24"/>
    </w:rPr>
  </w:style>
  <w:style w:type="paragraph" w:customStyle="1" w:styleId="cuerpotablaizq">
    <w:name w:val="cuerpo_tabla_izq"/>
    <w:basedOn w:val="Normal"/>
    <w:uiPriority w:val="99"/>
    <w:rsid w:val="005F0C8A"/>
    <w:pPr>
      <w:spacing w:before="100" w:beforeAutospacing="1" w:after="100" w:afterAutospacing="1"/>
    </w:pPr>
    <w:rPr>
      <w:sz w:val="24"/>
      <w:szCs w:val="24"/>
    </w:rPr>
  </w:style>
  <w:style w:type="paragraph" w:customStyle="1" w:styleId="cuerpotablader">
    <w:name w:val="cuerpo_tabla_der"/>
    <w:basedOn w:val="Normal"/>
    <w:uiPriority w:val="99"/>
    <w:rsid w:val="005F0C8A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uiPriority w:val="20"/>
    <w:qFormat/>
    <w:locked/>
    <w:rsid w:val="00FD12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576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6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6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6744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576753">
                  <w:marLeft w:val="0"/>
                  <w:marRight w:val="0"/>
                  <w:marTop w:val="480"/>
                  <w:marBottom w:val="0"/>
                  <w:divBdr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divBdr>
                </w:div>
              </w:divsChild>
            </w:div>
          </w:divsChild>
        </w:div>
      </w:divsChild>
    </w:div>
    <w:div w:id="1339576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6760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339576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hyperlink" Target="https://sede.mapa.gob.es/portal/site/seMAPA/ficha-procedimiento?procedure_suborg_responsable=27&amp;procedure_id=675&amp;by=them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ED835-66F5-409A-ADF5-E5D55FD4A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6725</Words>
  <Characters>36443</Characters>
  <Application>Microsoft Office Word</Application>
  <DocSecurity>0</DocSecurity>
  <Lines>303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ASUNTO 67</vt:lpstr>
    </vt:vector>
  </TitlesOfParts>
  <Company>IGSAP</Company>
  <LinksUpToDate>false</LinksUpToDate>
  <CharactersWithSpaces>43082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ASUNTO 67</dc:title>
  <dc:creator>i</dc:creator>
  <cp:lastModifiedBy>Dimitris Dimitriadis</cp:lastModifiedBy>
  <cp:revision>6</cp:revision>
  <cp:lastPrinted>2019-10-16T12:19:00Z</cp:lastPrinted>
  <dcterms:created xsi:type="dcterms:W3CDTF">2022-10-19T10:24:00Z</dcterms:created>
  <dcterms:modified xsi:type="dcterms:W3CDTF">2022-11-18T10:45:00Z</dcterms:modified>
</cp:coreProperties>
</file>