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4F0F0" w14:textId="6A6BADEA" w:rsidR="00EC2FBC" w:rsidRPr="00E93946" w:rsidRDefault="002761B0">
      <w:pPr>
        <w:pStyle w:val="Style1"/>
        <w:spacing w:before="48"/>
        <w:ind w:right="4" w:firstLine="0"/>
        <w:jc w:val="center"/>
        <w:outlineLvl w:val="0"/>
        <w:rPr>
          <w:rStyle w:val="Strong"/>
        </w:rPr>
      </w:pPr>
      <w:r w:rsidRPr="00E93946">
        <w:rPr>
          <w:rStyle w:val="Strong"/>
        </w:rPr>
        <w:t>SISEMINISTER</w:t>
      </w:r>
    </w:p>
    <w:p w14:paraId="5FD8013A" w14:textId="77777777" w:rsidR="00EC2FBC" w:rsidRPr="00E93946" w:rsidRDefault="00EC2FBC">
      <w:pPr>
        <w:jc w:val="both"/>
        <w:rPr>
          <w:b/>
          <w:bCs/>
          <w:color w:val="000000"/>
        </w:rPr>
      </w:pPr>
    </w:p>
    <w:p w14:paraId="7CB3FA43" w14:textId="77777777" w:rsidR="00EC2FBC" w:rsidRPr="00E93946" w:rsidRDefault="00EC2FBC">
      <w:pPr>
        <w:jc w:val="both"/>
        <w:rPr>
          <w:b/>
          <w:bCs/>
          <w:color w:val="000000"/>
        </w:rPr>
      </w:pPr>
    </w:p>
    <w:p w14:paraId="1F94E7A2" w14:textId="77777777" w:rsidR="00EC2FBC" w:rsidRPr="00E93946" w:rsidRDefault="00EC2FBC">
      <w:pPr>
        <w:jc w:val="both"/>
        <w:rPr>
          <w:b/>
          <w:bCs/>
          <w:color w:val="000000"/>
        </w:rPr>
      </w:pPr>
    </w:p>
    <w:p w14:paraId="2E86FF1B" w14:textId="77777777" w:rsidR="00EC2FBC" w:rsidRPr="00E93946" w:rsidRDefault="00EC2FBC">
      <w:pPr>
        <w:jc w:val="both"/>
        <w:rPr>
          <w:b/>
          <w:bCs/>
          <w:color w:val="000000"/>
        </w:rPr>
      </w:pPr>
      <w:r w:rsidRPr="00E93946">
        <w:rPr>
          <w:b/>
          <w:color w:val="000000"/>
        </w:rPr>
        <w:t>Siseministri määruse eelnõu, millega kehtestatakse „tulekahju vältimise tehnilised eeskirjad riskianalüüsi meetodite ja tuleohutusmeetmete kindlaksmääramiseks, mis võetakse vastu elektrolüüsi teel vesiniku tootmisjaama projekteerimiseks, ehitamiseks ja käitamiseks ning nendega seotud salvestussüsteemide jaoks“.</w:t>
      </w:r>
    </w:p>
    <w:p w14:paraId="0BF56CB4" w14:textId="0980FCB1" w:rsidR="00EC2FBC" w:rsidRPr="00E93946" w:rsidRDefault="00EC2FBC">
      <w:pPr>
        <w:jc w:val="both"/>
        <w:rPr>
          <w:b/>
          <w:bCs/>
        </w:rPr>
      </w:pPr>
    </w:p>
    <w:p w14:paraId="346ACA93" w14:textId="7FEA2CAF" w:rsidR="00AC6BE3" w:rsidRPr="00E93946" w:rsidRDefault="00AC6BE3">
      <w:pPr>
        <w:jc w:val="both"/>
        <w:rPr>
          <w:b/>
          <w:bCs/>
        </w:rPr>
      </w:pPr>
    </w:p>
    <w:p w14:paraId="55C13A1F" w14:textId="77777777" w:rsidR="00AC6BE3" w:rsidRPr="00E93946" w:rsidRDefault="00AC6BE3">
      <w:pPr>
        <w:jc w:val="both"/>
        <w:rPr>
          <w:b/>
          <w:bCs/>
        </w:rPr>
      </w:pPr>
    </w:p>
    <w:p w14:paraId="04C11BFF" w14:textId="77777777" w:rsidR="00EC2FBC" w:rsidRPr="00E93946" w:rsidRDefault="00EC2FBC">
      <w:pPr>
        <w:spacing w:after="120"/>
        <w:ind w:firstLine="540"/>
        <w:jc w:val="both"/>
        <w:rPr>
          <w:color w:val="000000"/>
        </w:rPr>
      </w:pPr>
      <w:r w:rsidRPr="00E93946">
        <w:rPr>
          <w:color w:val="000000"/>
        </w:rPr>
        <w:t>võttes arvesse 1. märtsi 1968. aasta seadust nr 186 elektri- ja elektroonikamaterjalide, -seadmete, -masinate, -paigaldiste ja -jaamade tootmist käsitlevate sätete kohta,</w:t>
      </w:r>
    </w:p>
    <w:p w14:paraId="7F5BBB35" w14:textId="77777777" w:rsidR="00EC2FBC" w:rsidRPr="00E93946" w:rsidRDefault="00EC2FBC">
      <w:pPr>
        <w:spacing w:after="120"/>
        <w:ind w:firstLine="540"/>
        <w:jc w:val="both"/>
      </w:pPr>
      <w:r w:rsidRPr="00E93946">
        <w:t>võttes arvesse 8. märtsi 2006. aasta seadusandlikku dekreeti nr 139, mis käsitleb riikliku tuletõrje funktsioone ja ülesandeid käsitlevate sätete ümberkorraldamist 29. juuli 2003. aasta seaduse nr 229 artikli 11 alusel, muudetud kujul, eriti selle artikli 15 alusel, milles on sätestatud, et tuleohu vältimise tehniline norm võetakse vastu siseministri dekreediga kooskõlas asjaomaste ministritega pärast konsulteerimist tuleohutuse tehnilis-teadusliku keskkomisjoniga,</w:t>
      </w:r>
    </w:p>
    <w:p w14:paraId="7D29DB95" w14:textId="77777777" w:rsidR="00EC2FBC" w:rsidRPr="00E93946" w:rsidRDefault="00EC2FBC">
      <w:pPr>
        <w:spacing w:after="120"/>
        <w:ind w:firstLine="539"/>
        <w:jc w:val="both"/>
      </w:pPr>
      <w:r w:rsidRPr="00E93946">
        <w:t>võttes arvesse 9. aprilli 2008. aasta seadusandlikku dekreeti nr 81, mis käsitleb 3. augusti 2007. aasta seaduse nr 123 (töötervishoiu ja -ohutuse kohta), muudetud kujul, artikli 1 rakendamist,</w:t>
      </w:r>
    </w:p>
    <w:p w14:paraId="49D9E2BB" w14:textId="77777777" w:rsidR="00EC2FBC" w:rsidRPr="00E93946" w:rsidRDefault="00EC2FBC" w:rsidP="002E714F">
      <w:pPr>
        <w:spacing w:after="120"/>
        <w:ind w:firstLine="539"/>
        <w:jc w:val="both"/>
      </w:pPr>
      <w:r w:rsidRPr="00E93946">
        <w:t>võttes arvesse Euroopa Parlamendi ja nõukogu 9. juuli 2008. aasta määrust (EÜ) nr 764/2008, milles sätestatakse menetlused seoses teatavate riiklike tehniliste eeskirjade kohaldamisega teises liikmesriigis seaduslikult turustatavate toodete suhtes ja tunnistatakse kehtetuks otsus nr 3052/95/EÜ,</w:t>
      </w:r>
    </w:p>
    <w:p w14:paraId="46DC06A9" w14:textId="77777777" w:rsidR="00EC2FBC" w:rsidRPr="00E93946" w:rsidRDefault="00EC2FBC" w:rsidP="002E714F">
      <w:pPr>
        <w:spacing w:after="120"/>
        <w:ind w:firstLine="539"/>
        <w:jc w:val="both"/>
      </w:pPr>
      <w:r w:rsidRPr="00E93946">
        <w:t>võttes arvesse Euroopa Parlamendi ja nõukogu 9. septembri 2015. aasta direktiivi (EL) 2015/1535, millega nähakse ette tehnilistest eeskirjadest ning infoühiskonna teenuste eeskirjadest teatamise kord;</w:t>
      </w:r>
    </w:p>
    <w:p w14:paraId="01F85C5D" w14:textId="77777777" w:rsidR="00EC2FBC" w:rsidRPr="00E93946" w:rsidRDefault="00EC2FBC" w:rsidP="001F18CB">
      <w:pPr>
        <w:spacing w:after="120"/>
        <w:ind w:firstLine="539"/>
        <w:jc w:val="both"/>
      </w:pPr>
      <w:r w:rsidRPr="00E93946">
        <w:t>võttes arvesse 15. veebruari 2016. aasta seadusandlikku dekreeti nr 26, millega rakendatakse Euroopa Parlamendi ja nõukogu 15. mai 2014. aasta direktiivi 2014/68/EL surveseadmete turuleviimist käsitlevate liikmesriikide õigusaktide ühtlustamise kohta,</w:t>
      </w:r>
    </w:p>
    <w:p w14:paraId="2FFBFC88" w14:textId="77777777" w:rsidR="00EC2FBC" w:rsidRPr="00E93946" w:rsidRDefault="00EC2FBC">
      <w:pPr>
        <w:spacing w:after="120"/>
        <w:ind w:firstLine="539"/>
        <w:jc w:val="both"/>
      </w:pPr>
      <w:r w:rsidRPr="00E93946">
        <w:t>võttes arvesse 19. mai 2016. aasta seadusandlikku dekreeti nr 85, millega võetakse üle direktiiv 2014/34/EL plahvatusohtlikus keskkonnas kasutatavaid seadmeid ja kaitsesüsteeme käsitlevate liikmesriikide õigusaktide ühtlustamise kohta,</w:t>
      </w:r>
    </w:p>
    <w:p w14:paraId="7113AF58" w14:textId="77777777" w:rsidR="00EC2FBC" w:rsidRPr="00E93946" w:rsidRDefault="00EC2FBC" w:rsidP="002E714F">
      <w:pPr>
        <w:spacing w:after="120"/>
        <w:ind w:firstLine="539"/>
        <w:jc w:val="both"/>
      </w:pPr>
      <w:r w:rsidRPr="00E93946">
        <w:t>võttes arvesse Euroopa Parlamendi ja nõukogu 19. märtsi 2019. aasta määrust (EL) 2019/515, mis käsitleb teises liikmesriigis seaduslikult turustatavate kaupade vastastikust tunnustamist ja millega tunnistatakse kehtetuks määrus (EÜ) nr 764/2008,</w:t>
      </w:r>
    </w:p>
    <w:p w14:paraId="1B3AADD2" w14:textId="77777777" w:rsidR="00EC2FBC" w:rsidRPr="00E93946" w:rsidRDefault="00EC2FBC" w:rsidP="00222B11">
      <w:pPr>
        <w:spacing w:after="120"/>
        <w:ind w:firstLine="567"/>
        <w:jc w:val="both"/>
      </w:pPr>
      <w:r w:rsidRPr="00E93946">
        <w:t>võttes arvesse Euroopa Parlamendi ja nõukogu 18. juuni 2020. aasta määrust (EL) 2020/852, millega luuakse kestlike investeeringute hõlbustamise raamistik ja muudetakse määrust (EL) 2019/2088, milles sätestatakse keskkonnaeesmärgid ja põhimõte „ei kahjusta oluliselt“, eriti selle artikleid 9 ja 17,</w:t>
      </w:r>
    </w:p>
    <w:p w14:paraId="352B05AA" w14:textId="77777777" w:rsidR="00EC2FBC" w:rsidRPr="00E93946" w:rsidRDefault="00EC2FBC" w:rsidP="00453AD6">
      <w:pPr>
        <w:spacing w:after="120"/>
        <w:ind w:firstLine="567"/>
        <w:jc w:val="both"/>
      </w:pPr>
      <w:r w:rsidRPr="00E93946">
        <w:t>võttes arvesse nõukogu 14. detsembri 2020. aasta määrust (EL) 2020/2094, millega luuakse Euroopa Liidu taasterahastu, et toetada majanduse taastumist pärast COVID-19 kriisi,</w:t>
      </w:r>
    </w:p>
    <w:p w14:paraId="4E852353" w14:textId="77777777" w:rsidR="00EC2FBC" w:rsidRPr="00E93946" w:rsidRDefault="00EC2FBC" w:rsidP="00453AD6">
      <w:pPr>
        <w:spacing w:after="120"/>
        <w:ind w:firstLine="567"/>
        <w:jc w:val="both"/>
      </w:pPr>
      <w:r w:rsidRPr="00E93946">
        <w:t>võttes arvesse Euroopa Parlamendi ja nõukogu 12. veebruari 2021. aasta määrust (EL) 2021/241, millega luuakse taaste- ja vastupidavusrahastu,</w:t>
      </w:r>
    </w:p>
    <w:p w14:paraId="64A8F573" w14:textId="77777777" w:rsidR="00EC2FBC" w:rsidRPr="00E93946" w:rsidRDefault="00EC2FBC" w:rsidP="00842AA2">
      <w:pPr>
        <w:spacing w:after="120"/>
        <w:ind w:firstLine="567"/>
        <w:jc w:val="both"/>
      </w:pPr>
      <w:r w:rsidRPr="00E93946">
        <w:t xml:space="preserve">võttes arvesse 31. mai 2021. aasta dekreet-seadust nr 77, mis kinnitati muudatustega 29. juuli 2021. aasta seadusega nr 108, mis käsitleb riikliku taaste- ja vastupidavuskava juhtimist ning esimesi meetmeid haldusstruktuuride tugevdamiseks ning menetluste kiirendamiseks ja ühtlustamiseks, eriti </w:t>
      </w:r>
      <w:r w:rsidRPr="00E93946">
        <w:lastRenderedPageBreak/>
        <w:t>selle artiklit 8, mille kohaselt koordineerib iga riiklikus taaste- ja vastupidavuskavas sätestatud meetmete eest vastutav keskasutus asjaomast juhtimistegevust ning selle järelevalvet, aruandlust ja kontrolli,</w:t>
      </w:r>
    </w:p>
    <w:p w14:paraId="40DD35DD" w14:textId="77777777" w:rsidR="00EC2FBC" w:rsidRPr="00E93946" w:rsidRDefault="00EC2FBC" w:rsidP="00453AD6">
      <w:pPr>
        <w:spacing w:after="120"/>
        <w:ind w:firstLine="567"/>
        <w:jc w:val="both"/>
      </w:pPr>
      <w:r w:rsidRPr="00E93946">
        <w:t xml:space="preserve">võttes arvesse komisjoni 4. juuni 2021. aasta delegeeritud määrust (EL) 2021/2139, millega täiendatakse Euroopa Parlamendi ja nõukogu määrust (EL) 2020/852, kehtestades tehnilised sõelumiskriteeriumid, mille alusel määratakse kindlaks tingimused, mille alusel majandustegevus kvalifitseerub kliimamuutuste leevendamisse või kliimamuutustega kohanemisse oluliselt kaasa aitavaks, ning selleks, et teha kindlaks, kas see majandustegevus ei kahjusta oluliselt ühtegi muud keskkonnaeesmärki, </w:t>
      </w:r>
    </w:p>
    <w:p w14:paraId="01682725" w14:textId="77777777" w:rsidR="00EC2FBC" w:rsidRPr="00E93946" w:rsidRDefault="00EC2FBC" w:rsidP="00842AA2">
      <w:pPr>
        <w:spacing w:after="120"/>
        <w:ind w:firstLine="567"/>
        <w:jc w:val="both"/>
      </w:pPr>
      <w:r w:rsidRPr="00E93946">
        <w:t>võttes arvesse 9. juuni 2021. aasta dekreet-seadust nr 80, mis kinnitati muudatustega 6. augusti 2021. aasta seadusega nr 113 meetmete kohta, millega suurendatakse riikliku taaste- ja vastupidavuskava rakendamisega seotud haldusasutuste haldussuutlikkust ja õigusemõistmise tõhusust,</w:t>
      </w:r>
    </w:p>
    <w:p w14:paraId="13B27157" w14:textId="77777777" w:rsidR="00EC2FBC" w:rsidRPr="00E93946" w:rsidRDefault="00EC2FBC" w:rsidP="001C6B78">
      <w:pPr>
        <w:spacing w:after="120"/>
        <w:ind w:firstLine="539"/>
        <w:jc w:val="both"/>
      </w:pPr>
      <w:r w:rsidRPr="00E93946">
        <w:t>võttes arvesse 8. novembri 2021. aasta seadusandlikku dekreeti nr 199, millega rakendatakse Euroopa Parlamendi ja nõukogu 11. detsembri 2018. aasta direktiivi (EL) 2018/2001 taastuvatest energiaallikatest toodetud energia kasutamise edendamise kohta,</w:t>
      </w:r>
    </w:p>
    <w:p w14:paraId="3FB2C13E" w14:textId="77777777" w:rsidR="00EC2FBC" w:rsidRPr="00E93946" w:rsidRDefault="00EC2FBC" w:rsidP="00A2403B">
      <w:pPr>
        <w:spacing w:after="120"/>
        <w:ind w:firstLine="567"/>
        <w:jc w:val="both"/>
      </w:pPr>
      <w:r w:rsidRPr="00E93946">
        <w:t xml:space="preserve">võttes arvesse majandus- ja rahandusküsimuste nõukogu 13. juuli 2021. aasta otsust Itaalia taaste- ja vastupidavuskavale antud hinnangu heakskiitmise kohta, mille nõukogu peasekretariaat edastas Itaaliale 14. juuli 2021. aasta kirjaga LT161/21, </w:t>
      </w:r>
    </w:p>
    <w:p w14:paraId="47AC3410" w14:textId="77777777" w:rsidR="00EC2FBC" w:rsidRPr="00E93946" w:rsidRDefault="00EC2FBC">
      <w:pPr>
        <w:spacing w:after="120"/>
        <w:ind w:firstLine="539"/>
        <w:jc w:val="both"/>
      </w:pPr>
      <w:r w:rsidRPr="00E93946">
        <w:t>võttes arvesse presidendi 1. augusti 2011. aasta dekreeti nr 151, millega reguleeritakse tuleohutusmenetluste suuniste lihtsustamist vastavalt 31. mai 2010. aasta dekreet-seaduse nr 78 artikli 49 lõikele 4c, mis kinnitati muudatustega 30. juuli 2010. aasta seadusega nr 122, muudetud kujul,</w:t>
      </w:r>
    </w:p>
    <w:p w14:paraId="34562560" w14:textId="77777777" w:rsidR="00EC2FBC" w:rsidRPr="00E93946" w:rsidRDefault="00EC2FBC" w:rsidP="00B63A70">
      <w:pPr>
        <w:spacing w:after="120"/>
        <w:ind w:firstLine="567"/>
        <w:jc w:val="both"/>
      </w:pPr>
      <w:r w:rsidRPr="00E93946">
        <w:t>võttes arvesse peaministri 9. juuli 2021. aasta dekreeti riiklikus taaste- ja vastupidavuskavas ette nähtud meetmete eest vastutavate keskvalitsuste kindlaksmääramise kohta vastavalt 31. mai 2021. aasta dekreet-seaduse nr 77 artikli 8 lõikele 1,</w:t>
      </w:r>
    </w:p>
    <w:p w14:paraId="67E4AC5D" w14:textId="77777777" w:rsidR="00EC2FBC" w:rsidRPr="00E93946" w:rsidRDefault="00EC2FBC">
      <w:pPr>
        <w:spacing w:after="120"/>
        <w:ind w:firstLine="539"/>
        <w:jc w:val="both"/>
      </w:pPr>
      <w:r w:rsidRPr="00E93946">
        <w:t>võttes arvesse siseministri 30. novembri 1983. aasta muudetud dekreeti tuleohutuse mõistete, üldmõistete ja graafiliste sümbolite kohta, mis on avaldatud 12. detsembri 1983. aasta Itaalia Vabariigi Teatajas nr 339,</w:t>
      </w:r>
    </w:p>
    <w:p w14:paraId="4AB5597B" w14:textId="77777777" w:rsidR="00EC2FBC" w:rsidRPr="00E93946" w:rsidRDefault="00EC2FBC" w:rsidP="001F18CB">
      <w:pPr>
        <w:spacing w:after="120"/>
        <w:ind w:firstLine="539"/>
        <w:jc w:val="both"/>
        <w:rPr>
          <w:bCs/>
        </w:rPr>
      </w:pPr>
      <w:r w:rsidRPr="00E93946">
        <w:t>võttes arvesse siseministri 9. mai 2007. aasta dekreeti tuleohutusele inseneriteadusliku lähenemise juhiste rakendamise kohta, mis on avaldatud 22. mai 2007. aasta Itaalia Vabariigi Teatajas nr 117,</w:t>
      </w:r>
    </w:p>
    <w:p w14:paraId="2A369A87" w14:textId="77777777" w:rsidR="00EC2FBC" w:rsidRPr="00E93946" w:rsidRDefault="00EC2FBC">
      <w:pPr>
        <w:spacing w:after="120"/>
        <w:ind w:firstLine="539"/>
        <w:jc w:val="both"/>
        <w:rPr>
          <w:bCs/>
        </w:rPr>
      </w:pPr>
      <w:r w:rsidRPr="00E93946">
        <w:t>võttes arvesse siseministri 7. augusti 2012. aasta määrust, milles käsitletakse sätteid tulekahjude tekkimise vältimise menetlustega seotud taotluste esitamise viiside ja lisatavate dokumentide kohta ning mis on antud kooskõlas presidendi 1. augusti 2011. aasta määruse nr 151 artikli 2 lõikega 7 (avaldatud 29. augustil 2012 Itaalia Vabariigi Teatajas nr 201),</w:t>
      </w:r>
    </w:p>
    <w:p w14:paraId="0BD2F487" w14:textId="77777777" w:rsidR="00EC2FBC" w:rsidRPr="00E93946" w:rsidRDefault="00EC2FBC">
      <w:pPr>
        <w:spacing w:after="120"/>
        <w:ind w:firstLine="539"/>
        <w:jc w:val="both"/>
      </w:pPr>
      <w:r w:rsidRPr="00E93946">
        <w:t>võttes arvesse siseministri 3. augusti 2015. aasta määrust tuleohutuse tehniliste standardite heakskiitmise kohta kooskõlas 8. märtsi 2006. aasta seadusandliku dekreedi nr 139 artikliga 15, mis on avaldatud 20. augusti 2015. aasta Itaalia Vabariigi Teatajas nr 192, muudetud kujul,</w:t>
      </w:r>
    </w:p>
    <w:p w14:paraId="36FB9D76" w14:textId="77777777" w:rsidR="00EC2FBC" w:rsidRPr="00E93946" w:rsidRDefault="00EC2FBC" w:rsidP="00A2403B">
      <w:pPr>
        <w:spacing w:after="120"/>
        <w:ind w:firstLine="567"/>
        <w:jc w:val="both"/>
      </w:pPr>
      <w:r w:rsidRPr="00E93946">
        <w:t>võttes arvesse majandus- ja rahandusministri 6. augusti 2021. aasta dekreeti ning sellele järgnenud muudatusi, mis käsitlevad riikliku taaste- ja vastupidavuskava meetmete rakendamiseks ettenähtud rahaliste vahendite eraldamist ning vahe-eesmärkide ja sihtide jaotamist kuuekuuliseks aruandlustähtajaks, mis on avaldatud Itaalia Vabariigi Teatajas nr 229, 24-09-2021,</w:t>
      </w:r>
    </w:p>
    <w:p w14:paraId="6DD4771B" w14:textId="77777777" w:rsidR="00EC2FBC" w:rsidRPr="00E93946" w:rsidRDefault="00EC2FBC" w:rsidP="0014745D">
      <w:pPr>
        <w:spacing w:after="120"/>
        <w:ind w:firstLine="539"/>
        <w:jc w:val="both"/>
      </w:pPr>
      <w:r w:rsidRPr="00E93946">
        <w:t xml:space="preserve">võttes arvesse siseministri 1. septembri 2021. aasta dekreeti tuleohutusseadmete, -seadmestiku ja muude süsteemide kontrolli ja hoolduse üldiste kriteeriumide kohta vastavalt 9. aprilli 2008. aasta </w:t>
      </w:r>
      <w:r w:rsidRPr="00E93946">
        <w:lastRenderedPageBreak/>
        <w:t>seadusandliku dekreedi nr 81 artikli 46 lõike 3 punkti a alapunktile 3, mis on avaldatud 25. septembri 2021. aasta Itaalia Vabariigi Teatajas nr 230, muudetud kujul,</w:t>
      </w:r>
    </w:p>
    <w:p w14:paraId="0AEA2C57" w14:textId="77777777" w:rsidR="00EC2FBC" w:rsidRPr="00E93946" w:rsidRDefault="00EC2FBC" w:rsidP="0014745D">
      <w:pPr>
        <w:spacing w:after="120"/>
        <w:ind w:firstLine="539"/>
        <w:jc w:val="both"/>
      </w:pPr>
      <w:r w:rsidRPr="00E93946">
        <w:t>võttes arvesse siseministri 2. septembri 2021. aasta dekreeti töösolevate ja hädaolukorras töökohtade haldamise kriteeriumide ning tulekahjude vältimise ja kaitse eriteenistuse omaduste kohta vastavalt 9. aprilli 2008. aasta seadusandliku dekreedi nr 81 artikli 46 lõike 3 punkti a alapunktidele 4 ja b, avaldatud 4. oktoobri 2021. aasta Itaalia Vabariigi Teatajas nr 237,</w:t>
      </w:r>
    </w:p>
    <w:p w14:paraId="54B3BDE0" w14:textId="77777777" w:rsidR="00EC2FBC" w:rsidRPr="00E93946" w:rsidRDefault="00EC2FBC" w:rsidP="0014745D">
      <w:pPr>
        <w:spacing w:after="120"/>
        <w:ind w:firstLine="539"/>
        <w:jc w:val="both"/>
      </w:pPr>
      <w:r w:rsidRPr="00E93946">
        <w:t>võttes arvesse siseministri 3. septembri 2021. aasta dekreeti töökohtade tuleohutuse projekteerimise, ehitamise ja toimimise üldkriteeriumide kohta vastavalt 9. aprilli 2008. aasta seadusandliku dekreedi nr 81 artikli 46 lõike 3 punkti a alapunktidele 1 ja 2, mis avaldati Itaalia Vabariigi Teatajas nr 259 29. oktoobril 2021,</w:t>
      </w:r>
    </w:p>
    <w:p w14:paraId="0E882407" w14:textId="77777777" w:rsidR="00EC2FBC" w:rsidRPr="00E93946" w:rsidRDefault="00EC2FBC" w:rsidP="00A2403B">
      <w:pPr>
        <w:spacing w:after="120"/>
        <w:ind w:firstLine="567"/>
        <w:jc w:val="both"/>
      </w:pPr>
      <w:r w:rsidRPr="00E93946">
        <w:t>võttes arvesse komisjoni teatist 2021/C 58/01 „Tehnilised suunised olulise kahju ärahoidmise põhimõtte kohaldamiseks taaste- ja vastupidavusrahastu määruse alusel“,</w:t>
      </w:r>
    </w:p>
    <w:p w14:paraId="17DAD85E" w14:textId="77777777" w:rsidR="00EC2FBC" w:rsidRPr="00E93946" w:rsidRDefault="00EC2FBC" w:rsidP="008620F3">
      <w:pPr>
        <w:spacing w:after="120"/>
        <w:ind w:firstLine="567"/>
        <w:jc w:val="both"/>
      </w:pPr>
      <w:r w:rsidRPr="00E93946">
        <w:t xml:space="preserve">arvestades, et riiklikus taaste- ja vastupidavuskavas sätestatud valdkonnaülesed põhimõtted hõlmavad kliima- ja digieesmärgi saavutamisele kaasaaitamise põhimõtet (nn märgistamine), soolise võrdõiguslikkuse põhimõtet ning kohustust kaitsta noori ja suurendada nende mõjuvõimu, ning et sama kava 2. rahastamisvahendi 2. komponendi reformiga 3.1 nähakse ette vesiniku kasutuselevõttu takistavate regulatiivsete tõkete halduslik lihtsustamine ja vähendamine; </w:t>
      </w:r>
    </w:p>
    <w:p w14:paraId="41AB4DFD" w14:textId="77777777" w:rsidR="00EC2FBC" w:rsidRPr="00E93946" w:rsidRDefault="00EC2FBC" w:rsidP="00DF6DA9">
      <w:pPr>
        <w:spacing w:after="120"/>
        <w:ind w:firstLine="567"/>
        <w:jc w:val="both"/>
      </w:pPr>
      <w:r w:rsidRPr="00E93946">
        <w:t>pidades silmas kohustust tagada riiklikus taaste- ja vastupidavuskavas sätestatud vahe-eesmärkide ja sihtide ning finantseesmärkide saavutamine, nagu on sätestatud allpool, ning eelkõige 2023. aasta I kvartali M2C2-20 vahe-eesmärki, millega nähakse ette vajalike seadusandlike meetmete jõustumine, täpsustades, et „vajalikes seadusandlikes meetmetes sätestatakse i) vesiniku tootmise, transpordi ja ladustamisega seotud turvasätted, ii) lihtsustatud menetlused keskkonnahoidliku vesiniku tootmiseks mõeldud väikeste rajatiste ehitamiseks ja iii) vesinikul põhinevate laadimisjaamade ehitamise tingimused“;</w:t>
      </w:r>
    </w:p>
    <w:p w14:paraId="63DBB375" w14:textId="77777777" w:rsidR="00EC2FBC" w:rsidRPr="00E93946" w:rsidRDefault="00EC2FBC">
      <w:pPr>
        <w:spacing w:after="120"/>
        <w:ind w:firstLine="539"/>
        <w:jc w:val="both"/>
        <w:rPr>
          <w:bCs/>
        </w:rPr>
      </w:pPr>
      <w:r w:rsidRPr="00E93946">
        <w:t>olles kooskõlas riiklikus taaste- ja vastupidavuskavas sätestatud strateegiliste eesmärkidega pidanud asjakohaseks kehtestada riigis ühtsed tuleennetusnõuded elektrolüüsiseadmeid kasutavate vesiniku tootmisjaamade projekteerimisele, ehitamisele ja käitamisele, sealhulgas selleks, et hõlbustada alternatiivkütuste ohutut levitamist ja kasutamist;</w:t>
      </w:r>
    </w:p>
    <w:p w14:paraId="7E807374" w14:textId="77777777" w:rsidR="00EC2FBC" w:rsidRPr="00E93946" w:rsidRDefault="00EC2FBC">
      <w:pPr>
        <w:spacing w:after="120"/>
        <w:ind w:firstLine="539"/>
        <w:jc w:val="both"/>
      </w:pPr>
      <w:r w:rsidRPr="00E93946">
        <w:t>olles konsulteerinud tuleohutuse tehnilis-teadusliku keskkomiteega kooskõlas 8. märtsi 2006. aasta seadusandliku dekreedi nr 139 artikliga 21;</w:t>
      </w:r>
    </w:p>
    <w:p w14:paraId="20DA352F" w14:textId="77777777" w:rsidR="00EC2FBC" w:rsidRPr="00E93946" w:rsidRDefault="00EC2FBC">
      <w:pPr>
        <w:spacing w:after="120"/>
        <w:ind w:firstLine="539"/>
        <w:jc w:val="both"/>
      </w:pPr>
      <w:r w:rsidRPr="00E93946">
        <w:t>olles lõpule viinud direktiivi (EL) 2015/1535 kohase teatamismenetluse;</w:t>
      </w:r>
    </w:p>
    <w:p w14:paraId="6E371248" w14:textId="77777777" w:rsidR="00EC2FBC" w:rsidRPr="00E93946" w:rsidRDefault="00EC2FBC" w:rsidP="0043633B">
      <w:pPr>
        <w:spacing w:after="120"/>
        <w:ind w:firstLine="567"/>
        <w:jc w:val="both"/>
      </w:pPr>
    </w:p>
    <w:p w14:paraId="51C53590" w14:textId="77777777" w:rsidR="00EC2FBC" w:rsidRPr="00E93946" w:rsidRDefault="00EC2FBC">
      <w:pPr>
        <w:jc w:val="center"/>
      </w:pPr>
    </w:p>
    <w:p w14:paraId="15A4B440" w14:textId="77777777" w:rsidR="00EC2FBC" w:rsidRPr="00E93946" w:rsidRDefault="00EC2FBC">
      <w:pPr>
        <w:jc w:val="center"/>
        <w:rPr>
          <w:bCs/>
        </w:rPr>
      </w:pPr>
      <w:r w:rsidRPr="00E93946">
        <w:t>on võtnud vastu järgmise dekreedi.</w:t>
      </w:r>
    </w:p>
    <w:p w14:paraId="6AA3B40B" w14:textId="77777777" w:rsidR="00EC2FBC" w:rsidRPr="00E93946" w:rsidRDefault="00EC2FBC">
      <w:pPr>
        <w:jc w:val="center"/>
        <w:rPr>
          <w:b/>
          <w:bCs/>
        </w:rPr>
      </w:pPr>
    </w:p>
    <w:p w14:paraId="253EFE10" w14:textId="77777777" w:rsidR="00EC2FBC" w:rsidRPr="00E93946" w:rsidRDefault="00EC2FBC">
      <w:pPr>
        <w:jc w:val="center"/>
        <w:rPr>
          <w:b/>
          <w:bCs/>
        </w:rPr>
      </w:pPr>
    </w:p>
    <w:p w14:paraId="7CA56D26" w14:textId="77777777" w:rsidR="00EC2FBC" w:rsidRPr="00E93946" w:rsidRDefault="00EC2FBC" w:rsidP="00293BC8">
      <w:pPr>
        <w:keepNext/>
        <w:keepLines/>
        <w:jc w:val="center"/>
        <w:rPr>
          <w:bCs/>
        </w:rPr>
      </w:pPr>
      <w:r w:rsidRPr="00E93946">
        <w:t>Artikkel 1</w:t>
      </w:r>
    </w:p>
    <w:p w14:paraId="715933A0" w14:textId="77777777" w:rsidR="00EC2FBC" w:rsidRPr="00E93946" w:rsidRDefault="00EC2FBC" w:rsidP="00293BC8">
      <w:pPr>
        <w:keepNext/>
        <w:keepLines/>
        <w:spacing w:after="227"/>
        <w:jc w:val="center"/>
        <w:rPr>
          <w:bCs/>
          <w:i/>
        </w:rPr>
      </w:pPr>
      <w:r w:rsidRPr="00E93946">
        <w:rPr>
          <w:i/>
        </w:rPr>
        <w:t>Eesmärk ja rakendusala</w:t>
      </w:r>
    </w:p>
    <w:p w14:paraId="061E85D4" w14:textId="77777777" w:rsidR="00EC2FBC" w:rsidRPr="00E93946" w:rsidRDefault="00EC2FBC" w:rsidP="00611A18">
      <w:pPr>
        <w:numPr>
          <w:ilvl w:val="0"/>
          <w:numId w:val="1"/>
        </w:numPr>
        <w:tabs>
          <w:tab w:val="clear" w:pos="720"/>
          <w:tab w:val="left" w:pos="284"/>
        </w:tabs>
        <w:ind w:left="283" w:hanging="283"/>
        <w:jc w:val="both"/>
        <w:rPr>
          <w:bCs/>
        </w:rPr>
      </w:pPr>
      <w:r w:rsidRPr="00E93946">
        <w:t>Käesoleva dekreedi sätteid kohaldatakse elektrolüüsi kasutavate gaasilise vesiniku tootmisjaamade ja nendega seotud gaasilise vesiniku hoidlate projekteerimisele, ehitamisele ja käitamisele tulekahju vältimise eesmärgil.</w:t>
      </w:r>
    </w:p>
    <w:p w14:paraId="5C00BD80" w14:textId="77777777" w:rsidR="00EC2FBC" w:rsidRPr="00E93946" w:rsidRDefault="00EC2FBC" w:rsidP="00611A18">
      <w:pPr>
        <w:numPr>
          <w:ilvl w:val="0"/>
          <w:numId w:val="1"/>
        </w:numPr>
        <w:tabs>
          <w:tab w:val="clear" w:pos="720"/>
          <w:tab w:val="left" w:pos="284"/>
        </w:tabs>
        <w:ind w:left="283" w:hanging="283"/>
        <w:jc w:val="both"/>
      </w:pPr>
      <w:r w:rsidRPr="00E93946">
        <w:t xml:space="preserve">Pärast riskihindamist võib käesoleva dekreedi sätteid kohaldada ka muude kui lõikes 1 määratletud gaasilise vesiniku tootmis- ja hoiustamistegevuste suhtes. </w:t>
      </w:r>
    </w:p>
    <w:p w14:paraId="0634984D" w14:textId="77777777" w:rsidR="00EC2FBC" w:rsidRPr="00E93946" w:rsidRDefault="00EC2FBC">
      <w:pPr>
        <w:jc w:val="both"/>
      </w:pPr>
    </w:p>
    <w:p w14:paraId="2AC37A9F" w14:textId="77777777" w:rsidR="00EC2FBC" w:rsidRPr="00E93946" w:rsidRDefault="00EC2FBC">
      <w:pPr>
        <w:jc w:val="center"/>
        <w:rPr>
          <w:bCs/>
        </w:rPr>
      </w:pPr>
      <w:r w:rsidRPr="00E93946">
        <w:t>Artikkel 2</w:t>
      </w:r>
    </w:p>
    <w:p w14:paraId="2843E587" w14:textId="77777777" w:rsidR="00EC2FBC" w:rsidRPr="00E93946" w:rsidRDefault="00EC2FBC">
      <w:pPr>
        <w:spacing w:after="227"/>
        <w:jc w:val="center"/>
        <w:rPr>
          <w:bCs/>
          <w:i/>
        </w:rPr>
      </w:pPr>
      <w:r w:rsidRPr="00E93946">
        <w:rPr>
          <w:i/>
        </w:rPr>
        <w:t>Eesmärgid</w:t>
      </w:r>
    </w:p>
    <w:p w14:paraId="4FC9359F" w14:textId="77777777" w:rsidR="00EC2FBC" w:rsidRPr="00E93946" w:rsidRDefault="00EC2FBC" w:rsidP="008420EE">
      <w:pPr>
        <w:pStyle w:val="ListParagraph"/>
        <w:numPr>
          <w:ilvl w:val="0"/>
          <w:numId w:val="2"/>
        </w:numPr>
        <w:jc w:val="both"/>
        <w:rPr>
          <w:spacing w:val="-1"/>
        </w:rPr>
      </w:pPr>
      <w:r w:rsidRPr="00E93946">
        <w:lastRenderedPageBreak/>
        <w:t>Tulekahjude vältimise eesmärgil ning inimeste ja vara tuleohu eest kaitsmise ohutusnõuete tagamiseks ehitatakse ja käitatakse artiklis 1 osutatud jaamu nii, et oleks tagatud järgmised eesmärgid:</w:t>
      </w:r>
    </w:p>
    <w:p w14:paraId="751AFCD6" w14:textId="77777777" w:rsidR="00EC2FBC" w:rsidRPr="00E93946" w:rsidRDefault="00EC2FBC" w:rsidP="00104AE2">
      <w:pPr>
        <w:pStyle w:val="ListParagraph"/>
        <w:numPr>
          <w:ilvl w:val="1"/>
          <w:numId w:val="18"/>
        </w:numPr>
        <w:ind w:left="709"/>
        <w:rPr>
          <w:spacing w:val="-1"/>
        </w:rPr>
      </w:pPr>
      <w:r w:rsidRPr="00E93946">
        <w:t>gaasi juhusliku vabanemise, tulekahju ja plahvatuse põhjuste minimeerimine;</w:t>
      </w:r>
    </w:p>
    <w:p w14:paraId="2762830C" w14:textId="77777777" w:rsidR="00EC2FBC" w:rsidRPr="00E93946" w:rsidRDefault="00EC2FBC" w:rsidP="00104AE2">
      <w:pPr>
        <w:pStyle w:val="ListParagraph"/>
        <w:numPr>
          <w:ilvl w:val="1"/>
          <w:numId w:val="18"/>
        </w:numPr>
        <w:ind w:left="709"/>
        <w:rPr>
          <w:spacing w:val="-1"/>
        </w:rPr>
      </w:pPr>
      <w:r w:rsidRPr="00E93946">
        <w:t>õnnetuse korral isikute vigastamise piiramine;</w:t>
      </w:r>
    </w:p>
    <w:p w14:paraId="094A2D04" w14:textId="77777777" w:rsidR="00EC2FBC" w:rsidRPr="00E93946" w:rsidRDefault="00EC2FBC" w:rsidP="00104AE2">
      <w:pPr>
        <w:pStyle w:val="ListParagraph"/>
        <w:numPr>
          <w:ilvl w:val="1"/>
          <w:numId w:val="18"/>
        </w:numPr>
        <w:ind w:left="709"/>
        <w:rPr>
          <w:spacing w:val="-1"/>
        </w:rPr>
      </w:pPr>
      <w:r w:rsidRPr="00E93946">
        <w:t>jaamaga külgnevatele hoonetele ja ruumidele õnnetuse korral tekitatud kahju piiramine;</w:t>
      </w:r>
    </w:p>
    <w:p w14:paraId="7DADBB21" w14:textId="77777777" w:rsidR="00EC2FBC" w:rsidRPr="00E93946" w:rsidRDefault="00EC2FBC" w:rsidP="00104AE2">
      <w:pPr>
        <w:pStyle w:val="ListParagraph"/>
        <w:numPr>
          <w:ilvl w:val="1"/>
          <w:numId w:val="18"/>
        </w:numPr>
        <w:ind w:left="709"/>
        <w:jc w:val="both"/>
      </w:pPr>
      <w:r w:rsidRPr="00E93946">
        <w:t>tuletõrjujate/päästemeeskondade töövõimekuse tagamine ohututes tingimustes.</w:t>
      </w:r>
    </w:p>
    <w:p w14:paraId="111599E0" w14:textId="77777777" w:rsidR="00EC2FBC" w:rsidRPr="00E93946" w:rsidRDefault="00EC2FBC">
      <w:pPr>
        <w:jc w:val="both"/>
      </w:pPr>
    </w:p>
    <w:p w14:paraId="04BCF282" w14:textId="77777777" w:rsidR="00EC2FBC" w:rsidRPr="00E93946" w:rsidRDefault="00EC2FBC" w:rsidP="000D6ACA">
      <w:pPr>
        <w:jc w:val="center"/>
        <w:rPr>
          <w:bCs/>
        </w:rPr>
      </w:pPr>
      <w:r w:rsidRPr="00E93946">
        <w:t>Artikkel 3</w:t>
      </w:r>
    </w:p>
    <w:p w14:paraId="5FB00751" w14:textId="77777777" w:rsidR="00EC2FBC" w:rsidRPr="00E93946" w:rsidRDefault="00EC2FBC" w:rsidP="000D6ACA">
      <w:pPr>
        <w:spacing w:after="227"/>
        <w:jc w:val="center"/>
        <w:rPr>
          <w:bCs/>
          <w:i/>
        </w:rPr>
      </w:pPr>
      <w:r w:rsidRPr="00E93946">
        <w:rPr>
          <w:i/>
        </w:rPr>
        <w:t>Tehnilised sätted</w:t>
      </w:r>
    </w:p>
    <w:p w14:paraId="7F15A110" w14:textId="77777777" w:rsidR="00EC2FBC" w:rsidRPr="00E93946" w:rsidRDefault="00EC2FBC" w:rsidP="000D6ACA">
      <w:pPr>
        <w:pStyle w:val="ListParagraph"/>
        <w:numPr>
          <w:ilvl w:val="0"/>
          <w:numId w:val="9"/>
        </w:numPr>
        <w:jc w:val="both"/>
        <w:rPr>
          <w:spacing w:val="-1"/>
        </w:rPr>
      </w:pPr>
      <w:r w:rsidRPr="00E93946">
        <w:t>Selleks, et kiita heaks artiklis 2 viidatud eesmärgid, tunnustatakse 1. lisas viidatud tehnilisi eeskirju, mis on käesoleva dekreedi lahutamatu osa.</w:t>
      </w:r>
    </w:p>
    <w:p w14:paraId="171DA827" w14:textId="77777777" w:rsidR="00EC2FBC" w:rsidRPr="00E93946" w:rsidRDefault="00EC2FBC" w:rsidP="000D6ACA">
      <w:pPr>
        <w:jc w:val="both"/>
        <w:rPr>
          <w:spacing w:val="-1"/>
        </w:rPr>
      </w:pPr>
    </w:p>
    <w:p w14:paraId="67C897FD" w14:textId="77777777" w:rsidR="00EC2FBC" w:rsidRPr="00E93946" w:rsidRDefault="00EC2FBC" w:rsidP="000D6ACA">
      <w:pPr>
        <w:jc w:val="center"/>
        <w:rPr>
          <w:bCs/>
        </w:rPr>
      </w:pPr>
      <w:r w:rsidRPr="00E93946">
        <w:t>Artikkel 4</w:t>
      </w:r>
    </w:p>
    <w:p w14:paraId="157BAB1E" w14:textId="77777777" w:rsidR="00EC2FBC" w:rsidRPr="00E93946" w:rsidRDefault="00EC2FBC" w:rsidP="000D6ACA">
      <w:pPr>
        <w:spacing w:after="227"/>
        <w:jc w:val="center"/>
        <w:rPr>
          <w:bCs/>
          <w:i/>
        </w:rPr>
      </w:pPr>
      <w:r w:rsidRPr="00E93946">
        <w:rPr>
          <w:i/>
        </w:rPr>
        <w:t>Tehniliste eraldiste kohaldamine</w:t>
      </w:r>
    </w:p>
    <w:p w14:paraId="44604815" w14:textId="77777777" w:rsidR="00EC2FBC" w:rsidRPr="00E93946" w:rsidRDefault="00EC2FBC" w:rsidP="000D6ACA">
      <w:pPr>
        <w:pStyle w:val="ListParagraph"/>
        <w:numPr>
          <w:ilvl w:val="0"/>
          <w:numId w:val="10"/>
        </w:numPr>
        <w:jc w:val="both"/>
        <w:rPr>
          <w:spacing w:val="-1"/>
        </w:rPr>
      </w:pPr>
      <w:r w:rsidRPr="00E93946">
        <w:t>Lisa 1 sätteid kohaldatakse vesiniku tootmisjaamade suhtes, mis kasutavad elektrolüüsi (nn elektrolüüsiseadmed) ja nendega seotud gaasilise vesiniku mahutisüsteeme:</w:t>
      </w:r>
    </w:p>
    <w:p w14:paraId="3CBA3195" w14:textId="77777777" w:rsidR="00EC2FBC" w:rsidRPr="00E93946" w:rsidRDefault="00EC2FBC" w:rsidP="00F82282">
      <w:pPr>
        <w:pStyle w:val="ListParagraph"/>
        <w:numPr>
          <w:ilvl w:val="1"/>
          <w:numId w:val="19"/>
        </w:numPr>
        <w:ind w:left="709" w:hanging="283"/>
        <w:jc w:val="both"/>
        <w:rPr>
          <w:spacing w:val="-1"/>
        </w:rPr>
      </w:pPr>
      <w:r w:rsidRPr="00E93946">
        <w:t>uute rajatiste jaoks;</w:t>
      </w:r>
    </w:p>
    <w:p w14:paraId="4E0D06CE" w14:textId="77777777" w:rsidR="00EC2FBC" w:rsidRPr="00E93946" w:rsidRDefault="00EC2FBC" w:rsidP="00F82282">
      <w:pPr>
        <w:pStyle w:val="ListParagraph"/>
        <w:numPr>
          <w:ilvl w:val="1"/>
          <w:numId w:val="19"/>
        </w:numPr>
        <w:ind w:left="709" w:hanging="283"/>
        <w:jc w:val="both"/>
        <w:rPr>
          <w:spacing w:val="-1"/>
        </w:rPr>
      </w:pPr>
      <w:r w:rsidRPr="00E93946">
        <w:t>ning mis kehtivad käesoleva dekreedi jõustumise kuupäeval tuleohutusega seotud muudatuste puhul, mis hõlmavad muudatusi olemasolevates tuleohutustingimustes, mis piirduvad sekkumisega seotud osapooltega.</w:t>
      </w:r>
    </w:p>
    <w:p w14:paraId="64CAF955" w14:textId="77777777" w:rsidR="00EC2FBC" w:rsidRPr="00E93946" w:rsidRDefault="00EC2FBC" w:rsidP="00BF59C6">
      <w:pPr>
        <w:pStyle w:val="ListParagraph"/>
        <w:numPr>
          <w:ilvl w:val="0"/>
          <w:numId w:val="10"/>
        </w:numPr>
        <w:jc w:val="both"/>
        <w:rPr>
          <w:spacing w:val="-1"/>
        </w:rPr>
      </w:pPr>
      <w:r w:rsidRPr="00E93946">
        <w:t>Kohandusi ei ole vaja teha tegevuste puhul, mis käesoleva dekreedi jõustumise kuupäeval:</w:t>
      </w:r>
    </w:p>
    <w:p w14:paraId="59CC0C51" w14:textId="77777777" w:rsidR="00EC2FBC" w:rsidRPr="00E93946" w:rsidRDefault="00EC2FBC" w:rsidP="00F82282">
      <w:pPr>
        <w:pStyle w:val="ListParagraph"/>
        <w:numPr>
          <w:ilvl w:val="1"/>
          <w:numId w:val="20"/>
        </w:numPr>
        <w:ind w:left="709" w:hanging="283"/>
        <w:jc w:val="both"/>
        <w:rPr>
          <w:spacing w:val="-1"/>
        </w:rPr>
      </w:pPr>
      <w:r w:rsidRPr="00E93946">
        <w:t xml:space="preserve">omavad pädevate asutuste väljastatud lubasid, sealhulgas tuleohutusnõuete täitmise kohta, nagu on ette nähtud 21. juuni 2013. aasta dekreet-seaduse nr 69 (muudetud kujul 9. augusti 2013. aasta seadusega nr 98) artiklis 38; </w:t>
      </w:r>
    </w:p>
    <w:p w14:paraId="0401627C" w14:textId="77777777" w:rsidR="00EC2FBC" w:rsidRPr="00E93946" w:rsidRDefault="00EC2FBC" w:rsidP="00F82282">
      <w:pPr>
        <w:pStyle w:val="ListParagraph"/>
        <w:numPr>
          <w:ilvl w:val="1"/>
          <w:numId w:val="20"/>
        </w:numPr>
        <w:ind w:left="709" w:hanging="283"/>
        <w:jc w:val="both"/>
        <w:rPr>
          <w:spacing w:val="-1"/>
        </w:rPr>
      </w:pPr>
      <w:r w:rsidRPr="00E93946">
        <w:t>vastavad presidendi 1. augusti 2011. aasta dekreedi nr 151 artiklites 3, 4 ja 7 sätestatud nõuetele.</w:t>
      </w:r>
    </w:p>
    <w:p w14:paraId="635BB7D0" w14:textId="77777777" w:rsidR="00EC2FBC" w:rsidRPr="00E93946" w:rsidRDefault="00EC2FBC" w:rsidP="000D6ACA">
      <w:pPr>
        <w:jc w:val="both"/>
        <w:rPr>
          <w:spacing w:val="-1"/>
        </w:rPr>
      </w:pPr>
    </w:p>
    <w:p w14:paraId="50A7A2DE" w14:textId="77777777" w:rsidR="00EC2FBC" w:rsidRPr="00E93946" w:rsidRDefault="00EC2FBC" w:rsidP="00A40847">
      <w:pPr>
        <w:jc w:val="center"/>
        <w:rPr>
          <w:bCs/>
        </w:rPr>
      </w:pPr>
      <w:r w:rsidRPr="00E93946">
        <w:t>Artikkel 5</w:t>
      </w:r>
    </w:p>
    <w:p w14:paraId="4A20059A" w14:textId="77777777" w:rsidR="00EC2FBC" w:rsidRPr="00E93946" w:rsidRDefault="00EC2FBC" w:rsidP="00A40847">
      <w:pPr>
        <w:spacing w:after="227"/>
        <w:jc w:val="center"/>
        <w:rPr>
          <w:bCs/>
          <w:i/>
        </w:rPr>
      </w:pPr>
      <w:r w:rsidRPr="00E93946">
        <w:rPr>
          <w:i/>
        </w:rPr>
        <w:t>Ehitusnõuded</w:t>
      </w:r>
    </w:p>
    <w:p w14:paraId="4983AE73" w14:textId="77777777" w:rsidR="00EC2FBC" w:rsidRPr="00E93946" w:rsidRDefault="00EC2FBC" w:rsidP="00A40847">
      <w:pPr>
        <w:pStyle w:val="ListParagraph"/>
        <w:numPr>
          <w:ilvl w:val="0"/>
          <w:numId w:val="11"/>
        </w:numPr>
        <w:jc w:val="both"/>
        <w:rPr>
          <w:spacing w:val="-1"/>
        </w:rPr>
      </w:pPr>
      <w:r w:rsidRPr="00E93946">
        <w:t>Jaama moodustavad surveseadmed ja -seadmestikud peavad olema spetsiaalselt projekteeritud, valmistatud ja varustatud paigaldamiseks vastavalt kehtivatele ELi ja riiklikele sätetele. Kõik survestatud süsteemid peavad olema ülerõhu eest kaitstud.</w:t>
      </w:r>
    </w:p>
    <w:p w14:paraId="5BC852E2" w14:textId="77777777" w:rsidR="00EC2FBC" w:rsidRPr="00E93946" w:rsidRDefault="00EC2FBC" w:rsidP="00A40847">
      <w:pPr>
        <w:pStyle w:val="ListParagraph"/>
        <w:numPr>
          <w:ilvl w:val="0"/>
          <w:numId w:val="11"/>
        </w:numPr>
        <w:jc w:val="both"/>
        <w:rPr>
          <w:spacing w:val="-1"/>
        </w:rPr>
      </w:pPr>
      <w:r w:rsidRPr="00E93946">
        <w:t xml:space="preserve">Jaamad ja nendega seotud seadmed peavad olema projekteeritud nii, et vesiniku juhusliku vabanemise võimalus oleks minimaalne. </w:t>
      </w:r>
    </w:p>
    <w:p w14:paraId="2F209187" w14:textId="77777777" w:rsidR="00EC2FBC" w:rsidRPr="00E93946" w:rsidRDefault="00EC2FBC" w:rsidP="00A40847">
      <w:pPr>
        <w:pStyle w:val="ListParagraph"/>
        <w:numPr>
          <w:ilvl w:val="0"/>
          <w:numId w:val="11"/>
        </w:numPr>
        <w:jc w:val="both"/>
        <w:rPr>
          <w:spacing w:val="-1"/>
        </w:rPr>
      </w:pPr>
      <w:r w:rsidRPr="00E93946">
        <w:t xml:space="preserve">Jaama kuuluvad seadmestikud ja seadmed paigaldatakse nõuetekohaselt vastavalt paigaldus-, kasutus- ja hooldusvihikus esitatud juhistele, mille on esitanud tootja, või vastavalt parimatele tavadele või projekteerija poolt kindlaks määratud juhistele. </w:t>
      </w:r>
    </w:p>
    <w:p w14:paraId="0F7BB153" w14:textId="77777777" w:rsidR="00EC2FBC" w:rsidRPr="00E93946" w:rsidRDefault="00EC2FBC" w:rsidP="00A40847">
      <w:pPr>
        <w:pStyle w:val="ListParagraph"/>
        <w:numPr>
          <w:ilvl w:val="0"/>
          <w:numId w:val="11"/>
        </w:numPr>
        <w:jc w:val="both"/>
        <w:rPr>
          <w:spacing w:val="-1"/>
        </w:rPr>
      </w:pPr>
      <w:r w:rsidRPr="00E93946">
        <w:t>Artiklis 2 sätestatud eesmärkide saavutamiseks peab paigaldaja kontrollima, kas jaam sobib nii kasutusviisiks kui ka kavandatava käitise tüübi jaoks ning et kasutajat on teavitatud konkreetsetest kohustustest ja keeldudest, mille eesmärk on tagada jaama ohutu käitamine ja sellega seotud ladustamine.</w:t>
      </w:r>
    </w:p>
    <w:p w14:paraId="3AF8377C" w14:textId="77777777" w:rsidR="00EC2FBC" w:rsidRPr="00E93946" w:rsidRDefault="00EC2FBC" w:rsidP="00552508">
      <w:pPr>
        <w:jc w:val="both"/>
        <w:rPr>
          <w:spacing w:val="-1"/>
        </w:rPr>
      </w:pPr>
    </w:p>
    <w:p w14:paraId="5F755834" w14:textId="7ADA7913" w:rsidR="00EC2FBC" w:rsidRPr="00E93946" w:rsidRDefault="00EC2FBC" w:rsidP="002470F2">
      <w:pPr>
        <w:tabs>
          <w:tab w:val="center" w:pos="4817"/>
          <w:tab w:val="left" w:pos="5472"/>
        </w:tabs>
        <w:rPr>
          <w:bCs/>
        </w:rPr>
      </w:pPr>
      <w:r w:rsidRPr="00E93946">
        <w:tab/>
        <w:t>Artikkel 6</w:t>
      </w:r>
    </w:p>
    <w:p w14:paraId="33C599A9" w14:textId="77777777" w:rsidR="00EC2FBC" w:rsidRPr="00E93946" w:rsidRDefault="00EC2FBC" w:rsidP="00552508">
      <w:pPr>
        <w:spacing w:after="227"/>
        <w:jc w:val="center"/>
        <w:rPr>
          <w:bCs/>
          <w:i/>
        </w:rPr>
      </w:pPr>
      <w:r w:rsidRPr="00E93946">
        <w:rPr>
          <w:i/>
        </w:rPr>
        <w:t>Tulekustutusvahendite kasutamine</w:t>
      </w:r>
    </w:p>
    <w:p w14:paraId="3EA4A8E8" w14:textId="77777777" w:rsidR="00EC2FBC" w:rsidRPr="00E93946" w:rsidRDefault="00EC2FBC" w:rsidP="00D653BE">
      <w:pPr>
        <w:pStyle w:val="ListParagraph"/>
        <w:numPr>
          <w:ilvl w:val="0"/>
          <w:numId w:val="14"/>
        </w:numPr>
        <w:jc w:val="both"/>
        <w:rPr>
          <w:spacing w:val="-1"/>
        </w:rPr>
      </w:pPr>
      <w:r w:rsidRPr="00E93946">
        <w:t>Käesoleva dekreedi kohaldamisalasse kuuluvad tulekustutusvahendid on järgmised:</w:t>
      </w:r>
    </w:p>
    <w:p w14:paraId="4DF0B52E" w14:textId="77777777" w:rsidR="00EC2FBC" w:rsidRPr="00E93946" w:rsidRDefault="00EC2FBC" w:rsidP="00D653BE">
      <w:pPr>
        <w:numPr>
          <w:ilvl w:val="0"/>
          <w:numId w:val="12"/>
        </w:numPr>
        <w:jc w:val="both"/>
        <w:rPr>
          <w:spacing w:val="-1"/>
        </w:rPr>
      </w:pPr>
      <w:r w:rsidRPr="00E93946">
        <w:t>a) tootja vastutusel kordumatult identifitseeritavad kooskõlas kohaldatavate menetlustega;</w:t>
      </w:r>
    </w:p>
    <w:p w14:paraId="26638AF1" w14:textId="77777777" w:rsidR="00EC2FBC" w:rsidRPr="00E93946" w:rsidRDefault="00EC2FBC" w:rsidP="00D653BE">
      <w:pPr>
        <w:numPr>
          <w:ilvl w:val="0"/>
          <w:numId w:val="12"/>
        </w:numPr>
        <w:jc w:val="both"/>
        <w:rPr>
          <w:spacing w:val="-1"/>
        </w:rPr>
      </w:pPr>
      <w:r w:rsidRPr="00E93946">
        <w:t>vastavad ettenähtud otstarbe toimivusnõuetele;</w:t>
      </w:r>
    </w:p>
    <w:p w14:paraId="53D6023C" w14:textId="77777777" w:rsidR="00EC2FBC" w:rsidRPr="00E93946" w:rsidRDefault="00EC2FBC" w:rsidP="00D653BE">
      <w:pPr>
        <w:numPr>
          <w:ilvl w:val="0"/>
          <w:numId w:val="12"/>
        </w:numPr>
        <w:jc w:val="both"/>
        <w:rPr>
          <w:spacing w:val="-1"/>
        </w:rPr>
      </w:pPr>
      <w:r w:rsidRPr="00E93946">
        <w:lastRenderedPageBreak/>
        <w:t>aktsepteeritud toimingu eest vastutava isiku või tööde teostamise eest vastutava isiku poolt, kes hangib ja kontrollib identifitseerimis- ja kvalifikatsioonidokumente.</w:t>
      </w:r>
    </w:p>
    <w:p w14:paraId="5420AAF6" w14:textId="77777777" w:rsidR="00EC2FBC" w:rsidRPr="00E93946" w:rsidRDefault="00EC2FBC" w:rsidP="00D653BE">
      <w:pPr>
        <w:pStyle w:val="ListParagraph"/>
        <w:numPr>
          <w:ilvl w:val="0"/>
          <w:numId w:val="14"/>
        </w:numPr>
        <w:jc w:val="both"/>
        <w:rPr>
          <w:spacing w:val="-1"/>
        </w:rPr>
      </w:pPr>
      <w:r w:rsidRPr="00E93946">
        <w:t>Tulekustutusvahendite kasutamine on lubatud, kui neid kasutatakse ettenähtud otstarbel, kui need vastavad käesoleva määruse nõuetele ja kui:</w:t>
      </w:r>
    </w:p>
    <w:p w14:paraId="044B802E" w14:textId="77777777" w:rsidR="00EC2FBC" w:rsidRPr="00E93946" w:rsidRDefault="00EC2FBC" w:rsidP="00D653BE">
      <w:pPr>
        <w:numPr>
          <w:ilvl w:val="0"/>
          <w:numId w:val="13"/>
        </w:numPr>
        <w:jc w:val="both"/>
        <w:rPr>
          <w:spacing w:val="-1"/>
        </w:rPr>
      </w:pPr>
      <w:r w:rsidRPr="00E93946">
        <w:t>need on kooskõlas kohaldatavate ELi sätetega;</w:t>
      </w:r>
    </w:p>
    <w:p w14:paraId="5F810BE6" w14:textId="77777777" w:rsidR="00EC2FBC" w:rsidRPr="00E93946" w:rsidRDefault="00EC2FBC" w:rsidP="00D653BE">
      <w:pPr>
        <w:numPr>
          <w:ilvl w:val="0"/>
          <w:numId w:val="13"/>
        </w:numPr>
        <w:jc w:val="both"/>
        <w:rPr>
          <w:spacing w:val="-1"/>
        </w:rPr>
      </w:pPr>
      <w:r w:rsidRPr="00E93946">
        <w:t>kui need ei kuulu ELi õigusnormide kohaldamisalasse, vastavad need konkreetsetele kohaldatavatele siseriiklikele õigusnormidele, mis on juba esitatud ja heaks kiidetud vastavalt direktiivis (EL) 2015/1535 osutatud teavitamismenetlusele;</w:t>
      </w:r>
    </w:p>
    <w:p w14:paraId="74B25051" w14:textId="77777777" w:rsidR="00EC2FBC" w:rsidRPr="00E93946" w:rsidRDefault="00EC2FBC" w:rsidP="00D653BE">
      <w:pPr>
        <w:numPr>
          <w:ilvl w:val="0"/>
          <w:numId w:val="13"/>
        </w:numPr>
        <w:jc w:val="both"/>
        <w:rPr>
          <w:spacing w:val="-1"/>
        </w:rPr>
      </w:pPr>
      <w:r w:rsidRPr="00E93946">
        <w:t>kui need ei ole hõlmatud punktidega a ja b, turustatakse neid seaduslikult mõnes teises Euroopa Liidu liikmesriigis või Türgis või need pärinevad EFTA riigist, kes on EMP lepingule alla kirjutanud, ning neid turustatakse seal seaduslikult kasutamiseks samadel tingimustel, mis tagavad tuleohutusega seotud kaitsetaseme, mis on samaväärne käesolevale määrusele lisatud tehnilistes eeskirjades sätestatuga.</w:t>
      </w:r>
    </w:p>
    <w:p w14:paraId="77C0247D" w14:textId="77777777" w:rsidR="00EC2FBC" w:rsidRPr="00E93946" w:rsidRDefault="00EC2FBC" w:rsidP="0052676D">
      <w:pPr>
        <w:pStyle w:val="ListParagraph"/>
        <w:numPr>
          <w:ilvl w:val="0"/>
          <w:numId w:val="14"/>
        </w:numPr>
        <w:jc w:val="both"/>
        <w:rPr>
          <w:spacing w:val="-1"/>
        </w:rPr>
      </w:pPr>
      <w:r w:rsidRPr="00E93946">
        <w:t>Vajaduse korral hindab siseministeerium lõikes 2 osutatud tulekustutusvahenditega tagatud kaitsetaseme samaväärsust, kohaldades Euroopa Parlamendi ja nõukogu määruses (EÜ) nr 764/2008 ja alates 19. aprillist 2020 sätestatud menetlusi, mis on sätestatud 19. märtsi 2019. aasta määruses (EL) 2019/515, milles käsitletakse teises liikmesriigis seaduslikult turustatavate kaupade vastastikust tunnustamist.</w:t>
      </w:r>
    </w:p>
    <w:p w14:paraId="686D4550" w14:textId="77777777" w:rsidR="00EC2FBC" w:rsidRPr="00E93946" w:rsidRDefault="00EC2FBC" w:rsidP="00552508">
      <w:pPr>
        <w:jc w:val="both"/>
        <w:rPr>
          <w:spacing w:val="-1"/>
        </w:rPr>
      </w:pPr>
    </w:p>
    <w:p w14:paraId="4309068C" w14:textId="77777777" w:rsidR="00EC2FBC" w:rsidRPr="00E93946" w:rsidRDefault="00EC2FBC" w:rsidP="002470F2">
      <w:pPr>
        <w:tabs>
          <w:tab w:val="center" w:pos="4817"/>
          <w:tab w:val="left" w:pos="5472"/>
        </w:tabs>
        <w:rPr>
          <w:bCs/>
        </w:rPr>
      </w:pPr>
      <w:r w:rsidRPr="00E93946">
        <w:tab/>
        <w:t>Artikkel 7</w:t>
      </w:r>
    </w:p>
    <w:p w14:paraId="4C4D05B2" w14:textId="77777777" w:rsidR="00EC2FBC" w:rsidRPr="00E93946" w:rsidRDefault="00EC2FBC" w:rsidP="002470F2">
      <w:pPr>
        <w:spacing w:after="227"/>
        <w:jc w:val="center"/>
        <w:rPr>
          <w:bCs/>
          <w:i/>
        </w:rPr>
      </w:pPr>
      <w:r w:rsidRPr="00E93946">
        <w:rPr>
          <w:i/>
        </w:rPr>
        <w:t>Lõppsätted</w:t>
      </w:r>
    </w:p>
    <w:p w14:paraId="41E05987" w14:textId="39AB8ED1" w:rsidR="00EC2FBC" w:rsidRPr="00E93946" w:rsidRDefault="00EC2FBC" w:rsidP="002470F2">
      <w:pPr>
        <w:pStyle w:val="ListParagraph"/>
        <w:numPr>
          <w:ilvl w:val="0"/>
          <w:numId w:val="17"/>
        </w:numPr>
        <w:jc w:val="both"/>
        <w:rPr>
          <w:color w:val="000000"/>
        </w:rPr>
      </w:pPr>
      <w:r w:rsidRPr="00E93946">
        <w:rPr>
          <w:color w:val="000000"/>
        </w:rPr>
        <w:t>Käesolev dekreet jõustub 30 päeva jooksul pärast selle avaldamist Itaalia Vabariigi Teatajas.</w:t>
      </w:r>
    </w:p>
    <w:p w14:paraId="56D75E0B" w14:textId="77777777" w:rsidR="00EC2FBC" w:rsidRPr="00E93946" w:rsidRDefault="00EC2FBC">
      <w:pPr>
        <w:jc w:val="both"/>
        <w:rPr>
          <w:color w:val="000000"/>
        </w:rPr>
      </w:pPr>
    </w:p>
    <w:p w14:paraId="1F3FA936" w14:textId="77777777" w:rsidR="00EC2FBC" w:rsidRPr="00E93946" w:rsidRDefault="00EC2FBC">
      <w:pPr>
        <w:jc w:val="both"/>
        <w:rPr>
          <w:color w:val="000000"/>
        </w:rPr>
      </w:pPr>
      <w:r w:rsidRPr="00E93946">
        <w:rPr>
          <w:color w:val="000000"/>
        </w:rPr>
        <w:t xml:space="preserve">Rooma, </w:t>
      </w:r>
    </w:p>
    <w:tbl>
      <w:tblPr>
        <w:tblW w:w="9778" w:type="dxa"/>
        <w:tblLook w:val="0000" w:firstRow="0" w:lastRow="0" w:firstColumn="0" w:lastColumn="0" w:noHBand="0" w:noVBand="0"/>
      </w:tblPr>
      <w:tblGrid>
        <w:gridCol w:w="4890"/>
        <w:gridCol w:w="4888"/>
      </w:tblGrid>
      <w:tr w:rsidR="00EC2FBC" w:rsidRPr="00E93946" w14:paraId="429BE118" w14:textId="77777777" w:rsidTr="00414BA8">
        <w:tc>
          <w:tcPr>
            <w:tcW w:w="4890" w:type="dxa"/>
          </w:tcPr>
          <w:p w14:paraId="27475CFB" w14:textId="77777777" w:rsidR="00EC2FBC" w:rsidRPr="00E93946" w:rsidRDefault="00EC2FBC" w:rsidP="00404253">
            <w:pPr>
              <w:widowControl w:val="0"/>
              <w:jc w:val="center"/>
              <w:rPr>
                <w:color w:val="000000"/>
              </w:rPr>
            </w:pPr>
          </w:p>
        </w:tc>
        <w:tc>
          <w:tcPr>
            <w:tcW w:w="4888" w:type="dxa"/>
          </w:tcPr>
          <w:p w14:paraId="507F66E9" w14:textId="3F47C5D2" w:rsidR="00EC2FBC" w:rsidRPr="00E93946" w:rsidRDefault="00EC2FBC" w:rsidP="00414BA8">
            <w:pPr>
              <w:widowControl w:val="0"/>
              <w:jc w:val="center"/>
            </w:pPr>
            <w:r w:rsidRPr="00E93946">
              <w:rPr>
                <w:color w:val="000000"/>
              </w:rPr>
              <w:t>Piantedosi</w:t>
            </w:r>
          </w:p>
        </w:tc>
      </w:tr>
    </w:tbl>
    <w:p w14:paraId="11ED3E50" w14:textId="77777777" w:rsidR="00AC6BE3" w:rsidRPr="00E93946" w:rsidRDefault="00AC6BE3">
      <w:pPr>
        <w:suppressAutoHyphens w:val="0"/>
        <w:overflowPunct/>
      </w:pPr>
      <w:r w:rsidRPr="00E93946">
        <w:br w:type="page"/>
      </w:r>
    </w:p>
    <w:p w14:paraId="5741A8D7" w14:textId="77777777" w:rsidR="00AC6BE3" w:rsidRPr="00E93946" w:rsidRDefault="00AC6BE3" w:rsidP="00AC6BE3">
      <w:pPr>
        <w:suppressAutoHyphens w:val="0"/>
        <w:overflowPunct/>
        <w:jc w:val="center"/>
        <w:rPr>
          <w:rFonts w:eastAsia="Times New Roman"/>
          <w:lang w:eastAsia="it-IT"/>
        </w:rPr>
      </w:pPr>
    </w:p>
    <w:p w14:paraId="0CF7275C" w14:textId="77777777" w:rsidR="00AC6BE3" w:rsidRPr="00E93946" w:rsidRDefault="00AC6BE3" w:rsidP="00AC6BE3">
      <w:pPr>
        <w:suppressAutoHyphens w:val="0"/>
        <w:overflowPunct/>
        <w:ind w:left="7371"/>
        <w:jc w:val="center"/>
        <w:rPr>
          <w:rFonts w:eastAsia="Times New Roman"/>
        </w:rPr>
      </w:pPr>
      <w:r w:rsidRPr="00E93946">
        <w:t>Lisa 1</w:t>
      </w:r>
    </w:p>
    <w:p w14:paraId="00ADB371" w14:textId="77777777" w:rsidR="00AC6BE3" w:rsidRPr="00E93946" w:rsidRDefault="00AC6BE3" w:rsidP="00AC6BE3">
      <w:pPr>
        <w:suppressAutoHyphens w:val="0"/>
        <w:overflowPunct/>
        <w:ind w:left="7371"/>
        <w:jc w:val="center"/>
        <w:rPr>
          <w:rFonts w:eastAsia="Times New Roman"/>
        </w:rPr>
      </w:pPr>
      <w:r w:rsidRPr="00E93946">
        <w:t>(Artikli 3 lõige 1)</w:t>
      </w:r>
    </w:p>
    <w:p w14:paraId="22C9A050" w14:textId="77777777" w:rsidR="00AC6BE3" w:rsidRPr="00E93946" w:rsidRDefault="00AC6BE3" w:rsidP="00AC6BE3">
      <w:pPr>
        <w:suppressAutoHyphens w:val="0"/>
        <w:overflowPunct/>
        <w:ind w:left="7371"/>
        <w:jc w:val="center"/>
        <w:rPr>
          <w:rFonts w:eastAsia="Times New Roman"/>
          <w:lang w:eastAsia="it-IT"/>
        </w:rPr>
      </w:pPr>
    </w:p>
    <w:p w14:paraId="2C17E1A0" w14:textId="77777777" w:rsidR="00AC6BE3" w:rsidRPr="00E93946" w:rsidRDefault="00AC6BE3" w:rsidP="00AC6BE3">
      <w:pPr>
        <w:suppressAutoHyphens w:val="0"/>
        <w:overflowPunct/>
        <w:jc w:val="both"/>
        <w:rPr>
          <w:rFonts w:eastAsia="Times New Roman"/>
        </w:rPr>
      </w:pPr>
      <w:r w:rsidRPr="00E93946">
        <w:rPr>
          <w:b/>
        </w:rPr>
        <w:t>TULEKAHJU VÄLTIMISE TEHNILISED EESKIRJAD RISKIANALÜÜSI MEETODITE JA TULEOHUTUSMEETMETE KINDLAKSMÄÄRAMISEKS, MIS VÕETAKSE VASTU ELEKTROLÜÜSI TEEL VESINIKU TOOTMISE TEHASTE PROJEKTEERIMISEKS, EHITAMISEKS JA KÄITAMISEKS NING NENDEGA SEOTUD SALVESTUSSÜSTEEMIDE JAOKS</w:t>
      </w:r>
    </w:p>
    <w:p w14:paraId="2B377DD2" w14:textId="77777777" w:rsidR="00AC6BE3" w:rsidRPr="00E93946" w:rsidRDefault="00AC6BE3" w:rsidP="00AC6BE3">
      <w:pPr>
        <w:suppressAutoHyphens w:val="0"/>
        <w:overflowPunct/>
        <w:jc w:val="both"/>
        <w:rPr>
          <w:rFonts w:eastAsia="Times New Roman"/>
          <w:lang w:eastAsia="it-IT"/>
        </w:rPr>
      </w:pPr>
    </w:p>
    <w:p w14:paraId="0AE2B673" w14:textId="77777777" w:rsidR="00AC6BE3" w:rsidRPr="00E93946" w:rsidRDefault="00AC6BE3" w:rsidP="00AC6BE3">
      <w:pPr>
        <w:suppressAutoHyphens w:val="0"/>
        <w:overflowPunct/>
        <w:jc w:val="both"/>
        <w:rPr>
          <w:rFonts w:eastAsia="Times New Roman"/>
          <w:lang w:eastAsia="it-IT"/>
        </w:rPr>
      </w:pPr>
    </w:p>
    <w:p w14:paraId="367E0ABE" w14:textId="77777777" w:rsidR="00AC6BE3" w:rsidRPr="00E93946" w:rsidRDefault="00AC6BE3" w:rsidP="00AC6BE3">
      <w:pPr>
        <w:suppressAutoHyphens w:val="0"/>
        <w:overflowPunct/>
        <w:jc w:val="center"/>
        <w:rPr>
          <w:rFonts w:eastAsia="Times New Roman"/>
        </w:rPr>
      </w:pPr>
      <w:r w:rsidRPr="00E93946">
        <w:rPr>
          <w:b/>
        </w:rPr>
        <w:t>I jaotis – Üldsätted</w:t>
      </w:r>
    </w:p>
    <w:p w14:paraId="1C6EFC9F" w14:textId="77777777" w:rsidR="00AC6BE3" w:rsidRPr="00E93946" w:rsidRDefault="00AC6BE3" w:rsidP="00AC6BE3">
      <w:pPr>
        <w:suppressAutoHyphens w:val="0"/>
        <w:overflowPunct/>
        <w:jc w:val="both"/>
        <w:rPr>
          <w:rFonts w:eastAsia="Times New Roman"/>
          <w:lang w:eastAsia="it-IT"/>
        </w:rPr>
      </w:pPr>
    </w:p>
    <w:p w14:paraId="68DE169B" w14:textId="77777777" w:rsidR="00AC6BE3" w:rsidRPr="00E93946" w:rsidRDefault="00AC6BE3" w:rsidP="00AC6BE3">
      <w:pPr>
        <w:suppressAutoHyphens w:val="0"/>
        <w:overflowPunct/>
        <w:spacing w:after="120"/>
        <w:jc w:val="both"/>
        <w:rPr>
          <w:rFonts w:eastAsia="Times New Roman"/>
        </w:rPr>
      </w:pPr>
      <w:r w:rsidRPr="00E93946">
        <w:rPr>
          <w:b/>
        </w:rPr>
        <w:t>1. Terminid, määratlused ja mõõtmete lubatud tolerantsid.</w:t>
      </w:r>
    </w:p>
    <w:p w14:paraId="2B163704" w14:textId="77777777" w:rsidR="00AC6BE3" w:rsidRPr="00E93946" w:rsidRDefault="00AC6BE3" w:rsidP="00AC6BE3">
      <w:pPr>
        <w:tabs>
          <w:tab w:val="left" w:pos="709"/>
        </w:tabs>
        <w:suppressAutoHyphens w:val="0"/>
        <w:overflowPunct/>
        <w:spacing w:after="120"/>
        <w:ind w:left="709" w:hanging="709"/>
        <w:jc w:val="both"/>
        <w:rPr>
          <w:rFonts w:eastAsia="Times New Roman"/>
        </w:rPr>
      </w:pPr>
      <w:r w:rsidRPr="00E93946">
        <w:t xml:space="preserve">1.1  </w:t>
      </w:r>
      <w:r w:rsidRPr="00E93946">
        <w:tab/>
        <w:t xml:space="preserve">Terminite, määratluste ja mõõtmete tolerantside kohta vt siseministri 30. novembri 1983. aasta dekreeti.  </w:t>
      </w:r>
    </w:p>
    <w:p w14:paraId="0E494DDA" w14:textId="77777777" w:rsidR="00AC6BE3" w:rsidRPr="00E93946" w:rsidRDefault="00AC6BE3" w:rsidP="00AC6BE3">
      <w:pPr>
        <w:tabs>
          <w:tab w:val="left" w:pos="709"/>
        </w:tabs>
        <w:suppressAutoHyphens w:val="0"/>
        <w:overflowPunct/>
        <w:spacing w:after="120"/>
        <w:ind w:left="709" w:hanging="709"/>
        <w:jc w:val="both"/>
        <w:rPr>
          <w:rFonts w:eastAsia="Times New Roman"/>
        </w:rPr>
      </w:pPr>
      <w:r w:rsidRPr="00E93946">
        <w:t xml:space="preserve">1.2.  </w:t>
      </w:r>
      <w:r w:rsidRPr="00E93946">
        <w:tab/>
        <w:t>Käesolevates tehnilistes eeskirjades kasutatakse järgmisi mõisteid:</w:t>
      </w:r>
    </w:p>
    <w:p w14:paraId="2D3C5CEB" w14:textId="77777777" w:rsidR="00AC6BE3" w:rsidRPr="00E93946" w:rsidRDefault="00AC6BE3" w:rsidP="00AC6BE3">
      <w:pPr>
        <w:tabs>
          <w:tab w:val="left" w:pos="709"/>
        </w:tabs>
        <w:suppressAutoHyphens w:val="0"/>
        <w:overflowPunct/>
        <w:ind w:left="709" w:hanging="709"/>
        <w:jc w:val="both"/>
        <w:rPr>
          <w:rFonts w:eastAsia="Times New Roman"/>
        </w:rPr>
      </w:pPr>
      <w:r w:rsidRPr="00E93946">
        <w:t xml:space="preserve">1.2.1 </w:t>
      </w:r>
      <w:r w:rsidRPr="00E93946">
        <w:tab/>
        <w:t>Vesiniku tootmisjaama asjaomane ala:</w:t>
      </w:r>
    </w:p>
    <w:p w14:paraId="7FC56A1A" w14:textId="77777777" w:rsidR="00AC6BE3" w:rsidRPr="00E93946" w:rsidRDefault="00AC6BE3" w:rsidP="00AC6BE3">
      <w:pPr>
        <w:tabs>
          <w:tab w:val="left" w:pos="709"/>
        </w:tabs>
        <w:suppressAutoHyphens w:val="0"/>
        <w:overflowPunct/>
        <w:spacing w:after="120"/>
        <w:ind w:left="709" w:hanging="709"/>
        <w:jc w:val="both"/>
        <w:rPr>
          <w:rFonts w:eastAsia="Times New Roman"/>
        </w:rPr>
      </w:pPr>
      <w:r w:rsidRPr="00E93946">
        <w:tab/>
        <w:t xml:space="preserve">asjaomane ala, kus asuvad tootmisjaama koostisosad. </w:t>
      </w:r>
    </w:p>
    <w:p w14:paraId="53845344" w14:textId="77777777" w:rsidR="00AC6BE3" w:rsidRPr="00E93946" w:rsidRDefault="00AC6BE3" w:rsidP="00AC6BE3">
      <w:pPr>
        <w:tabs>
          <w:tab w:val="left" w:pos="709"/>
        </w:tabs>
        <w:suppressAutoHyphens w:val="0"/>
        <w:overflowPunct/>
        <w:ind w:left="709" w:hanging="709"/>
        <w:jc w:val="both"/>
        <w:rPr>
          <w:rFonts w:eastAsia="Times New Roman"/>
        </w:rPr>
      </w:pPr>
      <w:r w:rsidRPr="00E93946">
        <w:t xml:space="preserve">1.2.2 </w:t>
      </w:r>
      <w:r w:rsidRPr="00E93946">
        <w:tab/>
        <w:t xml:space="preserve">Balloonvaguni peatumisala: </w:t>
      </w:r>
    </w:p>
    <w:p w14:paraId="167B403B" w14:textId="77777777" w:rsidR="00AC6BE3" w:rsidRPr="00E93946" w:rsidRDefault="00AC6BE3" w:rsidP="00AC6BE3">
      <w:pPr>
        <w:tabs>
          <w:tab w:val="left" w:pos="709"/>
        </w:tabs>
        <w:suppressAutoHyphens w:val="0"/>
        <w:overflowPunct/>
        <w:spacing w:after="120"/>
        <w:ind w:left="709" w:hanging="709"/>
        <w:jc w:val="both"/>
        <w:rPr>
          <w:rFonts w:eastAsia="Times New Roman"/>
        </w:rPr>
      </w:pPr>
      <w:r w:rsidRPr="00E93946">
        <w:tab/>
        <w:t xml:space="preserve">ala, mida kasutatakse balloonvagunite ajutiseks parkimiseks, kui need ei ole jaamaga ühendatud, ning mis on piiratud spetsiaalse horisontaalse märgistusega, mis vastab balloonvaguni maksimumsuuruse kava projektsioonile. </w:t>
      </w:r>
      <w:r w:rsidRPr="00E93946">
        <w:rPr>
          <w:strike/>
        </w:rPr>
        <w:t xml:space="preserve"> </w:t>
      </w:r>
    </w:p>
    <w:p w14:paraId="115BD9D3" w14:textId="77777777" w:rsidR="00AC6BE3" w:rsidRPr="00E93946" w:rsidRDefault="00AC6BE3" w:rsidP="00AC6BE3">
      <w:pPr>
        <w:tabs>
          <w:tab w:val="left" w:pos="709"/>
        </w:tabs>
        <w:suppressAutoHyphens w:val="0"/>
        <w:overflowPunct/>
        <w:ind w:left="709" w:hanging="709"/>
        <w:jc w:val="both"/>
        <w:rPr>
          <w:rFonts w:eastAsia="Times New Roman"/>
        </w:rPr>
      </w:pPr>
      <w:r w:rsidRPr="00E93946">
        <w:t xml:space="preserve">1.2.3 </w:t>
      </w:r>
      <w:r w:rsidRPr="00E93946">
        <w:tab/>
        <w:t xml:space="preserve">Laadimisplatvorm: </w:t>
      </w:r>
    </w:p>
    <w:p w14:paraId="0BC02496" w14:textId="77777777" w:rsidR="00AC6BE3" w:rsidRPr="00E93946" w:rsidRDefault="00AC6BE3" w:rsidP="00AC6BE3">
      <w:pPr>
        <w:tabs>
          <w:tab w:val="left" w:pos="709"/>
        </w:tabs>
        <w:suppressAutoHyphens w:val="0"/>
        <w:overflowPunct/>
        <w:spacing w:after="120"/>
        <w:ind w:left="709" w:hanging="709"/>
        <w:jc w:val="both"/>
        <w:rPr>
          <w:rFonts w:eastAsia="Times New Roman"/>
        </w:rPr>
      </w:pPr>
      <w:r w:rsidRPr="00E93946">
        <w:tab/>
        <w:t xml:space="preserve">vesiniku ülekandesüsteem, mis kasutab gaasitarneseadmeid. </w:t>
      </w:r>
    </w:p>
    <w:p w14:paraId="6548330E" w14:textId="77777777" w:rsidR="00AC6BE3" w:rsidRPr="00E93946" w:rsidRDefault="00AC6BE3" w:rsidP="00AC6BE3">
      <w:pPr>
        <w:tabs>
          <w:tab w:val="left" w:pos="709"/>
          <w:tab w:val="left" w:pos="4140"/>
        </w:tabs>
        <w:suppressAutoHyphens w:val="0"/>
        <w:overflowPunct/>
        <w:ind w:left="709" w:hanging="709"/>
        <w:jc w:val="both"/>
        <w:rPr>
          <w:rFonts w:eastAsia="Times New Roman"/>
        </w:rPr>
      </w:pPr>
      <w:r w:rsidRPr="00E93946">
        <w:t xml:space="preserve">1.2.4 </w:t>
      </w:r>
      <w:r w:rsidRPr="00E93946">
        <w:tab/>
        <w:t xml:space="preserve">Korstna tasakaal: </w:t>
      </w:r>
      <w:r w:rsidRPr="00E93946">
        <w:tab/>
      </w:r>
    </w:p>
    <w:p w14:paraId="1DDB9281" w14:textId="77777777" w:rsidR="00AC6BE3" w:rsidRPr="00E93946" w:rsidRDefault="00AC6BE3" w:rsidP="00AC6BE3">
      <w:pPr>
        <w:tabs>
          <w:tab w:val="left" w:pos="709"/>
        </w:tabs>
        <w:suppressAutoHyphens w:val="0"/>
        <w:overflowPunct/>
        <w:spacing w:after="120"/>
        <w:ind w:left="709" w:hanging="709"/>
        <w:jc w:val="both"/>
        <w:rPr>
          <w:rFonts w:eastAsia="Times New Roman"/>
        </w:rPr>
      </w:pPr>
      <w:r w:rsidRPr="00E93946">
        <w:tab/>
        <w:t>elektrolüüsi korstna abisüsteemid ja komponendid (gaasi/vedeliku separaatorid, jahutussüsteemid, retsirkulatsioonipumbad, vee poleerimine jne).</w:t>
      </w:r>
    </w:p>
    <w:p w14:paraId="0B90205B" w14:textId="77777777" w:rsidR="00AC6BE3" w:rsidRPr="00E93946" w:rsidRDefault="00AC6BE3" w:rsidP="00AC6BE3">
      <w:pPr>
        <w:tabs>
          <w:tab w:val="left" w:pos="709"/>
        </w:tabs>
        <w:suppressAutoHyphens w:val="0"/>
        <w:overflowPunct/>
        <w:ind w:left="709" w:hanging="709"/>
        <w:jc w:val="both"/>
        <w:rPr>
          <w:rFonts w:eastAsia="Times New Roman"/>
        </w:rPr>
      </w:pPr>
      <w:r w:rsidRPr="00E93946">
        <w:t xml:space="preserve">1.2.5 </w:t>
      </w:r>
      <w:r w:rsidRPr="00E93946">
        <w:tab/>
        <w:t xml:space="preserve">Kast </w:t>
      </w:r>
    </w:p>
    <w:p w14:paraId="3335ED18" w14:textId="77777777" w:rsidR="00AC6BE3" w:rsidRPr="00E93946" w:rsidRDefault="00AC6BE3" w:rsidP="00AC6BE3">
      <w:pPr>
        <w:tabs>
          <w:tab w:val="left" w:pos="709"/>
        </w:tabs>
        <w:suppressAutoHyphens w:val="0"/>
        <w:overflowPunct/>
        <w:spacing w:after="120"/>
        <w:ind w:left="709" w:hanging="709"/>
        <w:jc w:val="both"/>
        <w:rPr>
          <w:rFonts w:eastAsia="Times New Roman"/>
        </w:rPr>
      </w:pPr>
      <w:r w:rsidRPr="00E93946">
        <w:tab/>
        <w:t>raudbetoonist või muust piisava mehaanilise tugevusega mittesüttivast materjalist perimeetriseinadega piiratud ala, millel on esemete konstruktiivsed omadused, et tagada ainult piki perimeetrit heite- ja tulekahjustsenaariumide ning võimaliku puhangu järel prognoositud materjalide mõju leevendamine. Kasti neljast küljest üks või kaks võivad olla täiesti avatud, kui need küljed ei ole suunatud otseselt aladele, kus viibivad jaamaga mitteseonduvad isikud ja/või jaama ohustatud osad ning lisaseadmed on ettenähtud või lubatud. Piiri kõrgus peab olema vähemalt 1 m kõrgem kui selles sisalduvate ohtlike elementide kõrgeim punkt. Põrandakate ja katus, mis olemasolu korral peavad olema kerged, on valmistatud mittesüttivatest materjalidest. Plahvatusohtliku keskkonna tekkimise ja püsivuse vältimiseks tuleb vastu võtta sobivad meetmed.</w:t>
      </w:r>
    </w:p>
    <w:p w14:paraId="36D587BD" w14:textId="77777777" w:rsidR="00AC6BE3" w:rsidRPr="00E93946" w:rsidRDefault="00AC6BE3" w:rsidP="00AC6BE3">
      <w:pPr>
        <w:tabs>
          <w:tab w:val="left" w:pos="709"/>
        </w:tabs>
        <w:suppressAutoHyphens w:val="0"/>
        <w:overflowPunct/>
        <w:spacing w:after="120"/>
        <w:ind w:left="709" w:hanging="709"/>
        <w:jc w:val="both"/>
        <w:rPr>
          <w:rFonts w:eastAsia="Times New Roman"/>
        </w:rPr>
      </w:pPr>
      <w:r w:rsidRPr="00E93946">
        <w:t xml:space="preserve">1.2.6 </w:t>
      </w:r>
      <w:r w:rsidRPr="00E93946">
        <w:tab/>
        <w:t xml:space="preserve">Balloonivagun (või akusõiduk või akuvagun): </w:t>
      </w:r>
    </w:p>
    <w:p w14:paraId="38C52538" w14:textId="77777777" w:rsidR="00AC6BE3" w:rsidRPr="00E93946" w:rsidRDefault="00AC6BE3" w:rsidP="00AC6BE3">
      <w:pPr>
        <w:tabs>
          <w:tab w:val="left" w:pos="709"/>
        </w:tabs>
        <w:suppressAutoHyphens w:val="0"/>
        <w:overflowPunct/>
        <w:spacing w:after="120"/>
        <w:ind w:left="709" w:hanging="709"/>
        <w:jc w:val="both"/>
        <w:rPr>
          <w:rFonts w:eastAsia="Times New Roman"/>
        </w:rPr>
      </w:pPr>
      <w:r w:rsidRPr="00E93946">
        <w:tab/>
        <w:t>sõiduk või vagun, mis koosneb elementidest, mis on omavahel ühendatud kollektoriga ja kinnitatud püsivalt veoüksuse külge; akusõiduki või akuvaguni komponendid on järgmised: balloonid, torud, balloonikogumid ja survetrumlid ning gaasipaagid mahuga üle 450 liitri.</w:t>
      </w:r>
    </w:p>
    <w:p w14:paraId="7E319AB9" w14:textId="77777777" w:rsidR="00AC6BE3" w:rsidRPr="00E93946" w:rsidRDefault="00AC6BE3" w:rsidP="00AC6BE3">
      <w:pPr>
        <w:tabs>
          <w:tab w:val="left" w:pos="709"/>
        </w:tabs>
        <w:suppressAutoHyphens w:val="0"/>
        <w:overflowPunct/>
        <w:ind w:left="709" w:hanging="709"/>
        <w:jc w:val="both"/>
        <w:rPr>
          <w:rFonts w:eastAsia="Times New Roman"/>
          <w:lang w:eastAsia="it-IT"/>
        </w:rPr>
      </w:pPr>
    </w:p>
    <w:p w14:paraId="5009B30D" w14:textId="77777777" w:rsidR="00AC6BE3" w:rsidRPr="00E93946" w:rsidRDefault="00AC6BE3" w:rsidP="00AC6BE3">
      <w:pPr>
        <w:tabs>
          <w:tab w:val="left" w:pos="709"/>
        </w:tabs>
        <w:suppressAutoHyphens w:val="0"/>
        <w:overflowPunct/>
        <w:ind w:left="709" w:hanging="709"/>
        <w:jc w:val="both"/>
        <w:rPr>
          <w:rFonts w:eastAsia="Times New Roman"/>
          <w:lang w:eastAsia="it-IT"/>
        </w:rPr>
      </w:pPr>
    </w:p>
    <w:p w14:paraId="1F26DFB4" w14:textId="77777777" w:rsidR="00AC6BE3" w:rsidRPr="00E93946" w:rsidRDefault="00AC6BE3" w:rsidP="00AC6BE3">
      <w:pPr>
        <w:tabs>
          <w:tab w:val="left" w:pos="709"/>
        </w:tabs>
        <w:suppressAutoHyphens w:val="0"/>
        <w:overflowPunct/>
        <w:ind w:left="709" w:hanging="709"/>
        <w:jc w:val="both"/>
        <w:rPr>
          <w:rFonts w:eastAsia="Times New Roman"/>
        </w:rPr>
      </w:pPr>
      <w:r w:rsidRPr="00E93946">
        <w:t xml:space="preserve">1.2.7 </w:t>
      </w:r>
      <w:r w:rsidRPr="00E93946">
        <w:tab/>
        <w:t xml:space="preserve">Elektrolüüsivann: </w:t>
      </w:r>
    </w:p>
    <w:p w14:paraId="3160B809" w14:textId="77777777" w:rsidR="00AC6BE3" w:rsidRPr="00E93946" w:rsidRDefault="00AC6BE3" w:rsidP="00AC6BE3">
      <w:pPr>
        <w:tabs>
          <w:tab w:val="left" w:pos="709"/>
        </w:tabs>
        <w:suppressAutoHyphens w:val="0"/>
        <w:overflowPunct/>
        <w:spacing w:after="120"/>
        <w:ind w:left="709"/>
        <w:jc w:val="both"/>
        <w:rPr>
          <w:rFonts w:eastAsia="Times New Roman"/>
        </w:rPr>
      </w:pPr>
      <w:r w:rsidRPr="00E93946">
        <w:lastRenderedPageBreak/>
        <w:t xml:space="preserve">elektrolüüsivann, mis võimaldab elektrienergia muundamist keemiliseks energiaks; sellisel juhul viiakse vesiniku ja hapniku saamiseks läbi vee elektrolüüs. </w:t>
      </w:r>
    </w:p>
    <w:p w14:paraId="6680FB39" w14:textId="77777777" w:rsidR="00AC6BE3" w:rsidRPr="00E93946" w:rsidRDefault="00AC6BE3" w:rsidP="00AC6BE3">
      <w:pPr>
        <w:tabs>
          <w:tab w:val="left" w:pos="709"/>
        </w:tabs>
        <w:suppressAutoHyphens w:val="0"/>
        <w:overflowPunct/>
        <w:ind w:left="709" w:hanging="709"/>
        <w:jc w:val="both"/>
        <w:rPr>
          <w:rFonts w:eastAsia="Times New Roman"/>
        </w:rPr>
      </w:pPr>
      <w:r w:rsidRPr="00E93946">
        <w:t xml:space="preserve">1.2.8 </w:t>
      </w:r>
      <w:r w:rsidRPr="00E93946">
        <w:tab/>
        <w:t xml:space="preserve">Gaasi väljastusseade: </w:t>
      </w:r>
    </w:p>
    <w:p w14:paraId="7D329E42" w14:textId="77777777" w:rsidR="00AC6BE3" w:rsidRPr="00E93946" w:rsidRDefault="00AC6BE3" w:rsidP="00AC6BE3">
      <w:pPr>
        <w:tabs>
          <w:tab w:val="left" w:pos="709"/>
        </w:tabs>
        <w:suppressAutoHyphens w:val="0"/>
        <w:overflowPunct/>
        <w:spacing w:after="120"/>
        <w:ind w:left="709"/>
        <w:jc w:val="both"/>
        <w:rPr>
          <w:rFonts w:eastAsia="Times New Roman"/>
        </w:rPr>
      </w:pPr>
      <w:r w:rsidRPr="00E93946">
        <w:t>pooljäiga toruliitmiku lõppu paigaldatud seade, mis on ühendatud balloonvagunile või muule transpordiüksusele paigutatud koormusseadmega ning mis on võimeline ühendama ohutult ja õhukindlalt.</w:t>
      </w:r>
    </w:p>
    <w:p w14:paraId="19EE410A" w14:textId="77777777" w:rsidR="00AC6BE3" w:rsidRPr="00E93946" w:rsidRDefault="00AC6BE3" w:rsidP="00AC6BE3">
      <w:pPr>
        <w:tabs>
          <w:tab w:val="left" w:pos="709"/>
        </w:tabs>
        <w:suppressAutoHyphens w:val="0"/>
        <w:overflowPunct/>
        <w:ind w:left="709" w:hanging="709"/>
        <w:jc w:val="both"/>
        <w:rPr>
          <w:rFonts w:eastAsia="Times New Roman"/>
        </w:rPr>
      </w:pPr>
      <w:r w:rsidRPr="00E93946">
        <w:t xml:space="preserve">1.2.9 </w:t>
      </w:r>
      <w:r w:rsidRPr="00E93946">
        <w:tab/>
        <w:t xml:space="preserve">Elektrolüüsiseade: </w:t>
      </w:r>
    </w:p>
    <w:p w14:paraId="6441E83C" w14:textId="77777777" w:rsidR="00AC6BE3" w:rsidRPr="00E93946" w:rsidRDefault="00AC6BE3" w:rsidP="00AC6BE3">
      <w:pPr>
        <w:tabs>
          <w:tab w:val="left" w:pos="709"/>
        </w:tabs>
        <w:suppressAutoHyphens w:val="0"/>
        <w:overflowPunct/>
        <w:spacing w:after="120"/>
        <w:ind w:left="709" w:hanging="709"/>
        <w:jc w:val="both"/>
        <w:rPr>
          <w:rFonts w:eastAsia="Times New Roman"/>
        </w:rPr>
      </w:pPr>
      <w:r w:rsidRPr="00E93946">
        <w:tab/>
        <w:t>vesiniku ja hapniku tootmise süsteem, mis koosneb elektrolüüsimoodulist, trafost ja alaldist (elektrolüüsi kasutav vesiniku tootmisjaam).</w:t>
      </w:r>
    </w:p>
    <w:p w14:paraId="4F772A33" w14:textId="77777777" w:rsidR="00AC6BE3" w:rsidRPr="00E93946" w:rsidRDefault="00AC6BE3" w:rsidP="00AC6BE3">
      <w:pPr>
        <w:tabs>
          <w:tab w:val="left" w:pos="709"/>
        </w:tabs>
        <w:suppressAutoHyphens w:val="0"/>
        <w:overflowPunct/>
        <w:ind w:left="709" w:hanging="709"/>
        <w:jc w:val="both"/>
        <w:rPr>
          <w:rFonts w:eastAsia="Times New Roman"/>
        </w:rPr>
      </w:pPr>
      <w:r w:rsidRPr="00E93946">
        <w:t xml:space="preserve">1.2.10 </w:t>
      </w:r>
      <w:r w:rsidRPr="00E93946">
        <w:tab/>
        <w:t xml:space="preserve">Tegevuse eest vastutav juht või isik: </w:t>
      </w:r>
    </w:p>
    <w:p w14:paraId="299ACFA7" w14:textId="77777777" w:rsidR="00AC6BE3" w:rsidRPr="00E93946" w:rsidRDefault="00AC6BE3" w:rsidP="00AC6BE3">
      <w:pPr>
        <w:tabs>
          <w:tab w:val="left" w:pos="709"/>
        </w:tabs>
        <w:suppressAutoHyphens w:val="0"/>
        <w:overflowPunct/>
        <w:spacing w:after="120"/>
        <w:ind w:left="709" w:hanging="709"/>
        <w:jc w:val="both"/>
        <w:rPr>
          <w:rFonts w:eastAsia="Times New Roman"/>
        </w:rPr>
      </w:pPr>
      <w:r w:rsidRPr="00E93946">
        <w:tab/>
        <w:t xml:space="preserve">iga füüsiline või juriidiline isik, kes omab ettevõtet või jaama või käitab seda või kellele on antud ettevõtte või jaama tehniliseks toimimiseks otsustav majanduslik või otsustusõigus; juhataja on presidendi dekreedi 151/2011 I lisas nimetatud tegevuse eest vastutav isik. </w:t>
      </w:r>
    </w:p>
    <w:p w14:paraId="331D0D70" w14:textId="77777777" w:rsidR="00AC6BE3" w:rsidRPr="00E93946" w:rsidRDefault="00AC6BE3" w:rsidP="00AC6BE3">
      <w:pPr>
        <w:tabs>
          <w:tab w:val="left" w:pos="709"/>
        </w:tabs>
        <w:suppressAutoHyphens w:val="0"/>
        <w:overflowPunct/>
        <w:spacing w:after="120"/>
        <w:ind w:left="709" w:hanging="709"/>
        <w:jc w:val="both"/>
        <w:rPr>
          <w:rFonts w:eastAsia="Times New Roman"/>
        </w:rPr>
      </w:pPr>
      <w:r w:rsidRPr="00E93946">
        <w:t xml:space="preserve">1.2.11 </w:t>
      </w:r>
      <w:r w:rsidRPr="00E93946">
        <w:tab/>
        <w:t>Rõhu vähendamise ja stabiliseerimise koost:</w:t>
      </w:r>
    </w:p>
    <w:p w14:paraId="7C995E5F" w14:textId="77777777" w:rsidR="00AC6BE3" w:rsidRPr="00E93946" w:rsidRDefault="00AC6BE3" w:rsidP="00AC6BE3">
      <w:pPr>
        <w:tabs>
          <w:tab w:val="left" w:pos="709"/>
        </w:tabs>
        <w:suppressAutoHyphens w:val="0"/>
        <w:overflowPunct/>
        <w:spacing w:after="120"/>
        <w:ind w:left="709"/>
        <w:jc w:val="both"/>
        <w:rPr>
          <w:rFonts w:eastAsia="Times New Roman"/>
        </w:rPr>
      </w:pPr>
      <w:r w:rsidRPr="00E93946">
        <w:t xml:space="preserve">seadmete komplekt vesiniku ja vajaduse korral hapniku rõhu vähendamiseks ja stabiliseerimiseks, mis on ette nähtud kasutajajaamale. </w:t>
      </w:r>
    </w:p>
    <w:p w14:paraId="22C656CD" w14:textId="77777777" w:rsidR="00AC6BE3" w:rsidRPr="00E93946" w:rsidRDefault="00AC6BE3" w:rsidP="00AC6BE3">
      <w:pPr>
        <w:tabs>
          <w:tab w:val="left" w:pos="709"/>
        </w:tabs>
        <w:suppressAutoHyphens w:val="0"/>
        <w:overflowPunct/>
        <w:ind w:left="709" w:hanging="709"/>
        <w:jc w:val="both"/>
        <w:rPr>
          <w:rFonts w:eastAsia="Times New Roman"/>
        </w:rPr>
      </w:pPr>
      <w:r w:rsidRPr="00E93946">
        <w:t xml:space="preserve">1.2.12 </w:t>
      </w:r>
      <w:r w:rsidRPr="00E93946">
        <w:tab/>
        <w:t>Vesinikgaas:</w:t>
      </w:r>
    </w:p>
    <w:p w14:paraId="2DFCCCB7" w14:textId="77777777" w:rsidR="00AC6BE3" w:rsidRPr="00E93946" w:rsidRDefault="00AC6BE3" w:rsidP="00AC6BE3">
      <w:pPr>
        <w:tabs>
          <w:tab w:val="left" w:pos="709"/>
        </w:tabs>
        <w:suppressAutoHyphens w:val="0"/>
        <w:overflowPunct/>
        <w:spacing w:after="120"/>
        <w:ind w:left="709"/>
        <w:jc w:val="both"/>
        <w:rPr>
          <w:rFonts w:eastAsia="Times New Roman"/>
        </w:rPr>
      </w:pPr>
      <w:r w:rsidRPr="00E93946">
        <w:t xml:space="preserve">vesinik, mis on toodetud gaasilises olekus puhtusastmega, mida iseloomustab vähemalt 98 % molaarne fraktsioon. </w:t>
      </w:r>
    </w:p>
    <w:p w14:paraId="564664F1" w14:textId="77777777" w:rsidR="00AC6BE3" w:rsidRPr="00E93946" w:rsidRDefault="00AC6BE3" w:rsidP="00AC6BE3">
      <w:pPr>
        <w:tabs>
          <w:tab w:val="left" w:pos="709"/>
        </w:tabs>
        <w:suppressAutoHyphens w:val="0"/>
        <w:overflowPunct/>
        <w:ind w:left="709" w:hanging="709"/>
        <w:jc w:val="both"/>
        <w:rPr>
          <w:rFonts w:eastAsia="Times New Roman"/>
        </w:rPr>
      </w:pPr>
      <w:r w:rsidRPr="00E93946">
        <w:t xml:space="preserve">1.2.13 </w:t>
      </w:r>
      <w:r w:rsidRPr="00E93946">
        <w:tab/>
        <w:t xml:space="preserve">Elektrolüüsi kasutav vesiniku tootmisjaam: </w:t>
      </w:r>
    </w:p>
    <w:p w14:paraId="659B50EF" w14:textId="77777777" w:rsidR="00AC6BE3" w:rsidRPr="00E93946" w:rsidRDefault="00AC6BE3" w:rsidP="00AC6BE3">
      <w:pPr>
        <w:tabs>
          <w:tab w:val="left" w:pos="709"/>
        </w:tabs>
        <w:suppressAutoHyphens w:val="0"/>
        <w:overflowPunct/>
        <w:spacing w:after="120"/>
        <w:ind w:left="709"/>
        <w:jc w:val="both"/>
        <w:rPr>
          <w:rFonts w:eastAsia="Times New Roman"/>
        </w:rPr>
      </w:pPr>
      <w:r w:rsidRPr="00E93946">
        <w:t>süsteem, mis koosneb ühest või mitmest elektrolüüsiseadmest ja sellega seotud tarisust, näiteks: kompressorid, ladustamine, puhastamine, laadimisplatvormid, rõhu vähendamine ja stabiliseerimine.</w:t>
      </w:r>
    </w:p>
    <w:p w14:paraId="127CC36F" w14:textId="77777777" w:rsidR="00AC6BE3" w:rsidRPr="00E93946" w:rsidRDefault="00AC6BE3" w:rsidP="00AC6BE3">
      <w:pPr>
        <w:tabs>
          <w:tab w:val="left" w:pos="709"/>
        </w:tabs>
        <w:suppressAutoHyphens w:val="0"/>
        <w:overflowPunct/>
        <w:ind w:left="709" w:hanging="709"/>
        <w:jc w:val="both"/>
        <w:rPr>
          <w:rFonts w:eastAsia="Times New Roman"/>
        </w:rPr>
      </w:pPr>
      <w:r w:rsidRPr="00E93946">
        <w:t xml:space="preserve">1.2.14 </w:t>
      </w:r>
      <w:r w:rsidRPr="00E93946">
        <w:tab/>
        <w:t xml:space="preserve">Kõrvalteenuste osutamiseks ettenähtud ruumid: </w:t>
      </w:r>
    </w:p>
    <w:p w14:paraId="57622E4C" w14:textId="77777777" w:rsidR="00AC6BE3" w:rsidRPr="00E93946" w:rsidRDefault="00AC6BE3" w:rsidP="00AC6BE3">
      <w:pPr>
        <w:tabs>
          <w:tab w:val="left" w:pos="709"/>
        </w:tabs>
        <w:suppressAutoHyphens w:val="0"/>
        <w:overflowPunct/>
        <w:spacing w:after="120"/>
        <w:ind w:left="709" w:hanging="709"/>
        <w:jc w:val="both"/>
        <w:rPr>
          <w:rFonts w:eastAsia="Times New Roman"/>
        </w:rPr>
      </w:pPr>
      <w:r w:rsidRPr="00E93946">
        <w:tab/>
        <w:t>kohapeal asuvad ruumid, mida kasutatakse täiendavateks tegevusteks, näiteks kontorid, tehniline juhtimisruum, tualettruumid, laod, töökojad, kus ei kasutata lahtist tuld jne.</w:t>
      </w:r>
    </w:p>
    <w:p w14:paraId="6C97038E" w14:textId="77777777" w:rsidR="00AC6BE3" w:rsidRPr="00E93946" w:rsidRDefault="00AC6BE3" w:rsidP="00AC6BE3">
      <w:pPr>
        <w:tabs>
          <w:tab w:val="left" w:pos="709"/>
        </w:tabs>
        <w:suppressAutoHyphens w:val="0"/>
        <w:overflowPunct/>
        <w:ind w:left="709" w:hanging="709"/>
        <w:jc w:val="both"/>
        <w:rPr>
          <w:rFonts w:eastAsia="Times New Roman"/>
        </w:rPr>
      </w:pPr>
      <w:r w:rsidRPr="00E93946">
        <w:t xml:space="preserve">1.2.15 </w:t>
      </w:r>
      <w:r w:rsidRPr="00E93946">
        <w:tab/>
        <w:t xml:space="preserve">Elektrolüüsimoodul: </w:t>
      </w:r>
    </w:p>
    <w:p w14:paraId="787058A4" w14:textId="77777777" w:rsidR="00AC6BE3" w:rsidRPr="00E93946" w:rsidRDefault="00AC6BE3" w:rsidP="00AC6BE3">
      <w:pPr>
        <w:tabs>
          <w:tab w:val="left" w:pos="709"/>
        </w:tabs>
        <w:suppressAutoHyphens w:val="0"/>
        <w:overflowPunct/>
        <w:spacing w:after="120"/>
        <w:ind w:left="709" w:hanging="709"/>
        <w:jc w:val="both"/>
        <w:rPr>
          <w:rFonts w:eastAsia="Times New Roman"/>
        </w:rPr>
      </w:pPr>
      <w:r w:rsidRPr="00E93946">
        <w:tab/>
        <w:t>süsteem, mis koosneb ühest või mitmest elektrolüüsi korstnast, korstna tasakaalust ja vesiniku puhastamise süsteemist; moodul võib sisaldada ka veepuhastust (demineraliseeritud veetootmissüsteem).</w:t>
      </w:r>
    </w:p>
    <w:p w14:paraId="090587BD" w14:textId="77777777" w:rsidR="00AC6BE3" w:rsidRPr="00E93946" w:rsidRDefault="00AC6BE3" w:rsidP="00AC6BE3">
      <w:pPr>
        <w:tabs>
          <w:tab w:val="left" w:pos="709"/>
        </w:tabs>
        <w:suppressAutoHyphens w:val="0"/>
        <w:overflowPunct/>
        <w:ind w:left="709" w:hanging="709"/>
        <w:jc w:val="both"/>
        <w:rPr>
          <w:rFonts w:eastAsia="Times New Roman"/>
        </w:rPr>
      </w:pPr>
      <w:r w:rsidRPr="00E93946">
        <w:t xml:space="preserve">1.2.16 </w:t>
      </w:r>
      <w:r w:rsidRPr="00E93946">
        <w:tab/>
        <w:t xml:space="preserve">Silindrite komplekt: </w:t>
      </w:r>
    </w:p>
    <w:p w14:paraId="34351063" w14:textId="77777777" w:rsidR="00AC6BE3" w:rsidRPr="00E93946" w:rsidRDefault="00AC6BE3" w:rsidP="00AC6BE3">
      <w:pPr>
        <w:tabs>
          <w:tab w:val="left" w:pos="709"/>
        </w:tabs>
        <w:suppressAutoHyphens w:val="0"/>
        <w:overflowPunct/>
        <w:spacing w:after="120"/>
        <w:ind w:left="709" w:hanging="709"/>
        <w:jc w:val="both"/>
        <w:rPr>
          <w:rFonts w:eastAsia="Times New Roman"/>
        </w:rPr>
      </w:pPr>
      <w:r w:rsidRPr="00E93946">
        <w:tab/>
        <w:t>omavahel ühendatud silindrite komplekt, mis on paigutatud horisontaalsesse või vertikaalsesse asendisse, mida toetab teraskonstruktsioon ja mis on varustatud ühe väljalaskekollektoriga, mis kogub silindritest üksikud väljalaskeavad; balloonide komplekti määratlus võib hõlmata MEGC „mitmeelemendilist gaasimahutit“, st veoüksusi, mis koosnevad elementidest, mis on omavahel ühendatud kollektoriga ja paigaldatud raamile; MEGC komponendid on järgmised: balloonid, torud, balloonikogumid ja survetrumlid ning gaasipaagid mahuga üle 450 liitri.</w:t>
      </w:r>
    </w:p>
    <w:p w14:paraId="72C27EAD" w14:textId="77777777" w:rsidR="00AC6BE3" w:rsidRPr="00E93946" w:rsidRDefault="00AC6BE3" w:rsidP="00AC6BE3">
      <w:pPr>
        <w:tabs>
          <w:tab w:val="left" w:pos="709"/>
        </w:tabs>
        <w:suppressAutoHyphens w:val="0"/>
        <w:overflowPunct/>
        <w:ind w:left="709" w:hanging="709"/>
        <w:jc w:val="both"/>
        <w:rPr>
          <w:rFonts w:eastAsia="Times New Roman"/>
        </w:rPr>
      </w:pPr>
      <w:r w:rsidRPr="00E93946">
        <w:t xml:space="preserve">1.2.17 </w:t>
      </w:r>
      <w:r w:rsidRPr="00E93946">
        <w:tab/>
        <w:t>Vastutavad töötajad:</w:t>
      </w:r>
    </w:p>
    <w:p w14:paraId="2A82B573" w14:textId="77777777" w:rsidR="00AC6BE3" w:rsidRPr="00E93946" w:rsidRDefault="00AC6BE3" w:rsidP="00AC6BE3">
      <w:pPr>
        <w:tabs>
          <w:tab w:val="left" w:pos="709"/>
        </w:tabs>
        <w:suppressAutoHyphens w:val="0"/>
        <w:overflowPunct/>
        <w:spacing w:after="120"/>
        <w:ind w:left="709"/>
        <w:jc w:val="both"/>
        <w:rPr>
          <w:rFonts w:eastAsia="Times New Roman"/>
        </w:rPr>
      </w:pPr>
      <w:r w:rsidRPr="00E93946">
        <w:t xml:space="preserve">piisavalt informeeritud ja koolitatud töötajad, kellel on samuti õigus sekkuda jaama juhtimisse kohapeal või kaugjuhtimiskeskuse kaudu. </w:t>
      </w:r>
    </w:p>
    <w:p w14:paraId="4E245362" w14:textId="77777777" w:rsidR="00AC6BE3" w:rsidRPr="00E93946" w:rsidRDefault="00AC6BE3" w:rsidP="00AC6BE3">
      <w:pPr>
        <w:tabs>
          <w:tab w:val="left" w:pos="709"/>
        </w:tabs>
        <w:suppressAutoHyphens w:val="0"/>
        <w:overflowPunct/>
        <w:ind w:left="709" w:hanging="709"/>
        <w:jc w:val="both"/>
        <w:rPr>
          <w:rFonts w:eastAsia="Times New Roman"/>
        </w:rPr>
      </w:pPr>
      <w:r w:rsidRPr="00E93946">
        <w:t xml:space="preserve">1.2.18 </w:t>
      </w:r>
      <w:r w:rsidRPr="00E93946">
        <w:tab/>
        <w:t xml:space="preserve">Alaldi: </w:t>
      </w:r>
    </w:p>
    <w:p w14:paraId="629FB310" w14:textId="77777777" w:rsidR="00AC6BE3" w:rsidRPr="00E93946" w:rsidRDefault="00AC6BE3" w:rsidP="00AC6BE3">
      <w:pPr>
        <w:tabs>
          <w:tab w:val="left" w:pos="709"/>
        </w:tabs>
        <w:suppressAutoHyphens w:val="0"/>
        <w:overflowPunct/>
        <w:spacing w:after="120"/>
        <w:ind w:left="709"/>
        <w:jc w:val="both"/>
        <w:rPr>
          <w:rFonts w:eastAsia="Times New Roman"/>
        </w:rPr>
      </w:pPr>
      <w:r w:rsidRPr="00E93946">
        <w:t>elektriseadmed, mille ülesanne on muundada vahelduvvool alalisvooluks, mis on vajalik elektrolüüsiprotsessi jaoks.</w:t>
      </w:r>
    </w:p>
    <w:p w14:paraId="23A54C33" w14:textId="77777777" w:rsidR="00AC6BE3" w:rsidRPr="00E93946" w:rsidRDefault="00AC6BE3" w:rsidP="00293BC8">
      <w:pPr>
        <w:keepNext/>
        <w:tabs>
          <w:tab w:val="left" w:pos="709"/>
        </w:tabs>
        <w:suppressAutoHyphens w:val="0"/>
        <w:overflowPunct/>
        <w:ind w:left="709" w:hanging="709"/>
        <w:jc w:val="both"/>
        <w:rPr>
          <w:rFonts w:eastAsia="Times New Roman"/>
        </w:rPr>
      </w:pPr>
      <w:r w:rsidRPr="00E93946">
        <w:lastRenderedPageBreak/>
        <w:t xml:space="preserve">1.2.19 </w:t>
      </w:r>
      <w:r w:rsidRPr="00E93946">
        <w:tab/>
        <w:t xml:space="preserve">Puhverpaak: </w:t>
      </w:r>
    </w:p>
    <w:p w14:paraId="1768FCC6" w14:textId="77777777" w:rsidR="00AC6BE3" w:rsidRPr="00E93946" w:rsidRDefault="00AC6BE3" w:rsidP="00AC6BE3">
      <w:pPr>
        <w:tabs>
          <w:tab w:val="left" w:pos="709"/>
        </w:tabs>
        <w:suppressAutoHyphens w:val="0"/>
        <w:overflowPunct/>
        <w:spacing w:after="120"/>
        <w:ind w:left="709"/>
        <w:jc w:val="both"/>
        <w:rPr>
          <w:rFonts w:eastAsia="Times New Roman"/>
        </w:rPr>
      </w:pPr>
      <w:r w:rsidRPr="00E93946">
        <w:t>survestatud vesinikupaak, mille ülesanne on juhtida elektrolüüsiseadme ja survesüsteemi võimalikke koormuserinevusi.</w:t>
      </w:r>
    </w:p>
    <w:p w14:paraId="31B5ECE8" w14:textId="77777777" w:rsidR="00AC6BE3" w:rsidRPr="00E93946" w:rsidRDefault="00AC6BE3" w:rsidP="00AC6BE3">
      <w:pPr>
        <w:tabs>
          <w:tab w:val="left" w:pos="709"/>
        </w:tabs>
        <w:suppressAutoHyphens w:val="0"/>
        <w:overflowPunct/>
        <w:ind w:left="709" w:hanging="709"/>
        <w:jc w:val="both"/>
        <w:rPr>
          <w:rFonts w:eastAsia="Times New Roman"/>
        </w:rPr>
      </w:pPr>
      <w:r w:rsidRPr="00E93946">
        <w:t xml:space="preserve">1.2.20 </w:t>
      </w:r>
      <w:r w:rsidRPr="00E93946">
        <w:tab/>
        <w:t xml:space="preserve">Tihendussüsteem: </w:t>
      </w:r>
    </w:p>
    <w:p w14:paraId="2B4E43DE" w14:textId="77777777" w:rsidR="00AC6BE3" w:rsidRPr="00E93946" w:rsidRDefault="00AC6BE3" w:rsidP="00AC6BE3">
      <w:pPr>
        <w:tabs>
          <w:tab w:val="left" w:pos="709"/>
        </w:tabs>
        <w:suppressAutoHyphens w:val="0"/>
        <w:overflowPunct/>
        <w:spacing w:after="120"/>
        <w:ind w:left="709"/>
        <w:jc w:val="both"/>
        <w:rPr>
          <w:rFonts w:eastAsia="Times New Roman"/>
        </w:rPr>
      </w:pPr>
      <w:r w:rsidRPr="00E93946">
        <w:t>süsteem, mis koosneb ühest või mitmest järjestikusest või paralleelsest kompressorist, mis surub gaasi sisselaskerõhult kuni rõhuni, mille juures seda kasutatakse, mis laaditakse balloonvagunitesse, ladustatakse või kasutatakse muul viisil.</w:t>
      </w:r>
    </w:p>
    <w:p w14:paraId="748E6F57" w14:textId="77777777" w:rsidR="00AC6BE3" w:rsidRPr="00E93946" w:rsidRDefault="00AC6BE3" w:rsidP="00AC6BE3">
      <w:pPr>
        <w:tabs>
          <w:tab w:val="left" w:pos="709"/>
        </w:tabs>
        <w:suppressAutoHyphens w:val="0"/>
        <w:overflowPunct/>
        <w:ind w:left="709" w:hanging="709"/>
        <w:jc w:val="both"/>
        <w:rPr>
          <w:rFonts w:eastAsia="Times New Roman"/>
        </w:rPr>
      </w:pPr>
      <w:r w:rsidRPr="00E93946">
        <w:t xml:space="preserve">1.2.21 </w:t>
      </w:r>
      <w:r w:rsidRPr="00E93946">
        <w:tab/>
        <w:t xml:space="preserve">Vesiniku puhastamise süsteem: </w:t>
      </w:r>
    </w:p>
    <w:p w14:paraId="175258B1" w14:textId="77777777" w:rsidR="00AC6BE3" w:rsidRPr="00E93946" w:rsidRDefault="00AC6BE3" w:rsidP="00AC6BE3">
      <w:pPr>
        <w:tabs>
          <w:tab w:val="left" w:pos="709"/>
        </w:tabs>
        <w:suppressAutoHyphens w:val="0"/>
        <w:overflowPunct/>
        <w:spacing w:after="120"/>
        <w:ind w:left="709"/>
        <w:jc w:val="both"/>
        <w:rPr>
          <w:rFonts w:eastAsia="Times New Roman"/>
        </w:rPr>
      </w:pPr>
      <w:r w:rsidRPr="00E93946">
        <w:t>süsteem, mis hõlmab vesinikus sisalduvate tootmisjääkide kõrvaldamist, mis elektrolüüsi teel vesiniku tootmisel koosneb peamiselt veest ja hapnikust.</w:t>
      </w:r>
    </w:p>
    <w:p w14:paraId="4D2129FC" w14:textId="77777777" w:rsidR="00AC6BE3" w:rsidRPr="00E93946" w:rsidRDefault="00AC6BE3" w:rsidP="00AC6BE3">
      <w:pPr>
        <w:tabs>
          <w:tab w:val="left" w:pos="709"/>
        </w:tabs>
        <w:suppressAutoHyphens w:val="0"/>
        <w:overflowPunct/>
        <w:ind w:left="709" w:hanging="709"/>
        <w:jc w:val="both"/>
        <w:rPr>
          <w:rFonts w:eastAsia="Times New Roman"/>
        </w:rPr>
      </w:pPr>
      <w:r w:rsidRPr="00E93946">
        <w:t xml:space="preserve">1.2.22 </w:t>
      </w:r>
      <w:r w:rsidRPr="00E93946">
        <w:tab/>
        <w:t xml:space="preserve">Koht: </w:t>
      </w:r>
    </w:p>
    <w:p w14:paraId="0C547E6B" w14:textId="77777777" w:rsidR="00AC6BE3" w:rsidRPr="00E93946" w:rsidRDefault="00AC6BE3" w:rsidP="00AC6BE3">
      <w:pPr>
        <w:tabs>
          <w:tab w:val="left" w:pos="709"/>
        </w:tabs>
        <w:suppressAutoHyphens w:val="0"/>
        <w:overflowPunct/>
        <w:spacing w:after="120"/>
        <w:ind w:left="709"/>
        <w:jc w:val="both"/>
        <w:rPr>
          <w:rFonts w:eastAsia="Times New Roman"/>
        </w:rPr>
      </w:pPr>
      <w:r w:rsidRPr="00E93946">
        <w:t>piirkond, kus tegevus toimub.</w:t>
      </w:r>
    </w:p>
    <w:p w14:paraId="2082887E" w14:textId="77777777" w:rsidR="00AC6BE3" w:rsidRPr="00E93946" w:rsidRDefault="00AC6BE3" w:rsidP="00AC6BE3">
      <w:pPr>
        <w:tabs>
          <w:tab w:val="left" w:pos="709"/>
        </w:tabs>
        <w:suppressAutoHyphens w:val="0"/>
        <w:overflowPunct/>
        <w:ind w:left="709" w:hanging="709"/>
        <w:jc w:val="both"/>
        <w:rPr>
          <w:rFonts w:eastAsia="Times New Roman"/>
        </w:rPr>
      </w:pPr>
      <w:r w:rsidRPr="00E93946">
        <w:t xml:space="preserve">1.2.23 </w:t>
      </w:r>
      <w:r w:rsidRPr="00E93946">
        <w:tab/>
        <w:t xml:space="preserve">Elektrolüüsi korstnad: </w:t>
      </w:r>
    </w:p>
    <w:p w14:paraId="4ABB1766" w14:textId="77777777" w:rsidR="00AC6BE3" w:rsidRPr="00E93946" w:rsidRDefault="00AC6BE3" w:rsidP="00AC6BE3">
      <w:pPr>
        <w:tabs>
          <w:tab w:val="left" w:pos="709"/>
        </w:tabs>
        <w:suppressAutoHyphens w:val="0"/>
        <w:overflowPunct/>
        <w:spacing w:after="120"/>
        <w:ind w:left="709"/>
        <w:jc w:val="both"/>
        <w:rPr>
          <w:rFonts w:eastAsia="Times New Roman"/>
        </w:rPr>
      </w:pPr>
      <w:r w:rsidRPr="00E93946">
        <w:t>omavahel ühendatud elektrolüüsivannide kogum, mis moodustab ühe füüsikalise elemendi, mis on eraldatud kõigist teistest elektrolüüsivannide kogumitest.</w:t>
      </w:r>
    </w:p>
    <w:p w14:paraId="067D84CA" w14:textId="77777777" w:rsidR="00AC6BE3" w:rsidRPr="00E93946" w:rsidRDefault="00AC6BE3" w:rsidP="00AC6BE3">
      <w:pPr>
        <w:tabs>
          <w:tab w:val="left" w:pos="709"/>
        </w:tabs>
        <w:suppressAutoHyphens w:val="0"/>
        <w:overflowPunct/>
        <w:ind w:left="709" w:hanging="709"/>
        <w:jc w:val="both"/>
        <w:rPr>
          <w:rFonts w:eastAsia="Times New Roman"/>
        </w:rPr>
      </w:pPr>
      <w:r w:rsidRPr="00E93946">
        <w:t xml:space="preserve">1.2.24 </w:t>
      </w:r>
      <w:r w:rsidRPr="00E93946">
        <w:tab/>
        <w:t xml:space="preserve">Suruvesiniku ladustamine: </w:t>
      </w:r>
    </w:p>
    <w:p w14:paraId="185BFFF8" w14:textId="77777777" w:rsidR="00AC6BE3" w:rsidRPr="00E93946" w:rsidRDefault="00AC6BE3" w:rsidP="00AC6BE3">
      <w:pPr>
        <w:tabs>
          <w:tab w:val="left" w:pos="709"/>
        </w:tabs>
        <w:suppressAutoHyphens w:val="0"/>
        <w:overflowPunct/>
        <w:spacing w:after="120"/>
        <w:ind w:left="709"/>
        <w:jc w:val="both"/>
        <w:rPr>
          <w:rFonts w:eastAsia="Times New Roman"/>
        </w:rPr>
      </w:pPr>
      <w:r w:rsidRPr="00E93946">
        <w:t>suruvesiniku kohapeal ladustamine püsipaakide kaudu, mida saab rakendada ka balloonikogumite abil.</w:t>
      </w:r>
    </w:p>
    <w:p w14:paraId="1C77849E" w14:textId="77777777" w:rsidR="00AC6BE3" w:rsidRPr="00E93946" w:rsidRDefault="00AC6BE3" w:rsidP="00AC6BE3">
      <w:pPr>
        <w:tabs>
          <w:tab w:val="left" w:pos="709"/>
        </w:tabs>
        <w:suppressAutoHyphens w:val="0"/>
        <w:overflowPunct/>
        <w:ind w:left="709" w:hanging="709"/>
        <w:jc w:val="both"/>
        <w:rPr>
          <w:rFonts w:eastAsia="Times New Roman"/>
        </w:rPr>
      </w:pPr>
      <w:r w:rsidRPr="00E93946">
        <w:t xml:space="preserve">1.2.25 </w:t>
      </w:r>
      <w:r w:rsidRPr="00E93946">
        <w:tab/>
        <w:t xml:space="preserve">Trafo: </w:t>
      </w:r>
    </w:p>
    <w:p w14:paraId="30276BBB" w14:textId="77777777" w:rsidR="00AC6BE3" w:rsidRPr="00E93946" w:rsidRDefault="00AC6BE3" w:rsidP="00AC6BE3">
      <w:pPr>
        <w:tabs>
          <w:tab w:val="left" w:pos="709"/>
        </w:tabs>
        <w:suppressAutoHyphens w:val="0"/>
        <w:overflowPunct/>
        <w:spacing w:after="120"/>
        <w:ind w:left="709" w:hanging="709"/>
        <w:jc w:val="both"/>
        <w:rPr>
          <w:rFonts w:eastAsia="Times New Roman"/>
        </w:rPr>
      </w:pPr>
      <w:r w:rsidRPr="00E93946">
        <w:tab/>
        <w:t>trafo, mis võtab vastu vahelduvvoolu sisendit, mille ülesanne on anda alaldile õige toitepinge.</w:t>
      </w:r>
    </w:p>
    <w:p w14:paraId="735C9F9A" w14:textId="77777777" w:rsidR="00AC6BE3" w:rsidRPr="00E93946" w:rsidRDefault="00AC6BE3" w:rsidP="00AC6BE3">
      <w:pPr>
        <w:tabs>
          <w:tab w:val="left" w:pos="709"/>
        </w:tabs>
        <w:suppressAutoHyphens w:val="0"/>
        <w:overflowPunct/>
        <w:ind w:left="709" w:hanging="709"/>
        <w:jc w:val="both"/>
        <w:rPr>
          <w:rFonts w:eastAsia="Times New Roman"/>
        </w:rPr>
      </w:pPr>
      <w:r w:rsidRPr="00E93946">
        <w:t xml:space="preserve">1.2.26 </w:t>
      </w:r>
      <w:r w:rsidRPr="00E93946">
        <w:tab/>
        <w:t xml:space="preserve">Kaugjuhitav sulgeventiil: </w:t>
      </w:r>
    </w:p>
    <w:p w14:paraId="4363B967" w14:textId="77777777" w:rsidR="00AC6BE3" w:rsidRPr="00E93946" w:rsidRDefault="00AC6BE3" w:rsidP="00AC6BE3">
      <w:pPr>
        <w:tabs>
          <w:tab w:val="left" w:pos="709"/>
        </w:tabs>
        <w:suppressAutoHyphens w:val="0"/>
        <w:overflowPunct/>
        <w:spacing w:after="120"/>
        <w:ind w:left="709" w:hanging="709"/>
        <w:jc w:val="both"/>
        <w:rPr>
          <w:rFonts w:eastAsia="Times New Roman"/>
        </w:rPr>
      </w:pPr>
      <w:r w:rsidRPr="00E93946">
        <w:tab/>
        <w:t>avatud ventiil, mida saab käitada ka ventiili paigalduspunktist eemaldatud eelnevalt kindlaksmääratud punktist; rakendussüsteemi osad peavad olema projekteeritud nii, et oleks võimalik määrata ventiili automaatne sulgemine ventiili rikke või purunemise korral.</w:t>
      </w:r>
    </w:p>
    <w:p w14:paraId="63CC71F8" w14:textId="77777777" w:rsidR="00AC6BE3" w:rsidRPr="00E93946" w:rsidRDefault="00AC6BE3" w:rsidP="00AC6BE3">
      <w:pPr>
        <w:tabs>
          <w:tab w:val="left" w:pos="709"/>
        </w:tabs>
        <w:suppressAutoHyphens w:val="0"/>
        <w:overflowPunct/>
        <w:ind w:left="709" w:hanging="709"/>
        <w:jc w:val="both"/>
        <w:rPr>
          <w:rFonts w:eastAsia="Times New Roman"/>
        </w:rPr>
      </w:pPr>
      <w:r w:rsidRPr="00E93946">
        <w:t xml:space="preserve">1.2.27 </w:t>
      </w:r>
      <w:r w:rsidRPr="00E93946">
        <w:tab/>
        <w:t>Ohutusventiil:</w:t>
      </w:r>
    </w:p>
    <w:p w14:paraId="353D10DC" w14:textId="77777777" w:rsidR="00AC6BE3" w:rsidRPr="00E93946" w:rsidRDefault="00AC6BE3" w:rsidP="00AC6BE3">
      <w:pPr>
        <w:tabs>
          <w:tab w:val="left" w:pos="709"/>
        </w:tabs>
        <w:suppressAutoHyphens w:val="0"/>
        <w:overflowPunct/>
        <w:spacing w:after="120"/>
        <w:ind w:left="709" w:hanging="709"/>
        <w:jc w:val="both"/>
        <w:rPr>
          <w:rFonts w:eastAsia="Times New Roman"/>
        </w:rPr>
      </w:pPr>
      <w:r w:rsidRPr="00E93946">
        <w:tab/>
        <w:t>automaatselt töötav kaitseventiil, mille eesmärk on vältida gaasi või auru sisaldava jaama või selle osa allutamist ettenähtud rõhust kõrgemale rõhule.</w:t>
      </w:r>
    </w:p>
    <w:p w14:paraId="02BC92A1" w14:textId="77777777" w:rsidR="00AC6BE3" w:rsidRPr="00E93946" w:rsidRDefault="00AC6BE3" w:rsidP="00AC6BE3">
      <w:pPr>
        <w:tabs>
          <w:tab w:val="left" w:pos="709"/>
        </w:tabs>
        <w:suppressAutoHyphens w:val="0"/>
        <w:overflowPunct/>
        <w:ind w:left="709" w:hanging="709"/>
        <w:jc w:val="both"/>
        <w:rPr>
          <w:rFonts w:eastAsia="Times New Roman"/>
        </w:rPr>
      </w:pPr>
      <w:r w:rsidRPr="00E93946">
        <w:t xml:space="preserve">1.2.28 </w:t>
      </w:r>
      <w:r w:rsidRPr="00E93946">
        <w:tab/>
        <w:t>Avariisüsteemide väljalaskeventiil:</w:t>
      </w:r>
    </w:p>
    <w:p w14:paraId="1751E1A3" w14:textId="77777777" w:rsidR="00AC6BE3" w:rsidRPr="00E93946" w:rsidRDefault="00AC6BE3" w:rsidP="00AC6BE3">
      <w:pPr>
        <w:tabs>
          <w:tab w:val="left" w:pos="709"/>
        </w:tabs>
        <w:suppressAutoHyphens w:val="0"/>
        <w:overflowPunct/>
        <w:spacing w:after="120"/>
        <w:ind w:left="709" w:hanging="709"/>
        <w:jc w:val="both"/>
        <w:rPr>
          <w:rFonts w:eastAsia="Times New Roman"/>
        </w:rPr>
      </w:pPr>
      <w:r w:rsidRPr="00E93946">
        <w:tab/>
        <w:t>töös hoitav ventiil, mida saab käitada ka ventiili paigalduspunktist eemaldatud eelnevalt kindlaksmääratud punktist; rakendussüsteemi osad peavad olema projekteeritud nii, et oleks võimalik määrata ventiili automaatne avamine ühe ventiili rikke või purunemise korral.</w:t>
      </w:r>
    </w:p>
    <w:p w14:paraId="3B49F811" w14:textId="77777777" w:rsidR="00AC6BE3" w:rsidRPr="00E93946" w:rsidRDefault="00AC6BE3" w:rsidP="00AC6BE3">
      <w:pPr>
        <w:tabs>
          <w:tab w:val="left" w:pos="709"/>
        </w:tabs>
        <w:suppressAutoHyphens w:val="0"/>
        <w:overflowPunct/>
        <w:spacing w:after="120"/>
        <w:ind w:left="709" w:hanging="709"/>
        <w:jc w:val="both"/>
        <w:rPr>
          <w:rFonts w:eastAsia="Times New Roman"/>
        </w:rPr>
      </w:pPr>
      <w:r w:rsidRPr="00E93946">
        <w:t>1.2.29</w:t>
      </w:r>
      <w:r w:rsidRPr="00E93946">
        <w:tab/>
        <w:t>Elektrolüüsiseadme efektiivsus:</w:t>
      </w:r>
    </w:p>
    <w:p w14:paraId="1FBE8A75" w14:textId="77777777" w:rsidR="00AC6BE3" w:rsidRPr="00E93946" w:rsidRDefault="00AC6BE3" w:rsidP="00AC6BE3">
      <w:pPr>
        <w:tabs>
          <w:tab w:val="left" w:pos="709"/>
        </w:tabs>
        <w:suppressAutoHyphens w:val="0"/>
        <w:overflowPunct/>
        <w:spacing w:after="120"/>
        <w:ind w:left="709" w:hanging="709"/>
        <w:jc w:val="both"/>
        <w:rPr>
          <w:rFonts w:eastAsia="Times New Roman"/>
        </w:rPr>
      </w:pPr>
      <w:r w:rsidRPr="00E93946">
        <w:tab/>
        <w:t>elektrolüüsiseadme poolt neelduva elektrienergia ja elektrolüüsiseadme enda toodetud vesiniku mahu suhe [Nm</w:t>
      </w:r>
      <w:r w:rsidRPr="00E93946">
        <w:rPr>
          <w:vertAlign w:val="superscript"/>
        </w:rPr>
        <w:t>3</w:t>
      </w:r>
      <w:r w:rsidRPr="00E93946">
        <w:t>].</w:t>
      </w:r>
    </w:p>
    <w:p w14:paraId="6BD25BA8" w14:textId="77777777" w:rsidR="00AC6BE3" w:rsidRPr="00E93946" w:rsidRDefault="00AC6BE3" w:rsidP="00AC6BE3">
      <w:pPr>
        <w:suppressAutoHyphens w:val="0"/>
        <w:overflowPunct/>
        <w:jc w:val="both"/>
        <w:rPr>
          <w:rFonts w:eastAsia="Times New Roman"/>
          <w:lang w:eastAsia="it-IT"/>
        </w:rPr>
      </w:pPr>
    </w:p>
    <w:p w14:paraId="00131BDE" w14:textId="77777777" w:rsidR="00AC6BE3" w:rsidRPr="00E93946" w:rsidRDefault="00AC6BE3" w:rsidP="00AC6BE3">
      <w:pPr>
        <w:suppressAutoHyphens w:val="0"/>
        <w:overflowPunct/>
        <w:spacing w:after="120"/>
        <w:jc w:val="both"/>
        <w:rPr>
          <w:rFonts w:eastAsia="Times New Roman"/>
          <w:b/>
          <w:lang w:eastAsia="it-IT"/>
        </w:rPr>
      </w:pPr>
    </w:p>
    <w:p w14:paraId="7820D369" w14:textId="77777777" w:rsidR="00AC6BE3" w:rsidRPr="00E93946" w:rsidRDefault="00AC6BE3" w:rsidP="00AC6BE3">
      <w:pPr>
        <w:suppressAutoHyphens w:val="0"/>
        <w:overflowPunct/>
        <w:spacing w:after="120"/>
        <w:jc w:val="both"/>
        <w:rPr>
          <w:rFonts w:eastAsia="Times New Roman"/>
          <w:b/>
          <w:lang w:eastAsia="it-IT"/>
        </w:rPr>
      </w:pPr>
    </w:p>
    <w:p w14:paraId="1E5B5317" w14:textId="77777777" w:rsidR="00AC6BE3" w:rsidRPr="00E93946" w:rsidRDefault="00AC6BE3" w:rsidP="00AC6BE3">
      <w:pPr>
        <w:suppressAutoHyphens w:val="0"/>
        <w:overflowPunct/>
        <w:spacing w:after="120"/>
        <w:jc w:val="both"/>
        <w:rPr>
          <w:rFonts w:eastAsia="Times New Roman"/>
          <w:b/>
          <w:lang w:eastAsia="it-IT"/>
        </w:rPr>
      </w:pPr>
    </w:p>
    <w:p w14:paraId="308F68DB" w14:textId="77777777" w:rsidR="00AC6BE3" w:rsidRPr="00E93946" w:rsidRDefault="00AC6BE3" w:rsidP="00293BC8">
      <w:pPr>
        <w:keepNext/>
        <w:keepLines/>
        <w:suppressAutoHyphens w:val="0"/>
        <w:overflowPunct/>
        <w:spacing w:after="120"/>
        <w:jc w:val="both"/>
        <w:rPr>
          <w:rFonts w:eastAsia="Times New Roman"/>
        </w:rPr>
      </w:pPr>
      <w:r w:rsidRPr="00E93946">
        <w:rPr>
          <w:b/>
        </w:rPr>
        <w:t>2. Jaamade klassifikatsioon</w:t>
      </w:r>
      <w:r w:rsidRPr="00E93946">
        <w:rPr>
          <w:b/>
          <w:color w:val="FF0000"/>
        </w:rPr>
        <w:t>.</w:t>
      </w:r>
    </w:p>
    <w:p w14:paraId="08B668B0" w14:textId="77777777" w:rsidR="00AC6BE3" w:rsidRPr="00E93946" w:rsidRDefault="00AC6BE3" w:rsidP="00293BC8">
      <w:pPr>
        <w:keepNext/>
        <w:keepLines/>
        <w:suppressAutoHyphens w:val="0"/>
        <w:overflowPunct/>
        <w:spacing w:after="120"/>
        <w:jc w:val="both"/>
        <w:rPr>
          <w:rFonts w:eastAsia="Times New Roman"/>
        </w:rPr>
      </w:pPr>
      <w:r w:rsidRPr="00E93946">
        <w:t>Pidades silmas vesiniku tootmisjaamade mitmekordset kasutamist, võib need liigitada vesiniku töörõhu järgi järgmiselt:</w:t>
      </w:r>
    </w:p>
    <w:p w14:paraId="58DAD438" w14:textId="77777777" w:rsidR="00AC6BE3" w:rsidRPr="00E93946" w:rsidRDefault="00AC6BE3" w:rsidP="00AC6BE3">
      <w:pPr>
        <w:numPr>
          <w:ilvl w:val="0"/>
          <w:numId w:val="21"/>
        </w:numPr>
        <w:suppressAutoHyphens w:val="0"/>
        <w:overflowPunct/>
        <w:jc w:val="both"/>
        <w:rPr>
          <w:rFonts w:eastAsia="Times New Roman"/>
          <w:sz w:val="20"/>
          <w:szCs w:val="20"/>
        </w:rPr>
      </w:pPr>
      <w:r w:rsidRPr="00E93946">
        <w:t>P</w:t>
      </w:r>
      <w:r w:rsidRPr="00E93946">
        <w:rPr>
          <w:strike/>
          <w:vertAlign w:val="subscript"/>
        </w:rPr>
        <w:t xml:space="preserve"> </w:t>
      </w:r>
      <w:r w:rsidRPr="00E93946">
        <w:t>≤ 0,5 barg</w:t>
      </w:r>
    </w:p>
    <w:p w14:paraId="5E0C4F98" w14:textId="77777777" w:rsidR="00AC6BE3" w:rsidRPr="00E93946" w:rsidRDefault="00AC6BE3" w:rsidP="00AC6BE3">
      <w:pPr>
        <w:numPr>
          <w:ilvl w:val="0"/>
          <w:numId w:val="21"/>
        </w:numPr>
        <w:suppressAutoHyphens w:val="0"/>
        <w:overflowPunct/>
        <w:jc w:val="both"/>
        <w:rPr>
          <w:rFonts w:eastAsia="Times New Roman"/>
          <w:sz w:val="20"/>
          <w:szCs w:val="20"/>
        </w:rPr>
      </w:pPr>
      <w:r w:rsidRPr="00E93946">
        <w:t xml:space="preserve">0,5 barg &lt; P ≤ 50 barg </w:t>
      </w:r>
    </w:p>
    <w:p w14:paraId="19565F99" w14:textId="77777777" w:rsidR="00AC6BE3" w:rsidRPr="00E93946" w:rsidRDefault="00AC6BE3" w:rsidP="00AC6BE3">
      <w:pPr>
        <w:numPr>
          <w:ilvl w:val="0"/>
          <w:numId w:val="21"/>
        </w:numPr>
        <w:suppressAutoHyphens w:val="0"/>
        <w:overflowPunct/>
        <w:jc w:val="both"/>
        <w:rPr>
          <w:rFonts w:eastAsia="Times New Roman"/>
          <w:sz w:val="20"/>
          <w:szCs w:val="20"/>
        </w:rPr>
      </w:pPr>
      <w:r w:rsidRPr="00E93946">
        <w:lastRenderedPageBreak/>
        <w:t>50 barg &lt; P ≤ 100 barg</w:t>
      </w:r>
    </w:p>
    <w:p w14:paraId="219E4135" w14:textId="77777777" w:rsidR="00AC6BE3" w:rsidRPr="00E93946" w:rsidRDefault="00AC6BE3" w:rsidP="00AC6BE3">
      <w:pPr>
        <w:numPr>
          <w:ilvl w:val="0"/>
          <w:numId w:val="21"/>
        </w:numPr>
        <w:suppressAutoHyphens w:val="0"/>
        <w:overflowPunct/>
        <w:jc w:val="both"/>
        <w:rPr>
          <w:rFonts w:eastAsia="Times New Roman"/>
          <w:sz w:val="20"/>
          <w:szCs w:val="20"/>
        </w:rPr>
      </w:pPr>
      <w:r w:rsidRPr="00E93946">
        <w:t>100 barg &lt; P ≤ 300 barg</w:t>
      </w:r>
    </w:p>
    <w:p w14:paraId="4F3852D0" w14:textId="77777777" w:rsidR="00AC6BE3" w:rsidRPr="00E93946" w:rsidRDefault="00AC6BE3" w:rsidP="00AC6BE3">
      <w:pPr>
        <w:numPr>
          <w:ilvl w:val="0"/>
          <w:numId w:val="21"/>
        </w:numPr>
        <w:suppressAutoHyphens w:val="0"/>
        <w:overflowPunct/>
        <w:jc w:val="both"/>
        <w:rPr>
          <w:rFonts w:eastAsia="Times New Roman"/>
          <w:sz w:val="20"/>
          <w:szCs w:val="20"/>
        </w:rPr>
      </w:pPr>
      <w:r w:rsidRPr="00E93946">
        <w:t>300 barg &lt; P ≤ 500 barg</w:t>
      </w:r>
    </w:p>
    <w:p w14:paraId="3ECDD71F" w14:textId="77777777" w:rsidR="00AC6BE3" w:rsidRPr="00E93946" w:rsidRDefault="00AC6BE3" w:rsidP="00AC6BE3">
      <w:pPr>
        <w:numPr>
          <w:ilvl w:val="0"/>
          <w:numId w:val="21"/>
        </w:numPr>
        <w:suppressAutoHyphens w:val="0"/>
        <w:overflowPunct/>
        <w:jc w:val="both"/>
        <w:rPr>
          <w:rFonts w:eastAsia="Times New Roman"/>
          <w:sz w:val="20"/>
          <w:szCs w:val="20"/>
        </w:rPr>
      </w:pPr>
      <w:r w:rsidRPr="00E93946">
        <w:t>500 barg &lt; P ≤ 700 barg</w:t>
      </w:r>
    </w:p>
    <w:p w14:paraId="79C286C4" w14:textId="77777777" w:rsidR="00AC6BE3" w:rsidRPr="00E93946" w:rsidRDefault="00AC6BE3" w:rsidP="00AC6BE3">
      <w:pPr>
        <w:numPr>
          <w:ilvl w:val="0"/>
          <w:numId w:val="21"/>
        </w:numPr>
        <w:suppressAutoHyphens w:val="0"/>
        <w:overflowPunct/>
        <w:spacing w:after="120"/>
        <w:jc w:val="both"/>
        <w:rPr>
          <w:rFonts w:eastAsia="Times New Roman"/>
          <w:sz w:val="20"/>
          <w:szCs w:val="20"/>
        </w:rPr>
      </w:pPr>
      <w:r w:rsidRPr="00E93946">
        <w:t>700 barg &lt; P ≤ 1000 barg</w:t>
      </w:r>
    </w:p>
    <w:p w14:paraId="36B90A7C" w14:textId="77777777" w:rsidR="00AC6BE3" w:rsidRPr="00E93946" w:rsidRDefault="00AC6BE3" w:rsidP="00AC6BE3">
      <w:pPr>
        <w:suppressAutoHyphens w:val="0"/>
        <w:overflowPunct/>
        <w:jc w:val="both"/>
        <w:rPr>
          <w:rFonts w:eastAsia="Times New Roman"/>
          <w:strike/>
        </w:rPr>
      </w:pPr>
      <w:r w:rsidRPr="00E93946">
        <w:t>Esimesed kaks vesinikurõhu taset (P ≤ 0,5 barg; 0,5 barg &lt; P ≤ 50 barg) on tüüpilised elektrolüüsiseadmetele</w:t>
      </w:r>
    </w:p>
    <w:p w14:paraId="73D4057E" w14:textId="77777777" w:rsidR="00AC6BE3" w:rsidRPr="00E93946" w:rsidRDefault="00AC6BE3" w:rsidP="00AC6BE3">
      <w:pPr>
        <w:suppressAutoHyphens w:val="0"/>
        <w:overflowPunct/>
        <w:jc w:val="both"/>
        <w:rPr>
          <w:rFonts w:eastAsia="Times New Roman"/>
        </w:rPr>
      </w:pPr>
      <w:r w:rsidRPr="00E93946">
        <w:t>Töörõhu puhul, mis on suurem kui 1 000 barg, või kui võetakse vastu muud kui käesolevas dekreedis nimetatud hoiusüsteemid, peab projekteerija pärast tuleohu hindamist rakendama konkreetseid tuleohutusmeetmeid, mis määratakse kindlaks ka siseministri 9. mai 2007. aasta dekreedis nimetatud tehniliste tuleohutusmeetodite abil.</w:t>
      </w:r>
    </w:p>
    <w:p w14:paraId="27E3B9CC" w14:textId="77777777" w:rsidR="00AC6BE3" w:rsidRPr="00E93946" w:rsidRDefault="00AC6BE3" w:rsidP="00AC6BE3">
      <w:pPr>
        <w:suppressAutoHyphens w:val="0"/>
        <w:overflowPunct/>
        <w:jc w:val="both"/>
        <w:rPr>
          <w:rFonts w:eastAsia="Times New Roman"/>
          <w:lang w:eastAsia="it-IT"/>
        </w:rPr>
      </w:pPr>
    </w:p>
    <w:p w14:paraId="665B86DF" w14:textId="77777777" w:rsidR="00AC6BE3" w:rsidRPr="00E93946" w:rsidRDefault="00AC6BE3" w:rsidP="00AC6BE3">
      <w:pPr>
        <w:suppressAutoHyphens w:val="0"/>
        <w:overflowPunct/>
        <w:spacing w:after="120"/>
        <w:jc w:val="both"/>
        <w:rPr>
          <w:rFonts w:eastAsia="Times New Roman"/>
        </w:rPr>
      </w:pPr>
      <w:r w:rsidRPr="00E93946">
        <w:rPr>
          <w:b/>
        </w:rPr>
        <w:t>3. Jaama komponendid.</w:t>
      </w:r>
    </w:p>
    <w:p w14:paraId="605208F4" w14:textId="77777777" w:rsidR="00AC6BE3" w:rsidRPr="00E93946" w:rsidRDefault="00AC6BE3" w:rsidP="00AC6BE3">
      <w:pPr>
        <w:suppressAutoHyphens w:val="0"/>
        <w:overflowPunct/>
        <w:jc w:val="both"/>
        <w:rPr>
          <w:rFonts w:eastAsia="Times New Roman"/>
        </w:rPr>
      </w:pPr>
      <w:r w:rsidRPr="00E93946">
        <w:t>Tootmis- ja ladustamisrajatise eri osadel peavad olema II jaotises osutatud omadused, ohutusseadised ja -seadmed.</w:t>
      </w:r>
    </w:p>
    <w:p w14:paraId="462E60B7" w14:textId="77777777" w:rsidR="00AC6BE3" w:rsidRPr="00E93946" w:rsidRDefault="00AC6BE3" w:rsidP="00AC6BE3">
      <w:pPr>
        <w:suppressAutoHyphens w:val="0"/>
        <w:overflowPunct/>
        <w:spacing w:after="120"/>
        <w:jc w:val="both"/>
        <w:rPr>
          <w:rFonts w:eastAsia="Times New Roman"/>
        </w:rPr>
      </w:pPr>
      <w:r w:rsidRPr="00E93946">
        <w:t>Vesiniku tootmise ja ladustamise rajatised koosnevad tavaliselt järgmistest elementidest:</w:t>
      </w:r>
    </w:p>
    <w:p w14:paraId="7C4131C8" w14:textId="77777777" w:rsidR="00AC6BE3" w:rsidRPr="00E93946" w:rsidRDefault="00AC6BE3" w:rsidP="00AC6BE3">
      <w:pPr>
        <w:numPr>
          <w:ilvl w:val="0"/>
          <w:numId w:val="31"/>
        </w:numPr>
        <w:suppressAutoHyphens w:val="0"/>
        <w:overflowPunct/>
        <w:ind w:left="567" w:hanging="284"/>
        <w:jc w:val="both"/>
        <w:rPr>
          <w:rFonts w:eastAsia="Times New Roman"/>
          <w:sz w:val="20"/>
          <w:szCs w:val="20"/>
        </w:rPr>
      </w:pPr>
      <w:r w:rsidRPr="00E93946">
        <w:t>elektrolüüsiseade;</w:t>
      </w:r>
    </w:p>
    <w:p w14:paraId="6C1FB5AC" w14:textId="77777777" w:rsidR="00AC6BE3" w:rsidRPr="00E93946" w:rsidRDefault="00AC6BE3" w:rsidP="00AC6BE3">
      <w:pPr>
        <w:numPr>
          <w:ilvl w:val="0"/>
          <w:numId w:val="31"/>
        </w:numPr>
        <w:suppressAutoHyphens w:val="0"/>
        <w:overflowPunct/>
        <w:ind w:left="567" w:hanging="284"/>
        <w:jc w:val="both"/>
        <w:rPr>
          <w:rFonts w:eastAsia="Times New Roman"/>
          <w:sz w:val="20"/>
          <w:szCs w:val="20"/>
        </w:rPr>
      </w:pPr>
      <w:r w:rsidRPr="00E93946">
        <w:t>puhverpaak;</w:t>
      </w:r>
    </w:p>
    <w:p w14:paraId="1789769B" w14:textId="77777777" w:rsidR="00AC6BE3" w:rsidRPr="00E93946" w:rsidRDefault="00AC6BE3" w:rsidP="00AC6BE3">
      <w:pPr>
        <w:numPr>
          <w:ilvl w:val="0"/>
          <w:numId w:val="31"/>
        </w:numPr>
        <w:suppressAutoHyphens w:val="0"/>
        <w:overflowPunct/>
        <w:ind w:left="567" w:hanging="284"/>
        <w:jc w:val="both"/>
        <w:rPr>
          <w:rFonts w:eastAsia="Times New Roman"/>
          <w:sz w:val="20"/>
          <w:szCs w:val="20"/>
        </w:rPr>
      </w:pPr>
      <w:r w:rsidRPr="00E93946">
        <w:t>tihendussüsteem;</w:t>
      </w:r>
    </w:p>
    <w:p w14:paraId="0F97DA2D" w14:textId="77777777" w:rsidR="00AC6BE3" w:rsidRPr="00E93946" w:rsidRDefault="00AC6BE3" w:rsidP="00AC6BE3">
      <w:pPr>
        <w:numPr>
          <w:ilvl w:val="0"/>
          <w:numId w:val="31"/>
        </w:numPr>
        <w:suppressAutoHyphens w:val="0"/>
        <w:overflowPunct/>
        <w:ind w:left="567" w:hanging="284"/>
        <w:jc w:val="both"/>
        <w:rPr>
          <w:rFonts w:eastAsia="Times New Roman"/>
          <w:sz w:val="20"/>
          <w:szCs w:val="20"/>
        </w:rPr>
      </w:pPr>
      <w:r w:rsidRPr="00E93946">
        <w:t>vesiniku hoiustamine;</w:t>
      </w:r>
    </w:p>
    <w:p w14:paraId="4F9996DC" w14:textId="77777777" w:rsidR="00AC6BE3" w:rsidRPr="00E93946" w:rsidRDefault="00AC6BE3" w:rsidP="00AC6BE3">
      <w:pPr>
        <w:numPr>
          <w:ilvl w:val="0"/>
          <w:numId w:val="31"/>
        </w:numPr>
        <w:suppressAutoHyphens w:val="0"/>
        <w:overflowPunct/>
        <w:ind w:left="567" w:hanging="284"/>
        <w:jc w:val="both"/>
        <w:rPr>
          <w:rFonts w:eastAsia="Times New Roman"/>
          <w:sz w:val="20"/>
          <w:szCs w:val="20"/>
        </w:rPr>
      </w:pPr>
      <w:r w:rsidRPr="00E93946">
        <w:t>rõhu vähendamise ja stabiliseerimise koost;</w:t>
      </w:r>
    </w:p>
    <w:p w14:paraId="523D5DB2" w14:textId="77777777" w:rsidR="00AC6BE3" w:rsidRPr="00E93946" w:rsidRDefault="00AC6BE3" w:rsidP="00AC6BE3">
      <w:pPr>
        <w:numPr>
          <w:ilvl w:val="0"/>
          <w:numId w:val="31"/>
        </w:numPr>
        <w:suppressAutoHyphens w:val="0"/>
        <w:overflowPunct/>
        <w:ind w:left="567" w:hanging="284"/>
        <w:jc w:val="both"/>
        <w:rPr>
          <w:rFonts w:eastAsia="Times New Roman"/>
          <w:sz w:val="20"/>
          <w:szCs w:val="20"/>
        </w:rPr>
      </w:pPr>
      <w:r w:rsidRPr="00E93946">
        <w:t>laadimisjaam (laadimisplatvormid);</w:t>
      </w:r>
    </w:p>
    <w:p w14:paraId="17406576" w14:textId="77777777" w:rsidR="00AC6BE3" w:rsidRPr="00E93946" w:rsidRDefault="00AC6BE3" w:rsidP="00AC6BE3">
      <w:pPr>
        <w:numPr>
          <w:ilvl w:val="0"/>
          <w:numId w:val="31"/>
        </w:numPr>
        <w:suppressAutoHyphens w:val="0"/>
        <w:overflowPunct/>
        <w:ind w:left="567" w:hanging="284"/>
        <w:jc w:val="both"/>
        <w:rPr>
          <w:rFonts w:eastAsia="Times New Roman"/>
          <w:sz w:val="20"/>
          <w:szCs w:val="20"/>
        </w:rPr>
      </w:pPr>
      <w:r w:rsidRPr="00E93946">
        <w:t>ühendustorud (elementide a, b, c, d, e ja f vahelised ühenduselemendid vesiniku ülekandeks);</w:t>
      </w:r>
    </w:p>
    <w:p w14:paraId="1C8113A5" w14:textId="77777777" w:rsidR="00AC6BE3" w:rsidRPr="00E93946" w:rsidRDefault="00AC6BE3" w:rsidP="00AC6BE3">
      <w:pPr>
        <w:numPr>
          <w:ilvl w:val="0"/>
          <w:numId w:val="31"/>
        </w:numPr>
        <w:suppressAutoHyphens w:val="0"/>
        <w:overflowPunct/>
        <w:ind w:left="567" w:hanging="284"/>
        <w:jc w:val="both"/>
        <w:rPr>
          <w:rFonts w:eastAsia="Times New Roman"/>
          <w:sz w:val="20"/>
          <w:szCs w:val="20"/>
        </w:rPr>
      </w:pPr>
      <w:r w:rsidRPr="00E93946">
        <w:t>balloonvaguni peatumisala;</w:t>
      </w:r>
    </w:p>
    <w:p w14:paraId="1EDB6820" w14:textId="77777777" w:rsidR="00AC6BE3" w:rsidRPr="00E93946" w:rsidRDefault="00AC6BE3" w:rsidP="00AC6BE3">
      <w:pPr>
        <w:numPr>
          <w:ilvl w:val="0"/>
          <w:numId w:val="31"/>
        </w:numPr>
        <w:suppressAutoHyphens w:val="0"/>
        <w:overflowPunct/>
        <w:ind w:left="567" w:hanging="284"/>
        <w:jc w:val="both"/>
        <w:rPr>
          <w:rFonts w:eastAsia="Times New Roman"/>
          <w:sz w:val="20"/>
          <w:szCs w:val="20"/>
        </w:rPr>
      </w:pPr>
      <w:r w:rsidRPr="00E93946">
        <w:t>kõrvalteenuste osutamiseks ettenähtud ruumid.</w:t>
      </w:r>
    </w:p>
    <w:p w14:paraId="62365C87" w14:textId="77777777" w:rsidR="00AC6BE3" w:rsidRPr="00E93946" w:rsidRDefault="00AC6BE3" w:rsidP="00AC6BE3">
      <w:pPr>
        <w:suppressAutoHyphens w:val="0"/>
        <w:overflowPunct/>
        <w:jc w:val="both"/>
        <w:rPr>
          <w:rFonts w:eastAsia="Times New Roman"/>
          <w:lang w:eastAsia="it-IT"/>
        </w:rPr>
      </w:pPr>
    </w:p>
    <w:p w14:paraId="5A889D21" w14:textId="77777777" w:rsidR="00AC6BE3" w:rsidRPr="00E93946" w:rsidRDefault="00AC6BE3" w:rsidP="00AC6BE3">
      <w:pPr>
        <w:suppressAutoHyphens w:val="0"/>
        <w:overflowPunct/>
        <w:jc w:val="both"/>
        <w:rPr>
          <w:rFonts w:eastAsia="Times New Roman"/>
        </w:rPr>
      </w:pPr>
      <w:r w:rsidRPr="00E93946">
        <w:t>Allpool on diagramm, näiteks tüüpiline jaam.</w:t>
      </w:r>
    </w:p>
    <w:p w14:paraId="72F2D894" w14:textId="77777777" w:rsidR="00F76633" w:rsidRPr="00E93946" w:rsidRDefault="00AC6BE3" w:rsidP="00AC6BE3">
      <w:pPr>
        <w:suppressAutoHyphens w:val="0"/>
        <w:overflowPunct/>
        <w:jc w:val="center"/>
        <w:rPr>
          <w:rFonts w:eastAsia="Times New Roman"/>
          <w:sz w:val="20"/>
          <w:szCs w:val="20"/>
        </w:rPr>
      </w:pPr>
      <w:r w:rsidRPr="00E93946">
        <w:rPr>
          <w:noProof/>
          <w:sz w:val="20"/>
        </w:rPr>
        <w:lastRenderedPageBreak/>
        <w:drawing>
          <wp:inline distT="0" distB="0" distL="0" distR="0" wp14:anchorId="336C27DA" wp14:editId="017EB811">
            <wp:extent cx="5196840" cy="6995160"/>
            <wp:effectExtent l="0" t="0" r="381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96840" cy="6995160"/>
                    </a:xfrm>
                    <a:prstGeom prst="rect">
                      <a:avLst/>
                    </a:prstGeom>
                    <a:noFill/>
                    <a:ln>
                      <a:noFill/>
                    </a:ln>
                  </pic:spPr>
                </pic:pic>
              </a:graphicData>
            </a:graphic>
          </wp:inline>
        </w:drawing>
      </w:r>
    </w:p>
    <w:tbl>
      <w:tblPr>
        <w:tblStyle w:val="TableGrid"/>
        <w:tblW w:w="9628" w:type="dxa"/>
        <w:tblLook w:val="04A0" w:firstRow="1" w:lastRow="0" w:firstColumn="1" w:lastColumn="0" w:noHBand="0" w:noVBand="1"/>
      </w:tblPr>
      <w:tblGrid>
        <w:gridCol w:w="4814"/>
        <w:gridCol w:w="4814"/>
      </w:tblGrid>
      <w:tr w:rsidR="00F76633" w:rsidRPr="00E93946" w14:paraId="6878C513" w14:textId="77777777" w:rsidTr="00F76633">
        <w:tc>
          <w:tcPr>
            <w:tcW w:w="4814" w:type="dxa"/>
          </w:tcPr>
          <w:p w14:paraId="1BB74DE1" w14:textId="00CACFAC"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lang w:eastAsia="it-IT"/>
              </w:rPr>
              <w:t>Impianto di produzione di idrogeno mediante elettrolisi</w:t>
            </w:r>
          </w:p>
        </w:tc>
        <w:tc>
          <w:tcPr>
            <w:tcW w:w="4814" w:type="dxa"/>
          </w:tcPr>
          <w:p w14:paraId="3915DE7E" w14:textId="63BEF6B6"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rPr>
              <w:t>Elektrolüüsi kasutav vesiniku tootmisjaam</w:t>
            </w:r>
          </w:p>
        </w:tc>
      </w:tr>
      <w:tr w:rsidR="00F76633" w:rsidRPr="00E93946" w14:paraId="7B11FF9D" w14:textId="77777777" w:rsidTr="00F76633">
        <w:tc>
          <w:tcPr>
            <w:tcW w:w="4814" w:type="dxa"/>
          </w:tcPr>
          <w:p w14:paraId="7C2D4A42" w14:textId="09259C07"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lang w:eastAsia="it-IT"/>
              </w:rPr>
              <w:t>Elettrolizzatore</w:t>
            </w:r>
          </w:p>
        </w:tc>
        <w:tc>
          <w:tcPr>
            <w:tcW w:w="4814" w:type="dxa"/>
          </w:tcPr>
          <w:p w14:paraId="45984908" w14:textId="300B98DB"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rPr>
              <w:t>Elektrolüüsiseade</w:t>
            </w:r>
          </w:p>
        </w:tc>
      </w:tr>
      <w:tr w:rsidR="00F76633" w:rsidRPr="00E93946" w14:paraId="667D8ACD" w14:textId="77777777" w:rsidTr="00F76633">
        <w:tc>
          <w:tcPr>
            <w:tcW w:w="4814" w:type="dxa"/>
          </w:tcPr>
          <w:p w14:paraId="7C881FE5" w14:textId="23DA7475"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lang w:eastAsia="it-IT"/>
              </w:rPr>
              <w:t>Modulo di elettrolisi</w:t>
            </w:r>
          </w:p>
        </w:tc>
        <w:tc>
          <w:tcPr>
            <w:tcW w:w="4814" w:type="dxa"/>
          </w:tcPr>
          <w:p w14:paraId="11287F8A" w14:textId="47F3E33F"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rPr>
              <w:t>Elektrolüüsi moodul</w:t>
            </w:r>
          </w:p>
        </w:tc>
      </w:tr>
      <w:tr w:rsidR="00F76633" w:rsidRPr="00E93946" w14:paraId="5BB2F209" w14:textId="77777777" w:rsidTr="00F76633">
        <w:tc>
          <w:tcPr>
            <w:tcW w:w="4814" w:type="dxa"/>
          </w:tcPr>
          <w:p w14:paraId="7942C491" w14:textId="090EE24E"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lang w:eastAsia="it-IT"/>
              </w:rPr>
              <w:t>Stack</w:t>
            </w:r>
          </w:p>
        </w:tc>
        <w:tc>
          <w:tcPr>
            <w:tcW w:w="4814" w:type="dxa"/>
          </w:tcPr>
          <w:p w14:paraId="0DE7FBEE" w14:textId="7261D1FC"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rPr>
              <w:t>Korstnad</w:t>
            </w:r>
          </w:p>
        </w:tc>
      </w:tr>
      <w:tr w:rsidR="00F76633" w:rsidRPr="00E93946" w14:paraId="5CE2AA0B" w14:textId="77777777" w:rsidTr="00F76633">
        <w:tc>
          <w:tcPr>
            <w:tcW w:w="4814" w:type="dxa"/>
          </w:tcPr>
          <w:p w14:paraId="7AFC1D08" w14:textId="4BD23093"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lang w:eastAsia="it-IT"/>
              </w:rPr>
              <w:t>Balance of stack</w:t>
            </w:r>
          </w:p>
        </w:tc>
        <w:tc>
          <w:tcPr>
            <w:tcW w:w="4814" w:type="dxa"/>
          </w:tcPr>
          <w:p w14:paraId="1C997528" w14:textId="2DC1922E"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rPr>
              <w:t>Korstna tasakaal</w:t>
            </w:r>
          </w:p>
        </w:tc>
      </w:tr>
      <w:tr w:rsidR="00F76633" w:rsidRPr="00E93946" w14:paraId="7E11854B" w14:textId="77777777" w:rsidTr="00F76633">
        <w:tc>
          <w:tcPr>
            <w:tcW w:w="4814" w:type="dxa"/>
          </w:tcPr>
          <w:p w14:paraId="7EA23CD0" w14:textId="23884F99"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lang w:eastAsia="it-IT"/>
              </w:rPr>
              <w:t>Trasformatore</w:t>
            </w:r>
          </w:p>
        </w:tc>
        <w:tc>
          <w:tcPr>
            <w:tcW w:w="4814" w:type="dxa"/>
          </w:tcPr>
          <w:p w14:paraId="452402BD" w14:textId="7611BC42"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rPr>
              <w:t>Trafo</w:t>
            </w:r>
          </w:p>
        </w:tc>
      </w:tr>
      <w:tr w:rsidR="00F76633" w:rsidRPr="00E93946" w14:paraId="67EE9D55" w14:textId="77777777" w:rsidTr="00F76633">
        <w:tc>
          <w:tcPr>
            <w:tcW w:w="4814" w:type="dxa"/>
          </w:tcPr>
          <w:p w14:paraId="01339712" w14:textId="44415097"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lang w:eastAsia="it-IT"/>
              </w:rPr>
              <w:t>Raddrizzatore</w:t>
            </w:r>
          </w:p>
        </w:tc>
        <w:tc>
          <w:tcPr>
            <w:tcW w:w="4814" w:type="dxa"/>
          </w:tcPr>
          <w:p w14:paraId="7381C0FA" w14:textId="2170301B"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rPr>
              <w:t>Alaldi</w:t>
            </w:r>
          </w:p>
        </w:tc>
      </w:tr>
      <w:tr w:rsidR="00F76633" w:rsidRPr="00E93946" w14:paraId="0E48F49B" w14:textId="77777777" w:rsidTr="00F76633">
        <w:tc>
          <w:tcPr>
            <w:tcW w:w="4814" w:type="dxa"/>
          </w:tcPr>
          <w:p w14:paraId="4816C272" w14:textId="429CCD44"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lang w:eastAsia="it-IT"/>
              </w:rPr>
              <w:t>Serbatoio tampone (buffer tank)</w:t>
            </w:r>
          </w:p>
        </w:tc>
        <w:tc>
          <w:tcPr>
            <w:tcW w:w="4814" w:type="dxa"/>
          </w:tcPr>
          <w:p w14:paraId="35DAB0DC" w14:textId="67F246A9"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rPr>
              <w:t>Puhverpaak</w:t>
            </w:r>
          </w:p>
        </w:tc>
      </w:tr>
      <w:tr w:rsidR="00F76633" w:rsidRPr="00E93946" w14:paraId="171F812C" w14:textId="77777777" w:rsidTr="00F76633">
        <w:tc>
          <w:tcPr>
            <w:tcW w:w="4814" w:type="dxa"/>
          </w:tcPr>
          <w:p w14:paraId="1FDC8520" w14:textId="41F2115C"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lang w:eastAsia="it-IT"/>
              </w:rPr>
              <w:t>Sistema di purificazione idrogeno</w:t>
            </w:r>
          </w:p>
        </w:tc>
        <w:tc>
          <w:tcPr>
            <w:tcW w:w="4814" w:type="dxa"/>
          </w:tcPr>
          <w:p w14:paraId="51516BDA" w14:textId="548DACD7"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rPr>
              <w:t>Vesiniku puhastussüsteem</w:t>
            </w:r>
          </w:p>
        </w:tc>
      </w:tr>
      <w:tr w:rsidR="00F76633" w:rsidRPr="00E93946" w14:paraId="2BBA5CE6" w14:textId="77777777" w:rsidTr="00F76633">
        <w:tc>
          <w:tcPr>
            <w:tcW w:w="4814" w:type="dxa"/>
          </w:tcPr>
          <w:p w14:paraId="2EAB2A43" w14:textId="0DF2A39C"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lang w:eastAsia="it-IT"/>
              </w:rPr>
              <w:t>Area di sosta carri bombolai</w:t>
            </w:r>
          </w:p>
        </w:tc>
        <w:tc>
          <w:tcPr>
            <w:tcW w:w="4814" w:type="dxa"/>
          </w:tcPr>
          <w:p w14:paraId="0741536F" w14:textId="5A2CA013"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rPr>
              <w:t>Balloonvaguni peatuskoht</w:t>
            </w:r>
          </w:p>
        </w:tc>
      </w:tr>
      <w:tr w:rsidR="00F76633" w:rsidRPr="00E93946" w14:paraId="6D57D32A" w14:textId="77777777" w:rsidTr="00F76633">
        <w:tc>
          <w:tcPr>
            <w:tcW w:w="4814" w:type="dxa"/>
          </w:tcPr>
          <w:p w14:paraId="49221A5D" w14:textId="6AB50875"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lang w:eastAsia="it-IT"/>
              </w:rPr>
              <w:t>Baia/e di carico</w:t>
            </w:r>
          </w:p>
        </w:tc>
        <w:tc>
          <w:tcPr>
            <w:tcW w:w="4814" w:type="dxa"/>
          </w:tcPr>
          <w:p w14:paraId="2B7819D3" w14:textId="7D05EF49"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rPr>
              <w:t>Laadimisplatvorm(id)</w:t>
            </w:r>
          </w:p>
        </w:tc>
      </w:tr>
      <w:tr w:rsidR="00F76633" w:rsidRPr="00E93946" w14:paraId="2CE86898" w14:textId="77777777" w:rsidTr="00F76633">
        <w:tc>
          <w:tcPr>
            <w:tcW w:w="4814" w:type="dxa"/>
          </w:tcPr>
          <w:p w14:paraId="24E79BBD" w14:textId="15B1D223"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lang w:eastAsia="it-IT"/>
              </w:rPr>
              <w:t>Carro bombolaio</w:t>
            </w:r>
          </w:p>
        </w:tc>
        <w:tc>
          <w:tcPr>
            <w:tcW w:w="4814" w:type="dxa"/>
          </w:tcPr>
          <w:p w14:paraId="03C44FE2" w14:textId="67B9C36C"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rPr>
              <w:t>Balloonvagun</w:t>
            </w:r>
          </w:p>
        </w:tc>
      </w:tr>
      <w:tr w:rsidR="00F76633" w:rsidRPr="00E93946" w14:paraId="4FBFA3DB" w14:textId="77777777" w:rsidTr="00F76633">
        <w:tc>
          <w:tcPr>
            <w:tcW w:w="4814" w:type="dxa"/>
          </w:tcPr>
          <w:p w14:paraId="48E67F3A" w14:textId="666546D1"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lang w:eastAsia="it-IT"/>
              </w:rPr>
              <w:t>Sistema di compressione</w:t>
            </w:r>
          </w:p>
        </w:tc>
        <w:tc>
          <w:tcPr>
            <w:tcW w:w="4814" w:type="dxa"/>
          </w:tcPr>
          <w:p w14:paraId="3B759781" w14:textId="5C8AE278"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rPr>
              <w:t>Tihendussüsteem</w:t>
            </w:r>
          </w:p>
        </w:tc>
      </w:tr>
      <w:tr w:rsidR="00F76633" w:rsidRPr="00E93946" w14:paraId="2CD19751" w14:textId="77777777" w:rsidTr="00F76633">
        <w:tc>
          <w:tcPr>
            <w:tcW w:w="4814" w:type="dxa"/>
          </w:tcPr>
          <w:p w14:paraId="622F0350" w14:textId="5C5323FC"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lang w:eastAsia="it-IT"/>
              </w:rPr>
              <w:t>Stoccaggio di idrogeno</w:t>
            </w:r>
          </w:p>
        </w:tc>
        <w:tc>
          <w:tcPr>
            <w:tcW w:w="4814" w:type="dxa"/>
          </w:tcPr>
          <w:p w14:paraId="643EDE49" w14:textId="571F066F"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rPr>
              <w:t>Vesiniku hoiustamine</w:t>
            </w:r>
          </w:p>
        </w:tc>
      </w:tr>
      <w:tr w:rsidR="00F76633" w:rsidRPr="00E93946" w14:paraId="0F30F70A" w14:textId="77777777" w:rsidTr="00F76633">
        <w:tc>
          <w:tcPr>
            <w:tcW w:w="4814" w:type="dxa"/>
          </w:tcPr>
          <w:p w14:paraId="20EEA7B6" w14:textId="306C6E0B"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lang w:eastAsia="it-IT"/>
              </w:rPr>
              <w:lastRenderedPageBreak/>
              <w:t>Compressore</w:t>
            </w:r>
          </w:p>
        </w:tc>
        <w:tc>
          <w:tcPr>
            <w:tcW w:w="4814" w:type="dxa"/>
          </w:tcPr>
          <w:p w14:paraId="409D95D0" w14:textId="5C46BF4B"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rPr>
              <w:t>Kompressor</w:t>
            </w:r>
          </w:p>
        </w:tc>
      </w:tr>
      <w:tr w:rsidR="00F76633" w:rsidRPr="00E93946" w14:paraId="37971958" w14:textId="77777777" w:rsidTr="00F76633">
        <w:tc>
          <w:tcPr>
            <w:tcW w:w="4814" w:type="dxa"/>
          </w:tcPr>
          <w:p w14:paraId="5D2C600F" w14:textId="27247026"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lang w:eastAsia="it-IT"/>
              </w:rPr>
              <w:t>Serbatoio</w:t>
            </w:r>
          </w:p>
        </w:tc>
        <w:tc>
          <w:tcPr>
            <w:tcW w:w="4814" w:type="dxa"/>
          </w:tcPr>
          <w:p w14:paraId="3F0660F0" w14:textId="21257A76"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rPr>
              <w:t>Mahuti</w:t>
            </w:r>
          </w:p>
        </w:tc>
      </w:tr>
      <w:tr w:rsidR="00F76633" w:rsidRPr="00E93946" w14:paraId="07642B3C" w14:textId="77777777" w:rsidTr="00F76633">
        <w:tc>
          <w:tcPr>
            <w:tcW w:w="4814" w:type="dxa"/>
          </w:tcPr>
          <w:p w14:paraId="6A6203CB" w14:textId="2B6D27E2"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lang w:eastAsia="it-IT"/>
              </w:rPr>
              <w:t>Pacco bombole</w:t>
            </w:r>
          </w:p>
        </w:tc>
        <w:tc>
          <w:tcPr>
            <w:tcW w:w="4814" w:type="dxa"/>
          </w:tcPr>
          <w:p w14:paraId="0A9D37A2" w14:textId="35D7CF05"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rPr>
              <w:t>Silindrite komplekt</w:t>
            </w:r>
          </w:p>
        </w:tc>
      </w:tr>
      <w:tr w:rsidR="00F76633" w:rsidRPr="00E93946" w14:paraId="33DFD1F0" w14:textId="77777777" w:rsidTr="00F76633">
        <w:tc>
          <w:tcPr>
            <w:tcW w:w="4814" w:type="dxa"/>
          </w:tcPr>
          <w:p w14:paraId="6ABA39B4" w14:textId="0B55350D"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lang w:val="it-IT" w:eastAsia="it-IT"/>
              </w:rPr>
              <w:t>Gruppo di riduzione e stabilizzazione della pressione</w:t>
            </w:r>
          </w:p>
        </w:tc>
        <w:tc>
          <w:tcPr>
            <w:tcW w:w="4814" w:type="dxa"/>
          </w:tcPr>
          <w:p w14:paraId="666FD503" w14:textId="332DB79A"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rPr>
              <w:t>Rõhu vähendamise ja stabiliseerimise koost</w:t>
            </w:r>
          </w:p>
        </w:tc>
      </w:tr>
      <w:tr w:rsidR="00F76633" w:rsidRPr="00E93946" w14:paraId="4AE67EF4" w14:textId="77777777" w:rsidTr="00F76633">
        <w:tc>
          <w:tcPr>
            <w:tcW w:w="4814" w:type="dxa"/>
          </w:tcPr>
          <w:p w14:paraId="11740006" w14:textId="6EC0D88A"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lang w:eastAsia="it-IT"/>
              </w:rPr>
              <w:t>Locali sevizi accessori</w:t>
            </w:r>
          </w:p>
        </w:tc>
        <w:tc>
          <w:tcPr>
            <w:tcW w:w="4814" w:type="dxa"/>
          </w:tcPr>
          <w:p w14:paraId="52AF85DF" w14:textId="7BE95F0A" w:rsidR="00F76633" w:rsidRPr="00E93946" w:rsidRDefault="00F76633" w:rsidP="00F76633">
            <w:pPr>
              <w:suppressAutoHyphens w:val="0"/>
              <w:overflowPunct/>
              <w:rPr>
                <w:rFonts w:ascii="Arial" w:eastAsia="Times New Roman" w:hAnsi="Arial" w:cs="Arial"/>
                <w:sz w:val="18"/>
                <w:szCs w:val="18"/>
              </w:rPr>
            </w:pPr>
            <w:r w:rsidRPr="00E93946">
              <w:rPr>
                <w:rFonts w:ascii="Arial" w:hAnsi="Arial"/>
                <w:sz w:val="18"/>
              </w:rPr>
              <w:t>Kohalikud lisateenused</w:t>
            </w:r>
          </w:p>
        </w:tc>
      </w:tr>
    </w:tbl>
    <w:p w14:paraId="4600DF04" w14:textId="07F88113" w:rsidR="00AC6BE3" w:rsidRPr="00E93946" w:rsidRDefault="00AC6BE3" w:rsidP="00AC6BE3">
      <w:pPr>
        <w:suppressAutoHyphens w:val="0"/>
        <w:overflowPunct/>
        <w:jc w:val="center"/>
        <w:rPr>
          <w:rFonts w:eastAsia="Times New Roman"/>
          <w:lang w:eastAsia="it-IT"/>
        </w:rPr>
      </w:pPr>
    </w:p>
    <w:p w14:paraId="2A78891A" w14:textId="77777777" w:rsidR="00AC6BE3" w:rsidRPr="00E93946" w:rsidRDefault="00AC6BE3" w:rsidP="00AC6BE3">
      <w:pPr>
        <w:suppressAutoHyphens w:val="0"/>
        <w:overflowPunct/>
        <w:spacing w:after="120"/>
        <w:jc w:val="both"/>
        <w:rPr>
          <w:rFonts w:eastAsia="Times New Roman"/>
        </w:rPr>
      </w:pPr>
      <w:r w:rsidRPr="00E93946">
        <w:rPr>
          <w:b/>
        </w:rPr>
        <w:t>4. Ohtlikud elemendid.</w:t>
      </w:r>
    </w:p>
    <w:p w14:paraId="6D306C74" w14:textId="77777777" w:rsidR="00AC6BE3" w:rsidRPr="00E93946" w:rsidRDefault="00AC6BE3" w:rsidP="00AC6BE3">
      <w:pPr>
        <w:suppressAutoHyphens w:val="0"/>
        <w:overflowPunct/>
        <w:jc w:val="both"/>
        <w:rPr>
          <w:rFonts w:eastAsia="Times New Roman"/>
        </w:rPr>
      </w:pPr>
      <w:r w:rsidRPr="00E93946">
        <w:t>Ohutus- ja kaitsekauguste kindlaksmääramisel käsitatakse jaama ohtlike elementidena punkti 3 alapunktis a osutatud elemente, mis piirduvad elektrolüüsimooduliga, ja punktis g nimetatud elemente.</w:t>
      </w:r>
    </w:p>
    <w:p w14:paraId="75BD9F50" w14:textId="77777777" w:rsidR="00AC6BE3" w:rsidRPr="00E93946" w:rsidRDefault="00AC6BE3" w:rsidP="00AC6BE3">
      <w:pPr>
        <w:suppressAutoHyphens w:val="0"/>
        <w:overflowPunct/>
        <w:jc w:val="both"/>
        <w:rPr>
          <w:rFonts w:eastAsia="Times New Roman"/>
          <w:highlight w:val="lightGray"/>
          <w:lang w:eastAsia="it-IT"/>
        </w:rPr>
      </w:pPr>
    </w:p>
    <w:p w14:paraId="0695C5F7" w14:textId="77777777" w:rsidR="00AC6BE3" w:rsidRPr="00E93946" w:rsidRDefault="00AC6BE3" w:rsidP="00AC6BE3">
      <w:pPr>
        <w:suppressAutoHyphens w:val="0"/>
        <w:overflowPunct/>
        <w:spacing w:after="120"/>
        <w:jc w:val="both"/>
        <w:rPr>
          <w:rFonts w:eastAsia="Times New Roman"/>
        </w:rPr>
      </w:pPr>
      <w:r w:rsidRPr="00E93946">
        <w:rPr>
          <w:b/>
        </w:rPr>
        <w:t>5. Materjalid.</w:t>
      </w:r>
    </w:p>
    <w:p w14:paraId="3AD8389F" w14:textId="77777777" w:rsidR="00AC6BE3" w:rsidRPr="00E93946" w:rsidRDefault="00AC6BE3" w:rsidP="00AC6BE3">
      <w:pPr>
        <w:suppressAutoHyphens w:val="0"/>
        <w:overflowPunct/>
        <w:jc w:val="both"/>
        <w:rPr>
          <w:rFonts w:eastAsia="Times New Roman"/>
          <w:strike/>
        </w:rPr>
      </w:pPr>
      <w:r w:rsidRPr="00E93946">
        <w:t xml:space="preserve">Rajatise elementide ehitamisel kasutatud materjalid peavad sobima kokku vesinikuga kasutatavatel temperatuuridel ja rõhkudel. Eelkõige võetakse materjalide valikul arvesse vesinikukasutusest tulenevaid konkreetseid probleeme. Õige valiku tegemiseks võib viidata ka standardi ISO 11114-4 sätetele. </w:t>
      </w:r>
    </w:p>
    <w:p w14:paraId="140105D4" w14:textId="77777777" w:rsidR="00AC6BE3" w:rsidRPr="00E93946" w:rsidRDefault="00AC6BE3" w:rsidP="00AC6BE3">
      <w:pPr>
        <w:suppressAutoHyphens w:val="0"/>
        <w:overflowPunct/>
        <w:jc w:val="both"/>
        <w:rPr>
          <w:rFonts w:eastAsia="Times New Roman"/>
        </w:rPr>
      </w:pPr>
      <w:r w:rsidRPr="00E93946">
        <w:t xml:space="preserve">Materjale valides tuleb arvestada ka vesiniku läbilaskvuse ja poorsuse probleemidega. </w:t>
      </w:r>
    </w:p>
    <w:p w14:paraId="0649563C" w14:textId="77777777" w:rsidR="00AC6BE3" w:rsidRPr="00E93946" w:rsidRDefault="00AC6BE3" w:rsidP="00AC6BE3">
      <w:pPr>
        <w:suppressAutoHyphens w:val="0"/>
        <w:overflowPunct/>
        <w:jc w:val="both"/>
        <w:rPr>
          <w:rFonts w:eastAsia="Times New Roman"/>
        </w:rPr>
      </w:pPr>
      <w:r w:rsidRPr="00E93946">
        <w:t xml:space="preserve">Kasutatavate materjalide valimisel tuleb arvestada ka kasutustingimuste ja eeldatava tööajaga seonduvate väsimise ja vananemisega seonduvate probleemidega. </w:t>
      </w:r>
    </w:p>
    <w:p w14:paraId="467DE276" w14:textId="77777777" w:rsidR="00AC6BE3" w:rsidRPr="00E93946" w:rsidRDefault="00AC6BE3" w:rsidP="00AC6BE3">
      <w:pPr>
        <w:suppressAutoHyphens w:val="0"/>
        <w:overflowPunct/>
        <w:jc w:val="both"/>
        <w:rPr>
          <w:rFonts w:eastAsia="Times New Roman"/>
        </w:rPr>
      </w:pPr>
      <w:r w:rsidRPr="00E93946">
        <w:t>Projekteerimis-, kontrolli-, vastavustõendamis- ja hooldustoimingud tuleb määratleda ja planeerida vastavalt käesolevas punktis esitatud juhistele.</w:t>
      </w:r>
    </w:p>
    <w:p w14:paraId="66659837" w14:textId="77777777" w:rsidR="00AC6BE3" w:rsidRPr="00E93946" w:rsidRDefault="00AC6BE3" w:rsidP="00AC6BE3">
      <w:pPr>
        <w:suppressAutoHyphens w:val="0"/>
        <w:overflowPunct/>
        <w:jc w:val="both"/>
        <w:rPr>
          <w:rFonts w:eastAsia="Times New Roman"/>
          <w:lang w:eastAsia="it-IT"/>
        </w:rPr>
      </w:pPr>
    </w:p>
    <w:p w14:paraId="628D5D88" w14:textId="77777777" w:rsidR="00AC6BE3" w:rsidRPr="00E93946" w:rsidRDefault="00AC6BE3" w:rsidP="00AC6BE3">
      <w:pPr>
        <w:suppressAutoHyphens w:val="0"/>
        <w:overflowPunct/>
        <w:spacing w:after="120"/>
        <w:jc w:val="both"/>
        <w:rPr>
          <w:rFonts w:eastAsia="Times New Roman"/>
        </w:rPr>
      </w:pPr>
      <w:r w:rsidRPr="00E93946">
        <w:rPr>
          <w:b/>
        </w:rPr>
        <w:t>6. Kontrollimine, kas elektrolüüsiseadme suhtes kohaldatakse presidendi 1. augusti 2011. aasta dekreeti nr 151.</w:t>
      </w:r>
    </w:p>
    <w:p w14:paraId="644A054B" w14:textId="77777777" w:rsidR="00AC6BE3" w:rsidRPr="00E93946" w:rsidRDefault="00AC6BE3" w:rsidP="00AC6BE3">
      <w:pPr>
        <w:suppressAutoHyphens w:val="0"/>
        <w:overflowPunct/>
        <w:jc w:val="both"/>
        <w:rPr>
          <w:rFonts w:eastAsia="Times New Roman"/>
        </w:rPr>
      </w:pPr>
      <w:r w:rsidRPr="00E93946">
        <w:t xml:space="preserve">Vesinikutootmisrajatisi ei ole presidendi dekreedi nr 151/2011 I lisas sõnaselgelt nimetatud. Projekteerija peab siiski hindama, millised käesolevatest tegevustest on seostatavad I lisa punktidega (kompressiooni- või dekompressioonisüsteemid, balloonidesse või paiksetesse mahutitesse kokkusurutud tuleohtlike gaaside jaamad ja hoiukohad, tuleohtlike gaaside transpordi- ja jaotusvõrgud, paiksed gaasijaotusseadmed jne).  </w:t>
      </w:r>
    </w:p>
    <w:p w14:paraId="06B9F4C0" w14:textId="77777777" w:rsidR="00AC6BE3" w:rsidRPr="00E93946" w:rsidRDefault="00AC6BE3" w:rsidP="00AC6BE3">
      <w:pPr>
        <w:suppressAutoHyphens w:val="0"/>
        <w:overflowPunct/>
        <w:jc w:val="both"/>
        <w:rPr>
          <w:rFonts w:eastAsia="Times New Roman"/>
        </w:rPr>
      </w:pPr>
      <w:r w:rsidRPr="00E93946">
        <w:t>Eelkõige on elektrolüüsiseadmed seotud I lisa „</w:t>
      </w:r>
      <w:r w:rsidRPr="00E93946">
        <w:rPr>
          <w:i/>
        </w:rPr>
        <w:t>Käitised ja jaamad, kus toodetakse ja/või kasutatakse tuleohtlikke ja/või põlevaid gaase</w:t>
      </w:r>
      <w:r w:rsidRPr="00E93946">
        <w:t>“ 1. tegevusalaga, kui tuleohtlike gaaside kogutsüklis on üle 25 Nm</w:t>
      </w:r>
      <w:r w:rsidRPr="00E93946">
        <w:rPr>
          <w:vertAlign w:val="superscript"/>
        </w:rPr>
        <w:t>3</w:t>
      </w:r>
      <w:r w:rsidRPr="00E93946">
        <w:t xml:space="preserve">/h, samuti tuleohtlike gaaside ladustamisega, mis on seotud hoitavate kogustega. </w:t>
      </w:r>
    </w:p>
    <w:p w14:paraId="26EF2FCF" w14:textId="77777777" w:rsidR="00AC6BE3" w:rsidRPr="00E93946" w:rsidRDefault="00AC6BE3" w:rsidP="00AC6BE3">
      <w:pPr>
        <w:suppressAutoHyphens w:val="0"/>
        <w:overflowPunct/>
        <w:jc w:val="both"/>
        <w:rPr>
          <w:rFonts w:eastAsia="Times New Roman"/>
        </w:rPr>
      </w:pPr>
      <w:r w:rsidRPr="00E93946">
        <w:t>Selleks et kontrollida, kas elektrolüüsiseade, mille kilovattides väljendatud võimsus on teada, kujutab endast presidendi dekreedi nr 151/2011 I lisa punktis 1.1.C nimetatud tegevust, võib viidata selle „tõhususe“ väärtusele, mis on väljendatud kWh/Nm</w:t>
      </w:r>
      <w:r w:rsidRPr="00E93946">
        <w:rPr>
          <w:vertAlign w:val="superscript"/>
        </w:rPr>
        <w:t>3</w:t>
      </w:r>
      <w:r w:rsidRPr="00E93946">
        <w:t>, nagu on määratletud punktis 1.2.29.</w:t>
      </w:r>
    </w:p>
    <w:p w14:paraId="4109EBAB" w14:textId="77777777" w:rsidR="00AC6BE3" w:rsidRPr="00E93946" w:rsidRDefault="00AC6BE3" w:rsidP="00AC6BE3">
      <w:pPr>
        <w:suppressAutoHyphens w:val="0"/>
        <w:overflowPunct/>
        <w:jc w:val="both"/>
        <w:rPr>
          <w:rFonts w:eastAsia="Times New Roman"/>
        </w:rPr>
      </w:pPr>
      <w:r w:rsidRPr="00E93946">
        <w:t>Näiteks, eeldades tõhususe kontrollväärtust 5 kWh/Nm</w:t>
      </w:r>
      <w:r w:rsidRPr="00E93946">
        <w:rPr>
          <w:vertAlign w:val="superscript"/>
        </w:rPr>
        <w:t>3</w:t>
      </w:r>
      <w:r w:rsidRPr="00E93946">
        <w:t xml:space="preserve"> elektrolüüsiseadme puhul, saab kilovattides väljendatud võimsuse läviväärtuse, mille ületamise korral kohaldatakse tegevuse suhtes tuleennetuskontrolli, arvutada järgmiselt:</w:t>
      </w:r>
    </w:p>
    <w:p w14:paraId="34A2E64C" w14:textId="77777777" w:rsidR="00AC6BE3" w:rsidRPr="00E93946" w:rsidRDefault="00AC6BE3" w:rsidP="00AC6BE3">
      <w:pPr>
        <w:suppressAutoHyphens w:val="0"/>
        <w:overflowPunct/>
        <w:jc w:val="center"/>
        <w:rPr>
          <w:rFonts w:eastAsia="Times New Roman"/>
          <w:lang w:eastAsia="it-IT"/>
        </w:rPr>
      </w:pPr>
    </w:p>
    <w:p w14:paraId="6869D004" w14:textId="77777777" w:rsidR="00AC6BE3" w:rsidRPr="00E93946" w:rsidRDefault="00AC6BE3" w:rsidP="00AC6BE3">
      <w:pPr>
        <w:suppressAutoHyphens w:val="0"/>
        <w:overflowPunct/>
        <w:jc w:val="center"/>
        <w:rPr>
          <w:rFonts w:eastAsia="Times New Roman"/>
        </w:rPr>
      </w:pPr>
      <w:r w:rsidRPr="00E93946">
        <w:t>25 Nm</w:t>
      </w:r>
      <w:r w:rsidRPr="00E93946">
        <w:rPr>
          <w:vertAlign w:val="superscript"/>
        </w:rPr>
        <w:t>3</w:t>
      </w:r>
      <w:r w:rsidRPr="00E93946">
        <w:t>/h x 5 kWh/Nm</w:t>
      </w:r>
      <w:r w:rsidRPr="00E93946">
        <w:rPr>
          <w:vertAlign w:val="superscript"/>
        </w:rPr>
        <w:t>3</w:t>
      </w:r>
      <w:r w:rsidRPr="00E93946">
        <w:t xml:space="preserve"> = 125 kW</w:t>
      </w:r>
    </w:p>
    <w:p w14:paraId="3E5E2490" w14:textId="77777777" w:rsidR="00AC6BE3" w:rsidRPr="00E93946" w:rsidRDefault="00AC6BE3" w:rsidP="00AC6BE3">
      <w:pPr>
        <w:suppressAutoHyphens w:val="0"/>
        <w:overflowPunct/>
        <w:jc w:val="both"/>
        <w:rPr>
          <w:rFonts w:eastAsia="Times New Roman"/>
          <w:lang w:val="pl-PL" w:eastAsia="it-IT"/>
        </w:rPr>
      </w:pPr>
    </w:p>
    <w:p w14:paraId="3CAD6C7F" w14:textId="77777777" w:rsidR="00AC6BE3" w:rsidRPr="00E93946" w:rsidRDefault="00AC6BE3" w:rsidP="00AC6BE3">
      <w:pPr>
        <w:suppressAutoHyphens w:val="0"/>
        <w:overflowPunct/>
        <w:rPr>
          <w:rFonts w:eastAsia="Times New Roman"/>
          <w:b/>
        </w:rPr>
      </w:pPr>
      <w:r w:rsidRPr="00E93946">
        <w:br w:type="page"/>
      </w:r>
    </w:p>
    <w:p w14:paraId="64282937" w14:textId="77777777" w:rsidR="00AC6BE3" w:rsidRPr="00E93946" w:rsidRDefault="00AC6BE3" w:rsidP="00AC6BE3">
      <w:pPr>
        <w:suppressAutoHyphens w:val="0"/>
        <w:overflowPunct/>
        <w:jc w:val="center"/>
        <w:rPr>
          <w:rFonts w:eastAsia="Times New Roman"/>
        </w:rPr>
      </w:pPr>
      <w:r w:rsidRPr="00E93946">
        <w:rPr>
          <w:b/>
        </w:rPr>
        <w:lastRenderedPageBreak/>
        <w:t>II jaotis – Ehitusmeetodid</w:t>
      </w:r>
    </w:p>
    <w:p w14:paraId="73C1FE17" w14:textId="77777777" w:rsidR="00AC6BE3" w:rsidRPr="00E93946" w:rsidRDefault="00AC6BE3" w:rsidP="00AC6BE3">
      <w:pPr>
        <w:suppressAutoHyphens w:val="0"/>
        <w:overflowPunct/>
        <w:jc w:val="both"/>
        <w:rPr>
          <w:rFonts w:eastAsia="Times New Roman"/>
          <w:lang w:eastAsia="it-IT"/>
        </w:rPr>
      </w:pPr>
    </w:p>
    <w:p w14:paraId="743DB3C2" w14:textId="77777777" w:rsidR="00AC6BE3" w:rsidRPr="00E93946" w:rsidRDefault="00AC6BE3" w:rsidP="00AC6BE3">
      <w:pPr>
        <w:suppressAutoHyphens w:val="0"/>
        <w:overflowPunct/>
        <w:spacing w:after="120"/>
        <w:jc w:val="both"/>
        <w:rPr>
          <w:rFonts w:eastAsia="Times New Roman"/>
        </w:rPr>
      </w:pPr>
      <w:r w:rsidRPr="00E93946">
        <w:rPr>
          <w:b/>
        </w:rPr>
        <w:t>7. Juurdepääs alale.</w:t>
      </w:r>
    </w:p>
    <w:p w14:paraId="7E261FF8" w14:textId="77777777" w:rsidR="00AC6BE3" w:rsidRPr="00E93946" w:rsidRDefault="00AC6BE3" w:rsidP="00AC6BE3">
      <w:pPr>
        <w:suppressAutoHyphens w:val="0"/>
        <w:overflowPunct/>
        <w:ind w:left="426" w:hanging="426"/>
        <w:jc w:val="both"/>
        <w:rPr>
          <w:rFonts w:eastAsia="Times New Roman"/>
        </w:rPr>
      </w:pPr>
      <w:r w:rsidRPr="00E93946">
        <w:t>7.1 Tuletõrjebrigaadi päästesõidukite sekkumise võimaldamiseks peab objektil olema vähemalt üks juurdepääsupunkt, mille miinimumnõuded on järgmised:</w:t>
      </w:r>
    </w:p>
    <w:p w14:paraId="17A56F19" w14:textId="77777777" w:rsidR="00AC6BE3" w:rsidRPr="00E93946" w:rsidRDefault="00AC6BE3" w:rsidP="00AC6BE3">
      <w:pPr>
        <w:suppressAutoHyphens w:val="0"/>
        <w:overflowPunct/>
        <w:ind w:left="426" w:hanging="426"/>
        <w:jc w:val="both"/>
        <w:rPr>
          <w:rFonts w:eastAsia="Times New Roman"/>
        </w:rPr>
      </w:pPr>
      <w:r w:rsidRPr="00E93946">
        <w:t xml:space="preserve"> </w:t>
      </w:r>
    </w:p>
    <w:p w14:paraId="40A3CB41" w14:textId="77777777" w:rsidR="00AC6BE3" w:rsidRPr="00E93946" w:rsidRDefault="00AC6BE3" w:rsidP="00AC6BE3">
      <w:pPr>
        <w:numPr>
          <w:ilvl w:val="0"/>
          <w:numId w:val="22"/>
        </w:numPr>
        <w:suppressAutoHyphens w:val="0"/>
        <w:overflowPunct/>
        <w:ind w:hanging="294"/>
        <w:jc w:val="both"/>
        <w:rPr>
          <w:rFonts w:eastAsia="Times New Roman"/>
          <w:sz w:val="20"/>
          <w:szCs w:val="20"/>
        </w:rPr>
      </w:pPr>
      <w:r w:rsidRPr="00E93946">
        <w:t xml:space="preserve">laius: 3,50 m; </w:t>
      </w:r>
    </w:p>
    <w:p w14:paraId="66B946CA" w14:textId="77777777" w:rsidR="00AC6BE3" w:rsidRPr="00E93946" w:rsidRDefault="00AC6BE3" w:rsidP="00AC6BE3">
      <w:pPr>
        <w:numPr>
          <w:ilvl w:val="0"/>
          <w:numId w:val="22"/>
        </w:numPr>
        <w:suppressAutoHyphens w:val="0"/>
        <w:overflowPunct/>
        <w:ind w:hanging="294"/>
        <w:jc w:val="both"/>
        <w:rPr>
          <w:rFonts w:eastAsia="Times New Roman"/>
          <w:sz w:val="20"/>
          <w:szCs w:val="20"/>
        </w:rPr>
      </w:pPr>
      <w:r w:rsidRPr="00E93946">
        <w:t xml:space="preserve">ülemine vaba ruum: 4 m; </w:t>
      </w:r>
    </w:p>
    <w:p w14:paraId="6CDDACD7" w14:textId="77777777" w:rsidR="00AC6BE3" w:rsidRPr="00E93946" w:rsidRDefault="00AC6BE3" w:rsidP="00AC6BE3">
      <w:pPr>
        <w:numPr>
          <w:ilvl w:val="0"/>
          <w:numId w:val="22"/>
        </w:numPr>
        <w:suppressAutoHyphens w:val="0"/>
        <w:overflowPunct/>
        <w:ind w:hanging="294"/>
        <w:jc w:val="both"/>
        <w:rPr>
          <w:rFonts w:eastAsia="Times New Roman"/>
          <w:sz w:val="20"/>
          <w:szCs w:val="20"/>
        </w:rPr>
      </w:pPr>
      <w:r w:rsidRPr="00E93946">
        <w:t xml:space="preserve">pööramisraadius: 13 m; </w:t>
      </w:r>
    </w:p>
    <w:p w14:paraId="0F3C9ECF" w14:textId="77777777" w:rsidR="00AC6BE3" w:rsidRPr="00E93946" w:rsidRDefault="00AC6BE3" w:rsidP="00AC6BE3">
      <w:pPr>
        <w:numPr>
          <w:ilvl w:val="0"/>
          <w:numId w:val="22"/>
        </w:numPr>
        <w:suppressAutoHyphens w:val="0"/>
        <w:overflowPunct/>
        <w:ind w:hanging="294"/>
        <w:jc w:val="both"/>
        <w:rPr>
          <w:rFonts w:eastAsia="Times New Roman"/>
          <w:sz w:val="20"/>
          <w:szCs w:val="20"/>
        </w:rPr>
      </w:pPr>
      <w:r w:rsidRPr="00E93946">
        <w:t xml:space="preserve">kalle: mitte üle 10 %; </w:t>
      </w:r>
    </w:p>
    <w:p w14:paraId="23A5117D" w14:textId="77777777" w:rsidR="00AC6BE3" w:rsidRPr="00E93946" w:rsidRDefault="00AC6BE3" w:rsidP="00AC6BE3">
      <w:pPr>
        <w:numPr>
          <w:ilvl w:val="0"/>
          <w:numId w:val="22"/>
        </w:numPr>
        <w:suppressAutoHyphens w:val="0"/>
        <w:overflowPunct/>
        <w:spacing w:after="120"/>
        <w:ind w:hanging="294"/>
        <w:jc w:val="both"/>
        <w:rPr>
          <w:rFonts w:eastAsia="Times New Roman"/>
          <w:sz w:val="20"/>
          <w:szCs w:val="20"/>
        </w:rPr>
      </w:pPr>
      <w:r w:rsidRPr="00E93946">
        <w:t>koormuskindlus: vähemalt 20 tonni (8 esiteljel, 12 tagateljel, teljevahe 4 m).</w:t>
      </w:r>
    </w:p>
    <w:p w14:paraId="0E9CBB49" w14:textId="77777777" w:rsidR="00AC6BE3" w:rsidRPr="00E93946" w:rsidRDefault="00AC6BE3" w:rsidP="00AC6BE3">
      <w:pPr>
        <w:suppressAutoHyphens w:val="0"/>
        <w:overflowPunct/>
        <w:spacing w:after="120"/>
        <w:ind w:left="426" w:hanging="426"/>
        <w:jc w:val="both"/>
        <w:rPr>
          <w:rFonts w:eastAsia="Times New Roman"/>
        </w:rPr>
      </w:pPr>
      <w:r w:rsidRPr="00E93946">
        <w:t>7.2 Balloonvagunite tarnimiseks ettenähtud süsteemides peavad jaama alal või selle vahetus läheduses olevad teed võimaldama juurdepääsu sõidukitele ja võimaldama neil manööverdada. Ala peab võimaldama sõidukitel hädaolukorras liikuda sõidusuunas.</w:t>
      </w:r>
    </w:p>
    <w:p w14:paraId="2DC98EF3" w14:textId="77777777" w:rsidR="00AC6BE3" w:rsidRPr="00E93946" w:rsidRDefault="00AC6BE3" w:rsidP="00AC6BE3">
      <w:pPr>
        <w:suppressAutoHyphens w:val="0"/>
        <w:overflowPunct/>
        <w:ind w:left="426" w:hanging="426"/>
        <w:jc w:val="both"/>
        <w:rPr>
          <w:rFonts w:eastAsia="Times New Roman"/>
        </w:rPr>
      </w:pPr>
      <w:r w:rsidRPr="00E93946">
        <w:t xml:space="preserve">7.3 </w:t>
      </w:r>
      <w:r w:rsidRPr="00E93946">
        <w:tab/>
        <w:t xml:space="preserve">Alad, kus asuvad jaama ohtlikud elemendid, nagu on osutatud punktis 4, peavad olema tarastatud, kõrgusega vähemalt 1,8 m, või muul viisil ehitatud viisil, mis muudab need elemendid kättesaamatuks ja takistab nende avamist. </w:t>
      </w:r>
    </w:p>
    <w:p w14:paraId="287DD94B" w14:textId="77777777" w:rsidR="00AC6BE3" w:rsidRPr="00E93946" w:rsidRDefault="00AC6BE3" w:rsidP="00AC6BE3">
      <w:pPr>
        <w:suppressAutoHyphens w:val="0"/>
        <w:overflowPunct/>
        <w:ind w:left="426"/>
        <w:jc w:val="both"/>
        <w:rPr>
          <w:rFonts w:eastAsia="Times New Roman"/>
        </w:rPr>
      </w:pPr>
      <w:r w:rsidRPr="00E93946">
        <w:t xml:space="preserve">Jaamade puhul, mis asuvad juba oma aiaga varustatud kohtades, ei ole eespool nimetatud tara vajalik. Kui see on ette nähtud, tuleb selline tara või mis tahes muu meede, mis on võetud kõnealuste elementide ligipääsmatuks muutmiseks, paigutada jaama elementidest kaugusele, mis võimaldab selle ohutut kasutamist ja hooldamist. </w:t>
      </w:r>
    </w:p>
    <w:p w14:paraId="7F05E3FD" w14:textId="77777777" w:rsidR="00AC6BE3" w:rsidRPr="00E93946" w:rsidRDefault="00AC6BE3" w:rsidP="00AC6BE3">
      <w:pPr>
        <w:suppressAutoHyphens w:val="0"/>
        <w:overflowPunct/>
        <w:jc w:val="both"/>
        <w:rPr>
          <w:rFonts w:eastAsia="Times New Roman"/>
          <w:lang w:eastAsia="it-IT"/>
        </w:rPr>
      </w:pPr>
    </w:p>
    <w:p w14:paraId="200867A2" w14:textId="77777777" w:rsidR="00AC6BE3" w:rsidRPr="00E93946" w:rsidRDefault="00AC6BE3" w:rsidP="00AC6BE3">
      <w:pPr>
        <w:suppressAutoHyphens w:val="0"/>
        <w:overflowPunct/>
        <w:spacing w:after="120"/>
        <w:jc w:val="both"/>
        <w:rPr>
          <w:rFonts w:eastAsia="Times New Roman"/>
        </w:rPr>
      </w:pPr>
      <w:r w:rsidRPr="00E93946">
        <w:rPr>
          <w:b/>
        </w:rPr>
        <w:t>8. Vesiniku tootmisjaam.</w:t>
      </w:r>
    </w:p>
    <w:p w14:paraId="7D7C7C1A" w14:textId="77777777" w:rsidR="00AC6BE3" w:rsidRPr="00E93946" w:rsidRDefault="00AC6BE3" w:rsidP="00AC6BE3">
      <w:pPr>
        <w:suppressAutoHyphens w:val="0"/>
        <w:overflowPunct/>
        <w:jc w:val="both"/>
        <w:rPr>
          <w:rFonts w:eastAsia="Times New Roman"/>
        </w:rPr>
      </w:pPr>
      <w:r w:rsidRPr="00E93946">
        <w:t xml:space="preserve">Vesiniku tootmisjaama suhtes kohaldatakse spetsiifilist riskihindamist, mis viiakse läbi siseministri 7. augusti 2012. aasta dekreedi I lisas sätestatud korras. </w:t>
      </w:r>
    </w:p>
    <w:p w14:paraId="2BB1F1E0" w14:textId="77777777" w:rsidR="00AC6BE3" w:rsidRPr="00E93946" w:rsidRDefault="00AC6BE3" w:rsidP="00AC6BE3">
      <w:pPr>
        <w:suppressAutoHyphens w:val="0"/>
        <w:overflowPunct/>
        <w:jc w:val="both"/>
        <w:rPr>
          <w:rFonts w:eastAsia="Times New Roman"/>
        </w:rPr>
      </w:pPr>
      <w:r w:rsidRPr="00E93946">
        <w:t>Jaam peab olema projekteeritud ja valmistatud vastavalt parimatele tavadele. Kui see on asjakohane, loetakse ISO 22734 nõuetele vastavad jaamad parimatele tavadele vastavaks.</w:t>
      </w:r>
    </w:p>
    <w:p w14:paraId="6498DEBD" w14:textId="77777777" w:rsidR="00AC6BE3" w:rsidRPr="00E93946" w:rsidRDefault="00AC6BE3" w:rsidP="00AC6BE3">
      <w:pPr>
        <w:suppressAutoHyphens w:val="0"/>
        <w:overflowPunct/>
        <w:jc w:val="both"/>
        <w:rPr>
          <w:rFonts w:eastAsia="Times New Roman"/>
        </w:rPr>
      </w:pPr>
      <w:r w:rsidRPr="00E93946">
        <w:t>Riskihinnang hõlmab plahvatusohtliku keskkonna tekkimisega seotud riskihinnangut. Selleks võib tarviliku viitena vastu võtta siseministri 3. augusti 2015. aasta dekreedi V.2 peatüki, võttes lisaks käesolevas dekreedis sisalduvatele meetmetele vastu meetmed, mille eesmärk on saavutada punktis V.2.2.6 nimetatud kaitse miinimumtase.</w:t>
      </w:r>
    </w:p>
    <w:p w14:paraId="57A5D39F" w14:textId="77777777" w:rsidR="00AC6BE3" w:rsidRPr="00E93946" w:rsidRDefault="00AC6BE3" w:rsidP="00AC6BE3">
      <w:pPr>
        <w:suppressAutoHyphens w:val="0"/>
        <w:overflowPunct/>
        <w:jc w:val="both"/>
        <w:rPr>
          <w:rFonts w:eastAsia="Times New Roman"/>
          <w:highlight w:val="lightGray"/>
          <w:lang w:eastAsia="it-IT"/>
        </w:rPr>
      </w:pPr>
    </w:p>
    <w:p w14:paraId="0FB4683C" w14:textId="77777777" w:rsidR="00AC6BE3" w:rsidRPr="00E93946" w:rsidRDefault="00AC6BE3" w:rsidP="00AC6BE3">
      <w:pPr>
        <w:suppressAutoHyphens w:val="0"/>
        <w:overflowPunct/>
        <w:spacing w:after="120"/>
        <w:jc w:val="both"/>
        <w:rPr>
          <w:rFonts w:eastAsia="Times New Roman"/>
        </w:rPr>
      </w:pPr>
      <w:r w:rsidRPr="00E93946">
        <w:rPr>
          <w:b/>
        </w:rPr>
        <w:t>9. Suruvesiniku mahuti.</w:t>
      </w:r>
    </w:p>
    <w:p w14:paraId="170F87BD" w14:textId="77777777" w:rsidR="00AC6BE3" w:rsidRPr="00E93946" w:rsidRDefault="00AC6BE3" w:rsidP="00AC6BE3">
      <w:pPr>
        <w:suppressAutoHyphens w:val="0"/>
        <w:overflowPunct/>
        <w:ind w:left="426" w:hanging="426"/>
        <w:jc w:val="both"/>
        <w:rPr>
          <w:rFonts w:eastAsia="Times New Roman"/>
        </w:rPr>
      </w:pPr>
      <w:r w:rsidRPr="00E93946">
        <w:t>9.1 Gaasilise vesiniku kogumine nii protsessi keskel kui ka jaama sees hoidmiseks võib toimuda mahutis, mis koosneb ka mitmest mahutist ja mille töörõhk ei ületa 1 000 barg.</w:t>
      </w:r>
    </w:p>
    <w:p w14:paraId="49D70B24" w14:textId="77777777" w:rsidR="00AC6BE3" w:rsidRPr="00E93946" w:rsidRDefault="00AC6BE3" w:rsidP="00AC6BE3">
      <w:pPr>
        <w:suppressAutoHyphens w:val="0"/>
        <w:overflowPunct/>
        <w:ind w:left="426"/>
        <w:jc w:val="both"/>
        <w:rPr>
          <w:rFonts w:eastAsia="Times New Roman"/>
        </w:rPr>
      </w:pPr>
      <w:r w:rsidRPr="00E93946">
        <w:t>Mahutid, välja arvatud puhvermahutid, paigutatakse punktis 1.2.5 määratletud vastavasse kasti.</w:t>
      </w:r>
    </w:p>
    <w:p w14:paraId="59D347BB" w14:textId="77777777" w:rsidR="00AC6BE3" w:rsidRPr="00E93946" w:rsidRDefault="00AC6BE3" w:rsidP="00AC6BE3">
      <w:pPr>
        <w:suppressAutoHyphens w:val="0"/>
        <w:overflowPunct/>
        <w:spacing w:after="120"/>
        <w:ind w:left="426"/>
        <w:jc w:val="both"/>
        <w:rPr>
          <w:rFonts w:eastAsia="Times New Roman"/>
        </w:rPr>
      </w:pPr>
      <w:r w:rsidRPr="00E93946">
        <w:t>Kui deposiidi kogumaht ületab 6 000 Nm</w:t>
      </w:r>
      <w:r w:rsidRPr="00E93946">
        <w:rPr>
          <w:vertAlign w:val="superscript"/>
        </w:rPr>
        <w:t>3</w:t>
      </w:r>
      <w:r w:rsidRPr="00E93946">
        <w:t>, jagatakse kast kambriteks (igaüks, mille maht ei ületa 6 000 Nm</w:t>
      </w:r>
      <w:r w:rsidRPr="00E93946">
        <w:rPr>
          <w:vertAlign w:val="superscript"/>
        </w:rPr>
        <w:t>3</w:t>
      </w:r>
      <w:r w:rsidRPr="00E93946">
        <w:t xml:space="preserve">), mida piiravad raudbetoonist seinad või muu piisava mehaanilise vastupidavusega tulekindel materjal, mille konstruktsiooniomadused on valmistatud esemete konstruktsiooniomadustega, et tagada ainult piki perimeetrit õnnetustest tingitud mõjude leevendamine. </w:t>
      </w:r>
    </w:p>
    <w:p w14:paraId="1973C11B" w14:textId="77777777" w:rsidR="00AC6BE3" w:rsidRPr="00E93946" w:rsidRDefault="00AC6BE3" w:rsidP="00AC6BE3">
      <w:pPr>
        <w:tabs>
          <w:tab w:val="left" w:pos="426"/>
        </w:tabs>
        <w:suppressAutoHyphens w:val="0"/>
        <w:overflowPunct/>
        <w:ind w:left="426" w:hanging="426"/>
        <w:jc w:val="both"/>
        <w:rPr>
          <w:rFonts w:eastAsia="Times New Roman"/>
        </w:rPr>
      </w:pPr>
      <w:r w:rsidRPr="00E93946">
        <w:t xml:space="preserve">9.2 </w:t>
      </w:r>
      <w:r w:rsidRPr="00E93946">
        <w:tab/>
        <w:t xml:space="preserve">Ladustamiskoht peab olema projekteeritud ja valmistatud kooskõlas parimate tavadega. </w:t>
      </w:r>
    </w:p>
    <w:p w14:paraId="08C3D911" w14:textId="77777777" w:rsidR="00AC6BE3" w:rsidRPr="00E93946" w:rsidRDefault="00AC6BE3" w:rsidP="00AC6BE3">
      <w:pPr>
        <w:suppressAutoHyphens w:val="0"/>
        <w:overflowPunct/>
        <w:spacing w:after="120"/>
        <w:ind w:left="426"/>
        <w:jc w:val="both"/>
        <w:rPr>
          <w:rFonts w:eastAsia="Times New Roman"/>
        </w:rPr>
      </w:pPr>
      <w:r w:rsidRPr="00E93946">
        <w:t xml:space="preserve">Gaasilise vesiniku ladustamisüksus peab täitma järgmisi ohutusnõudeid: </w:t>
      </w:r>
    </w:p>
    <w:p w14:paraId="5C6B13C0" w14:textId="77777777" w:rsidR="00AC6BE3" w:rsidRPr="00E93946" w:rsidRDefault="00AC6BE3" w:rsidP="00AC6BE3">
      <w:pPr>
        <w:numPr>
          <w:ilvl w:val="0"/>
          <w:numId w:val="24"/>
        </w:numPr>
        <w:suppressAutoHyphens w:val="0"/>
        <w:overflowPunct/>
        <w:ind w:hanging="294"/>
        <w:jc w:val="both"/>
        <w:rPr>
          <w:rFonts w:eastAsia="Times New Roman"/>
          <w:sz w:val="20"/>
          <w:szCs w:val="20"/>
        </w:rPr>
      </w:pPr>
      <w:r w:rsidRPr="00E93946">
        <w:t xml:space="preserve">tugikonstruktsioon, kui see on olemas, ei ole põlev ja sellel on vähemalt R60 tulekindlusomadused või see on kaitstud viisil, mis tagab R60-ga samaväärse toimivuse; </w:t>
      </w:r>
    </w:p>
    <w:p w14:paraId="12E19DE5" w14:textId="77777777" w:rsidR="00AC6BE3" w:rsidRPr="00E93946" w:rsidRDefault="00AC6BE3" w:rsidP="00AC6BE3">
      <w:pPr>
        <w:numPr>
          <w:ilvl w:val="0"/>
          <w:numId w:val="24"/>
        </w:numPr>
        <w:suppressAutoHyphens w:val="0"/>
        <w:overflowPunct/>
        <w:ind w:hanging="294"/>
        <w:jc w:val="both"/>
        <w:rPr>
          <w:rFonts w:eastAsia="Times New Roman"/>
          <w:sz w:val="20"/>
          <w:szCs w:val="20"/>
        </w:rPr>
      </w:pPr>
      <w:r w:rsidRPr="00E93946">
        <w:t>sellel on ohutusseadised, mis takistavad rõhu ületamist, olenemata ladustamistemperatuurist. Sellised seadmed paigutatakse, võttes arvesse kasutatud ladustamisviisi;</w:t>
      </w:r>
    </w:p>
    <w:p w14:paraId="7473184E" w14:textId="77777777" w:rsidR="00AC6BE3" w:rsidRPr="00E93946" w:rsidRDefault="00AC6BE3" w:rsidP="00AC6BE3">
      <w:pPr>
        <w:numPr>
          <w:ilvl w:val="0"/>
          <w:numId w:val="24"/>
        </w:numPr>
        <w:suppressAutoHyphens w:val="0"/>
        <w:overflowPunct/>
        <w:ind w:hanging="294"/>
        <w:jc w:val="both"/>
        <w:rPr>
          <w:rFonts w:eastAsia="Times New Roman"/>
          <w:sz w:val="20"/>
          <w:szCs w:val="20"/>
        </w:rPr>
      </w:pPr>
      <w:r w:rsidRPr="00E93946">
        <w:lastRenderedPageBreak/>
        <w:t>sellel on tule-, temperatuuri- või leegituvastusandur, mis käivitab mahutivälise jahutussüsteemi aktiveerimise;</w:t>
      </w:r>
    </w:p>
    <w:p w14:paraId="7E78586D" w14:textId="77777777" w:rsidR="00AC6BE3" w:rsidRPr="00E93946" w:rsidRDefault="00AC6BE3" w:rsidP="00AC6BE3">
      <w:pPr>
        <w:numPr>
          <w:ilvl w:val="0"/>
          <w:numId w:val="24"/>
        </w:numPr>
        <w:suppressAutoHyphens w:val="0"/>
        <w:overflowPunct/>
        <w:spacing w:after="120"/>
        <w:ind w:hanging="294"/>
        <w:jc w:val="both"/>
        <w:rPr>
          <w:rFonts w:eastAsia="Times New Roman"/>
          <w:sz w:val="20"/>
          <w:szCs w:val="20"/>
        </w:rPr>
      </w:pPr>
      <w:r w:rsidRPr="00E93946">
        <w:t xml:space="preserve">iga ladustamisüksus peab olema isoleeritud ülejäänud süsteemist avariisulgurventiiliga. </w:t>
      </w:r>
    </w:p>
    <w:p w14:paraId="69E5439C" w14:textId="77777777" w:rsidR="00AC6BE3" w:rsidRPr="00E93946" w:rsidRDefault="00AC6BE3" w:rsidP="00AC6BE3">
      <w:pPr>
        <w:suppressAutoHyphens w:val="0"/>
        <w:overflowPunct/>
        <w:jc w:val="both"/>
        <w:rPr>
          <w:rFonts w:eastAsia="Times New Roman"/>
        </w:rPr>
      </w:pPr>
      <w:r w:rsidRPr="00E93946">
        <w:t>Iga mahuti peab olema varustatud ka rõhumõõtmissüsteemiga.</w:t>
      </w:r>
    </w:p>
    <w:p w14:paraId="1B5F94CF" w14:textId="77777777" w:rsidR="00AC6BE3" w:rsidRPr="00E93946" w:rsidRDefault="00AC6BE3" w:rsidP="00AC6BE3">
      <w:pPr>
        <w:suppressAutoHyphens w:val="0"/>
        <w:overflowPunct/>
        <w:jc w:val="both"/>
        <w:rPr>
          <w:rFonts w:eastAsia="Times New Roman"/>
        </w:rPr>
      </w:pPr>
      <w:r w:rsidRPr="00E93946">
        <w:t xml:space="preserve">Ladustamisüksused peavad olema paigutatud igasse kasti nii, et oleks võimalik piirata otsese mõju ohtu, mis võib tuleneda ühest üksusest naaberüksusesse. </w:t>
      </w:r>
    </w:p>
    <w:p w14:paraId="3CDC9A92" w14:textId="77777777" w:rsidR="00AC6BE3" w:rsidRPr="00E93946" w:rsidRDefault="00AC6BE3" w:rsidP="00AC6BE3">
      <w:pPr>
        <w:suppressAutoHyphens w:val="0"/>
        <w:overflowPunct/>
        <w:jc w:val="both"/>
        <w:rPr>
          <w:rFonts w:eastAsia="Times New Roman"/>
        </w:rPr>
      </w:pPr>
      <w:r w:rsidRPr="00E93946">
        <w:t>Ladustamisüksused peavad asuma üksteisest ja kasti seintest sellisel kaugusel, mis tagab järelevalve ja hooldustegevuse toimivuse.</w:t>
      </w:r>
    </w:p>
    <w:p w14:paraId="7622B6EA" w14:textId="77777777" w:rsidR="00AC6BE3" w:rsidRPr="00E93946" w:rsidRDefault="00AC6BE3" w:rsidP="00AC6BE3">
      <w:pPr>
        <w:suppressAutoHyphens w:val="0"/>
        <w:overflowPunct/>
        <w:jc w:val="both"/>
        <w:rPr>
          <w:rFonts w:eastAsia="Times New Roman"/>
          <w:lang w:eastAsia="it-IT"/>
        </w:rPr>
      </w:pPr>
    </w:p>
    <w:p w14:paraId="2CD03415" w14:textId="77777777" w:rsidR="00AC6BE3" w:rsidRPr="00E93946" w:rsidRDefault="00AC6BE3" w:rsidP="00AC6BE3">
      <w:pPr>
        <w:suppressAutoHyphens w:val="0"/>
        <w:overflowPunct/>
        <w:spacing w:after="120"/>
        <w:jc w:val="both"/>
        <w:rPr>
          <w:rFonts w:eastAsia="Times New Roman"/>
        </w:rPr>
      </w:pPr>
      <w:r w:rsidRPr="00E93946">
        <w:rPr>
          <w:b/>
        </w:rPr>
        <w:t>10. Kompressorid.</w:t>
      </w:r>
    </w:p>
    <w:p w14:paraId="4A6AD3E2" w14:textId="77777777" w:rsidR="00AC6BE3" w:rsidRPr="00E93946" w:rsidRDefault="00AC6BE3" w:rsidP="00AC6BE3">
      <w:pPr>
        <w:suppressAutoHyphens w:val="0"/>
        <w:overflowPunct/>
        <w:jc w:val="both"/>
        <w:rPr>
          <w:rFonts w:eastAsia="Times New Roman"/>
        </w:rPr>
      </w:pPr>
      <w:r w:rsidRPr="00E93946">
        <w:t xml:space="preserve">Kompressorid projekteeritakse ja toodetakse vastavalt parimatele tavadele. </w:t>
      </w:r>
    </w:p>
    <w:p w14:paraId="7F4F5F29" w14:textId="77777777" w:rsidR="00AC6BE3" w:rsidRPr="00E93946" w:rsidRDefault="00AC6BE3" w:rsidP="00AC6BE3">
      <w:pPr>
        <w:suppressAutoHyphens w:val="0"/>
        <w:overflowPunct/>
        <w:jc w:val="both"/>
        <w:rPr>
          <w:rFonts w:eastAsia="Times New Roman"/>
        </w:rPr>
      </w:pPr>
      <w:r w:rsidRPr="00E93946">
        <w:t xml:space="preserve">Iga kompressor peab olema varustatud ohutussüsteemiga, mis hoiab ära ülerõhu, ning heitegaasi ventiilisüsteemiga hädaolukorras rõhu eemaldamiseks. see ühendatakse ka ülejäänud süsteemiga asjakohaste vibratsioonisummutussüsteemide abil. </w:t>
      </w:r>
    </w:p>
    <w:p w14:paraId="2302B4D6" w14:textId="77777777" w:rsidR="00AC6BE3" w:rsidRPr="00E93946" w:rsidRDefault="00AC6BE3" w:rsidP="00AC6BE3">
      <w:pPr>
        <w:suppressAutoHyphens w:val="0"/>
        <w:overflowPunct/>
        <w:jc w:val="both"/>
        <w:rPr>
          <w:rFonts w:eastAsia="Times New Roman"/>
        </w:rPr>
      </w:pPr>
      <w:r w:rsidRPr="00E93946">
        <w:t xml:space="preserve">Kompressorid peavad olema varustatud sobivate tühjendus- ja inertsussüsteemidega, mis võimaldavad hooldustoiminguid teha. </w:t>
      </w:r>
    </w:p>
    <w:p w14:paraId="39E042D8" w14:textId="77777777" w:rsidR="00AC6BE3" w:rsidRPr="00E93946" w:rsidRDefault="00AC6BE3" w:rsidP="00AC6BE3">
      <w:pPr>
        <w:suppressAutoHyphens w:val="0"/>
        <w:overflowPunct/>
        <w:jc w:val="both"/>
        <w:rPr>
          <w:rFonts w:eastAsia="Times New Roman"/>
        </w:rPr>
      </w:pPr>
      <w:r w:rsidRPr="00E93946">
        <w:t xml:space="preserve">Kompressoritest allavoolu paigaldatud ohutusseadised (ohutusklapid), millega tagatakse, et maksimaalset töörõhku ei ületata, peavad olema paigaldatud sõltumatult pardal olevatest lisaseadmetest. </w:t>
      </w:r>
    </w:p>
    <w:p w14:paraId="6B712EC9" w14:textId="77777777" w:rsidR="00AC6BE3" w:rsidRPr="00E93946" w:rsidRDefault="00AC6BE3" w:rsidP="00AC6BE3">
      <w:pPr>
        <w:suppressAutoHyphens w:val="0"/>
        <w:overflowPunct/>
        <w:jc w:val="both"/>
        <w:rPr>
          <w:rFonts w:eastAsia="Times New Roman"/>
        </w:rPr>
      </w:pPr>
      <w:r w:rsidRPr="00E93946">
        <w:t>Kompressorid, sealhulgas kõik asjakohased seadmed (nt rõhupulsatsiooni summutajad), pannakse punktis 1.2.5 määratletud kastidesse. Kompressorite puhul, mille väljundrõhk ei ületa 300 baari, tuleb vajaduse korral kindlaks teha tõkked, kasutades tule- ja plahvatusohu hindamist.</w:t>
      </w:r>
    </w:p>
    <w:p w14:paraId="701CB872" w14:textId="77777777" w:rsidR="00AC6BE3" w:rsidRPr="00E93946" w:rsidRDefault="00AC6BE3" w:rsidP="00AC6BE3">
      <w:pPr>
        <w:suppressAutoHyphens w:val="0"/>
        <w:overflowPunct/>
        <w:jc w:val="both"/>
        <w:rPr>
          <w:rFonts w:eastAsia="Times New Roman"/>
        </w:rPr>
      </w:pPr>
      <w:r w:rsidRPr="00E93946">
        <w:t>Suuremate kui 150 barg rõhupulsside summutamiseks kasutatavate anumate geomeetriline maht ei tohi ületada 0,4 m</w:t>
      </w:r>
      <w:r w:rsidRPr="00E93946">
        <w:rPr>
          <w:vertAlign w:val="superscript"/>
        </w:rPr>
        <w:t>3</w:t>
      </w:r>
      <w:r w:rsidRPr="00E93946">
        <w:t>. Spetsiifilisi riskihindamisi tehakse rõhuimpulsside summutamiseks mõeldud anumate puhul, mille geomeetriline maht on üle 0,4 m</w:t>
      </w:r>
      <w:r w:rsidRPr="00E93946">
        <w:rPr>
          <w:vertAlign w:val="superscript"/>
        </w:rPr>
        <w:t>3</w:t>
      </w:r>
      <w:r w:rsidRPr="00E93946">
        <w:t xml:space="preserve">. </w:t>
      </w:r>
    </w:p>
    <w:p w14:paraId="18DCEF1E" w14:textId="77777777" w:rsidR="00AC6BE3" w:rsidRPr="00E93946" w:rsidRDefault="00AC6BE3" w:rsidP="00AC6BE3">
      <w:pPr>
        <w:suppressAutoHyphens w:val="0"/>
        <w:overflowPunct/>
        <w:jc w:val="both"/>
        <w:rPr>
          <w:rFonts w:eastAsia="Times New Roman"/>
          <w:lang w:eastAsia="it-IT"/>
        </w:rPr>
      </w:pPr>
    </w:p>
    <w:p w14:paraId="6ECE158E" w14:textId="77777777" w:rsidR="00AC6BE3" w:rsidRPr="00E93946" w:rsidRDefault="00AC6BE3" w:rsidP="00AC6BE3">
      <w:pPr>
        <w:suppressAutoHyphens w:val="0"/>
        <w:overflowPunct/>
        <w:spacing w:after="120"/>
        <w:jc w:val="both"/>
        <w:rPr>
          <w:rFonts w:eastAsia="Times New Roman"/>
        </w:rPr>
      </w:pPr>
      <w:r w:rsidRPr="00E93946">
        <w:rPr>
          <w:b/>
        </w:rPr>
        <w:t>11. Laadimiskohad.</w:t>
      </w:r>
    </w:p>
    <w:p w14:paraId="731DE99C" w14:textId="77777777" w:rsidR="00AC6BE3" w:rsidRPr="00E93946" w:rsidRDefault="00AC6BE3" w:rsidP="00AC6BE3">
      <w:pPr>
        <w:suppressAutoHyphens w:val="0"/>
        <w:overflowPunct/>
        <w:jc w:val="both"/>
        <w:rPr>
          <w:rFonts w:eastAsia="Times New Roman"/>
        </w:rPr>
      </w:pPr>
      <w:r w:rsidRPr="00E93946">
        <w:t>Need on punktis 1.2.3 määratletud alad, mida kasutatakse balloonvagunite hoidmiseks.</w:t>
      </w:r>
    </w:p>
    <w:p w14:paraId="5D97FDC8" w14:textId="77777777" w:rsidR="00AC6BE3" w:rsidRPr="00E93946" w:rsidRDefault="00AC6BE3" w:rsidP="00AC6BE3">
      <w:pPr>
        <w:suppressAutoHyphens w:val="0"/>
        <w:overflowPunct/>
        <w:jc w:val="both"/>
        <w:rPr>
          <w:rFonts w:eastAsia="Times New Roman"/>
        </w:rPr>
      </w:pPr>
      <w:r w:rsidRPr="00E93946">
        <w:t>Gaasilise vesiniku peale- ja mahalaadimisel loetakse käitise osaks torud</w:t>
      </w:r>
      <w:r w:rsidRPr="00E93946">
        <w:rPr>
          <w:rFonts w:ascii="(Tipo di carattere testo asiati" w:hAnsi="(Tipo di carattere testo asiati"/>
        </w:rPr>
        <w:t>,</w:t>
      </w:r>
      <w:r w:rsidRPr="00E93946">
        <w:t xml:space="preserve"> mis ühendavad balloonvagunit jaamaga. </w:t>
      </w:r>
    </w:p>
    <w:p w14:paraId="2AEFC217" w14:textId="77777777" w:rsidR="00AC6BE3" w:rsidRPr="00E93946" w:rsidRDefault="00AC6BE3" w:rsidP="00AC6BE3">
      <w:pPr>
        <w:suppressAutoHyphens w:val="0"/>
        <w:overflowPunct/>
        <w:jc w:val="both"/>
        <w:rPr>
          <w:rFonts w:eastAsia="Times New Roman"/>
        </w:rPr>
      </w:pPr>
      <w:r w:rsidRPr="00E93946">
        <w:t>Paakvaguni kavandatud teekond jaama sissepääsu ja peale- ja mahalaadimispunkti vahel ning sealt väljapääsuni peab olema sobiv kumerusraadiusega sillutis, mis võimaldab sõidukil manööverdamata liikuda. Balloonvaguni koormamine ilma haagiseta peab toimuma rangelt vajaliku aja jooksul; sel juhul pargitakse balloonvagun nii, et haagis saab seda ka hädaolukorras ilma manöövriteta jaamast välja viia ja pukseerida.</w:t>
      </w:r>
    </w:p>
    <w:p w14:paraId="4AF5BD6D" w14:textId="77777777" w:rsidR="00AC6BE3" w:rsidRPr="00E93946" w:rsidRDefault="00AC6BE3" w:rsidP="00AC6BE3">
      <w:pPr>
        <w:suppressAutoHyphens w:val="0"/>
        <w:overflowPunct/>
        <w:jc w:val="both"/>
        <w:rPr>
          <w:rFonts w:eastAsia="Times New Roman"/>
        </w:rPr>
      </w:pPr>
      <w:r w:rsidRPr="00E93946">
        <w:t>Laadimisplatvorm peab olema varustatud seiskamisseadisega, mis peatab vesinikuvoolu nii jaama poolel kui ka balloonvaguni poolel niipea, kui vajutatakse laadimisjaama lähedal asuvat avariinuppu.</w:t>
      </w:r>
    </w:p>
    <w:p w14:paraId="5070ECF7" w14:textId="77777777" w:rsidR="00AC6BE3" w:rsidRPr="00E93946" w:rsidRDefault="00AC6BE3" w:rsidP="00AC6BE3">
      <w:pPr>
        <w:suppressAutoHyphens w:val="0"/>
        <w:overflowPunct/>
        <w:jc w:val="both"/>
        <w:rPr>
          <w:rFonts w:eastAsia="Times New Roman"/>
          <w:lang w:eastAsia="it-IT"/>
        </w:rPr>
      </w:pPr>
    </w:p>
    <w:p w14:paraId="173FAEED" w14:textId="77777777" w:rsidR="00AC6BE3" w:rsidRPr="00E93946" w:rsidRDefault="00AC6BE3" w:rsidP="00AC6BE3">
      <w:pPr>
        <w:suppressAutoHyphens w:val="0"/>
        <w:overflowPunct/>
        <w:spacing w:after="120"/>
        <w:jc w:val="both"/>
        <w:rPr>
          <w:rFonts w:eastAsia="Times New Roman"/>
        </w:rPr>
      </w:pPr>
      <w:r w:rsidRPr="00E93946">
        <w:rPr>
          <w:b/>
        </w:rPr>
        <w:t>12. Gaasijaam.</w:t>
      </w:r>
    </w:p>
    <w:p w14:paraId="012682DB" w14:textId="77777777" w:rsidR="00AC6BE3" w:rsidRPr="00E93946" w:rsidRDefault="00AC6BE3" w:rsidP="00AC6BE3">
      <w:pPr>
        <w:suppressAutoHyphens w:val="0"/>
        <w:overflowPunct/>
        <w:jc w:val="both"/>
        <w:rPr>
          <w:rFonts w:eastAsia="Times New Roman"/>
        </w:rPr>
      </w:pPr>
      <w:r w:rsidRPr="00E93946">
        <w:t xml:space="preserve">See on jaam, mis koosneb torude, sulgeventiilide, tühjendus- ja kaitseventiilide komplektist, samuti seadmetest, mis moodustavad toite-, surve-, summutus-, kogumis-, gaasijaotusvõrgu ja sellega seotud avariisüsteemi. Kasutatavad materjalid vastavad surveseadmete ohutusnõuetele. </w:t>
      </w:r>
    </w:p>
    <w:p w14:paraId="3D76CD59" w14:textId="77777777" w:rsidR="00AC6BE3" w:rsidRPr="00E93946" w:rsidRDefault="00AC6BE3" w:rsidP="00AC6BE3">
      <w:pPr>
        <w:suppressAutoHyphens w:val="0"/>
        <w:overflowPunct/>
        <w:jc w:val="both"/>
        <w:rPr>
          <w:rFonts w:eastAsia="Times New Roman"/>
        </w:rPr>
      </w:pPr>
      <w:r w:rsidRPr="00E93946">
        <w:t xml:space="preserve">Rajatise kavandatud rõhud peavad olema vähemalt 10 % võrra suuremad kui maksimaalne nimirõhk käitusel, kuid mitte väiksem kui ohutusventiili käivitumise rõhk. </w:t>
      </w:r>
    </w:p>
    <w:p w14:paraId="11B0953F" w14:textId="77777777" w:rsidR="00AC6BE3" w:rsidRPr="00E93946" w:rsidRDefault="00AC6BE3" w:rsidP="00AC6BE3">
      <w:pPr>
        <w:suppressAutoHyphens w:val="0"/>
        <w:overflowPunct/>
        <w:jc w:val="both"/>
        <w:rPr>
          <w:rFonts w:eastAsia="Times New Roman"/>
        </w:rPr>
      </w:pPr>
      <w:r w:rsidRPr="00E93946">
        <w:t xml:space="preserve">Ülerõhk laadimiskoha toitetorustikus, mille rõhk on üle 300 baari, ei tohi ületada 1 % sisselaskerõhust, kusjuures rõhuimpulss ei ületa 4 %. </w:t>
      </w:r>
    </w:p>
    <w:p w14:paraId="3E5A3C85" w14:textId="77777777" w:rsidR="00AC6BE3" w:rsidRPr="00E93946" w:rsidRDefault="00AC6BE3" w:rsidP="00AC6BE3">
      <w:pPr>
        <w:suppressAutoHyphens w:val="0"/>
        <w:overflowPunct/>
        <w:jc w:val="both"/>
        <w:rPr>
          <w:rFonts w:eastAsia="Times New Roman"/>
          <w:lang w:eastAsia="it-IT"/>
        </w:rPr>
      </w:pPr>
    </w:p>
    <w:p w14:paraId="26D0A1B8" w14:textId="77777777" w:rsidR="00AC6BE3" w:rsidRPr="00E93946" w:rsidRDefault="00AC6BE3" w:rsidP="00AC6BE3">
      <w:pPr>
        <w:suppressAutoHyphens w:val="0"/>
        <w:overflowPunct/>
        <w:jc w:val="both"/>
        <w:rPr>
          <w:rFonts w:eastAsia="Times New Roman"/>
        </w:rPr>
      </w:pPr>
      <w:r w:rsidRPr="00E93946">
        <w:t xml:space="preserve">12.1. Jäik torustik. </w:t>
      </w:r>
    </w:p>
    <w:p w14:paraId="2CD8DCCC" w14:textId="77777777" w:rsidR="00AC6BE3" w:rsidRPr="00E93946" w:rsidRDefault="00AC6BE3" w:rsidP="00AC6BE3">
      <w:pPr>
        <w:suppressAutoHyphens w:val="0"/>
        <w:overflowPunct/>
        <w:spacing w:after="120"/>
        <w:jc w:val="both"/>
        <w:rPr>
          <w:rFonts w:eastAsia="Times New Roman"/>
        </w:rPr>
      </w:pPr>
      <w:r w:rsidRPr="00E93946">
        <w:t xml:space="preserve">Jäik survetorustik peab olema: </w:t>
      </w:r>
    </w:p>
    <w:p w14:paraId="169B467E" w14:textId="77777777" w:rsidR="00AC6BE3" w:rsidRPr="00E93946" w:rsidRDefault="00AC6BE3" w:rsidP="00AC6BE3">
      <w:pPr>
        <w:numPr>
          <w:ilvl w:val="0"/>
          <w:numId w:val="37"/>
        </w:numPr>
        <w:suppressAutoHyphens w:val="0"/>
        <w:overflowPunct/>
        <w:jc w:val="both"/>
        <w:rPr>
          <w:rFonts w:eastAsia="Times New Roman"/>
          <w:sz w:val="20"/>
          <w:szCs w:val="20"/>
        </w:rPr>
      </w:pPr>
      <w:r w:rsidRPr="00E93946">
        <w:lastRenderedPageBreak/>
        <w:t>projekteeritud, ehitatud ja katsetatud vastavalt 15. veebruari 2016. aasta seadusandlikule dekreedile nr 26;</w:t>
      </w:r>
    </w:p>
    <w:p w14:paraId="5DEC1515" w14:textId="77777777" w:rsidR="00AC6BE3" w:rsidRPr="00E93946" w:rsidRDefault="00AC6BE3" w:rsidP="00AC6BE3">
      <w:pPr>
        <w:numPr>
          <w:ilvl w:val="0"/>
          <w:numId w:val="37"/>
        </w:numPr>
        <w:suppressAutoHyphens w:val="0"/>
        <w:overflowPunct/>
        <w:jc w:val="both"/>
        <w:rPr>
          <w:rFonts w:eastAsia="Times New Roman"/>
          <w:sz w:val="20"/>
          <w:szCs w:val="20"/>
        </w:rPr>
      </w:pPr>
      <w:r w:rsidRPr="00E93946">
        <w:t xml:space="preserve">paigutatud nähtavasse kohta, lihtsalt kontrollitav, asuma maapinnast kõrgemal asendis, mis on kaitstud võimalike mõjude vastu; kui see ei ole võimalik, võib need paigaldada sobivatesse sõidukikäikudesse, mida on võimalik kontrollida ja mis on varustatud ventilatsioonisüsteemidega, mille pind on vähemalt võrdne läbipääsulõiguga, või need võib paigutada maa alla vähemalt 0,50 m sügavusele; </w:t>
      </w:r>
    </w:p>
    <w:p w14:paraId="44F1A124" w14:textId="77777777" w:rsidR="00AC6BE3" w:rsidRPr="00E93946" w:rsidRDefault="00AC6BE3" w:rsidP="00AC6BE3">
      <w:pPr>
        <w:numPr>
          <w:ilvl w:val="0"/>
          <w:numId w:val="37"/>
        </w:numPr>
        <w:suppressAutoHyphens w:val="0"/>
        <w:overflowPunct/>
        <w:jc w:val="both"/>
        <w:rPr>
          <w:rFonts w:eastAsia="Times New Roman"/>
          <w:sz w:val="20"/>
          <w:szCs w:val="20"/>
        </w:rPr>
      </w:pPr>
      <w:r w:rsidRPr="00E93946">
        <w:t>kaitstud välise korrosiooni eest;</w:t>
      </w:r>
    </w:p>
    <w:p w14:paraId="04BFCC1B" w14:textId="77777777" w:rsidR="00AC6BE3" w:rsidRPr="00E93946" w:rsidRDefault="00AC6BE3" w:rsidP="00AC6BE3">
      <w:pPr>
        <w:numPr>
          <w:ilvl w:val="0"/>
          <w:numId w:val="37"/>
        </w:numPr>
        <w:suppressAutoHyphens w:val="0"/>
        <w:overflowPunct/>
        <w:jc w:val="both"/>
        <w:rPr>
          <w:rFonts w:eastAsia="Times New Roman"/>
          <w:sz w:val="20"/>
          <w:szCs w:val="20"/>
        </w:rPr>
      </w:pPr>
      <w:r w:rsidRPr="00E93946">
        <w:t xml:space="preserve">materjalis ei esine märkimisväärseid pingeid, mida põhjustavad kokkupanek, järeltõuked või temperatuurierinevused; </w:t>
      </w:r>
    </w:p>
    <w:p w14:paraId="4D05DC1C" w14:textId="77777777" w:rsidR="00AC6BE3" w:rsidRPr="00E93946" w:rsidRDefault="00AC6BE3" w:rsidP="00AC6BE3">
      <w:pPr>
        <w:numPr>
          <w:ilvl w:val="0"/>
          <w:numId w:val="37"/>
        </w:numPr>
        <w:suppressAutoHyphens w:val="0"/>
        <w:overflowPunct/>
        <w:jc w:val="both"/>
        <w:rPr>
          <w:rFonts w:eastAsia="Times New Roman"/>
          <w:sz w:val="20"/>
          <w:szCs w:val="20"/>
        </w:rPr>
      </w:pPr>
      <w:r w:rsidRPr="00E93946">
        <w:t xml:space="preserve">valmistatud eelistatavalt keevisliidetega ja igal juhul on neid võimalik kontrollida; </w:t>
      </w:r>
    </w:p>
    <w:p w14:paraId="74D9EFC4" w14:textId="77777777" w:rsidR="00AC6BE3" w:rsidRPr="00E93946" w:rsidRDefault="00AC6BE3" w:rsidP="00AC6BE3">
      <w:pPr>
        <w:numPr>
          <w:ilvl w:val="0"/>
          <w:numId w:val="37"/>
        </w:numPr>
        <w:suppressAutoHyphens w:val="0"/>
        <w:overflowPunct/>
        <w:spacing w:after="120"/>
        <w:jc w:val="both"/>
        <w:rPr>
          <w:rFonts w:eastAsia="Times New Roman"/>
          <w:sz w:val="20"/>
          <w:szCs w:val="20"/>
        </w:rPr>
      </w:pPr>
      <w:r w:rsidRPr="00E93946">
        <w:t xml:space="preserve">olema selgelt tähistatud ja identifitseeritud isegi maapinnal. </w:t>
      </w:r>
    </w:p>
    <w:p w14:paraId="67D02AFC" w14:textId="77777777" w:rsidR="00AC6BE3" w:rsidRPr="00E93946" w:rsidRDefault="00AC6BE3" w:rsidP="00AC6BE3">
      <w:pPr>
        <w:suppressAutoHyphens w:val="0"/>
        <w:overflowPunct/>
        <w:jc w:val="both"/>
        <w:rPr>
          <w:rFonts w:eastAsia="Times New Roman"/>
        </w:rPr>
      </w:pPr>
      <w:r w:rsidRPr="00E93946">
        <w:t>Torude paigaldamise meetodi valik peab tagama, et inspekteerimis-, kontrolli- ja hooldustegevused toimuksid nõuetekohaselt.</w:t>
      </w:r>
    </w:p>
    <w:p w14:paraId="380DFE42" w14:textId="77777777" w:rsidR="00AC6BE3" w:rsidRPr="00E93946" w:rsidRDefault="00AC6BE3" w:rsidP="00AC6BE3">
      <w:pPr>
        <w:suppressAutoHyphens w:val="0"/>
        <w:overflowPunct/>
        <w:jc w:val="both"/>
        <w:rPr>
          <w:rFonts w:eastAsia="Times New Roman"/>
          <w:lang w:eastAsia="it-IT"/>
        </w:rPr>
      </w:pPr>
    </w:p>
    <w:p w14:paraId="0BDFF55C" w14:textId="77777777" w:rsidR="00AC6BE3" w:rsidRPr="00E93946" w:rsidRDefault="00AC6BE3" w:rsidP="00AC6BE3">
      <w:pPr>
        <w:keepNext/>
        <w:suppressAutoHyphens w:val="0"/>
        <w:overflowPunct/>
        <w:jc w:val="both"/>
        <w:rPr>
          <w:rFonts w:eastAsia="Times New Roman"/>
        </w:rPr>
      </w:pPr>
      <w:r w:rsidRPr="00E93946">
        <w:t xml:space="preserve">12.2. Painduvad torud. </w:t>
      </w:r>
    </w:p>
    <w:p w14:paraId="29D4738F" w14:textId="77777777" w:rsidR="00AC6BE3" w:rsidRPr="00E93946" w:rsidRDefault="00AC6BE3" w:rsidP="00AC6BE3">
      <w:pPr>
        <w:suppressAutoHyphens w:val="0"/>
        <w:overflowPunct/>
        <w:jc w:val="both"/>
        <w:rPr>
          <w:rFonts w:eastAsia="Times New Roman"/>
        </w:rPr>
      </w:pPr>
      <w:r w:rsidRPr="00E93946">
        <w:t xml:space="preserve">Painduvate torude nimirõhk, mida saab kasutada kompressorite, balloonvagunite ja balloonikogumite ühendamiseks, peab olema vähemalt sama suur kui torustiku rõhk, millesse need on paigaldatud. </w:t>
      </w:r>
    </w:p>
    <w:p w14:paraId="56620413" w14:textId="77777777" w:rsidR="00AC6BE3" w:rsidRPr="00E93946" w:rsidRDefault="00AC6BE3" w:rsidP="00AC6BE3">
      <w:pPr>
        <w:suppressAutoHyphens w:val="0"/>
        <w:overflowPunct/>
        <w:jc w:val="both"/>
        <w:rPr>
          <w:rFonts w:eastAsia="Times New Roman"/>
        </w:rPr>
      </w:pPr>
      <w:r w:rsidRPr="00E93946">
        <w:t xml:space="preserve">Painduvad survetorud projekteeritakse, ehitatakse ja katsetatakse vastavalt 15. veebruari 2016. aasta seadusandlikule dekreedile nr 26. </w:t>
      </w:r>
    </w:p>
    <w:p w14:paraId="09431F8D" w14:textId="77777777" w:rsidR="00AC6BE3" w:rsidRPr="00E93946" w:rsidRDefault="00AC6BE3" w:rsidP="00AC6BE3">
      <w:pPr>
        <w:suppressAutoHyphens w:val="0"/>
        <w:overflowPunct/>
        <w:jc w:val="both"/>
        <w:rPr>
          <w:rFonts w:eastAsia="Times New Roman"/>
          <w:lang w:eastAsia="it-IT"/>
        </w:rPr>
      </w:pPr>
    </w:p>
    <w:p w14:paraId="6F1E251C" w14:textId="77777777" w:rsidR="00AC6BE3" w:rsidRPr="00E93946" w:rsidRDefault="00AC6BE3" w:rsidP="00AC6BE3">
      <w:pPr>
        <w:suppressAutoHyphens w:val="0"/>
        <w:overflowPunct/>
        <w:jc w:val="both"/>
        <w:rPr>
          <w:rFonts w:eastAsia="Times New Roman"/>
        </w:rPr>
      </w:pPr>
      <w:r w:rsidRPr="00E93946">
        <w:t xml:space="preserve">12.3. Rõhulangetusseadmed ja ohutusseadised. </w:t>
      </w:r>
    </w:p>
    <w:p w14:paraId="7282888C" w14:textId="77777777" w:rsidR="00AC6BE3" w:rsidRPr="00E93946" w:rsidRDefault="00AC6BE3" w:rsidP="00AC6BE3">
      <w:pPr>
        <w:suppressAutoHyphens w:val="0"/>
        <w:overflowPunct/>
        <w:jc w:val="both"/>
        <w:rPr>
          <w:rFonts w:eastAsia="Times New Roman"/>
        </w:rPr>
      </w:pPr>
      <w:r w:rsidRPr="00E93946">
        <w:t xml:space="preserve">Rõhulangetusseadmed ja ohutusseadised peavad olema projekteeritud ja valmistatud vastavalt 15. veebruari 2016. aasta seadusandliku dekreedi nr 26 sätetele. </w:t>
      </w:r>
    </w:p>
    <w:p w14:paraId="14BD59EC" w14:textId="77777777" w:rsidR="00AC6BE3" w:rsidRPr="00E93946" w:rsidRDefault="00AC6BE3" w:rsidP="00AC6BE3">
      <w:pPr>
        <w:suppressAutoHyphens w:val="0"/>
        <w:overflowPunct/>
        <w:jc w:val="both"/>
        <w:rPr>
          <w:rFonts w:eastAsia="Times New Roman"/>
          <w:lang w:eastAsia="it-IT"/>
        </w:rPr>
      </w:pPr>
    </w:p>
    <w:p w14:paraId="3F2F7E56" w14:textId="77777777" w:rsidR="00AC6BE3" w:rsidRPr="00E93946" w:rsidRDefault="00AC6BE3" w:rsidP="00AC6BE3">
      <w:pPr>
        <w:suppressAutoHyphens w:val="0"/>
        <w:overflowPunct/>
        <w:jc w:val="both"/>
        <w:rPr>
          <w:rFonts w:eastAsia="Times New Roman"/>
        </w:rPr>
      </w:pPr>
      <w:r w:rsidRPr="00E93946">
        <w:t xml:space="preserve">12.4. Seadmed jaama väljalülitamiseks ja tühjendamiseks. </w:t>
      </w:r>
    </w:p>
    <w:p w14:paraId="1C0E8DA6" w14:textId="77777777" w:rsidR="00AC6BE3" w:rsidRPr="00E93946" w:rsidRDefault="00AC6BE3" w:rsidP="00AC6BE3">
      <w:pPr>
        <w:suppressAutoHyphens w:val="0"/>
        <w:overflowPunct/>
        <w:jc w:val="both"/>
        <w:rPr>
          <w:rFonts w:eastAsia="Times New Roman"/>
        </w:rPr>
      </w:pPr>
      <w:r w:rsidRPr="00E93946">
        <w:t xml:space="preserve">Väljalülitamiseks ja tühjendamiseks kasutatakse järgmisi seadmeid: </w:t>
      </w:r>
    </w:p>
    <w:p w14:paraId="755CDC10" w14:textId="77777777" w:rsidR="00AC6BE3" w:rsidRPr="00E93946" w:rsidRDefault="00AC6BE3" w:rsidP="00AC6BE3">
      <w:pPr>
        <w:numPr>
          <w:ilvl w:val="0"/>
          <w:numId w:val="34"/>
        </w:numPr>
        <w:suppressAutoHyphens w:val="0"/>
        <w:overflowPunct/>
        <w:jc w:val="both"/>
        <w:rPr>
          <w:rFonts w:eastAsia="Times New Roman"/>
          <w:sz w:val="20"/>
          <w:szCs w:val="20"/>
        </w:rPr>
      </w:pPr>
      <w:r w:rsidRPr="00E93946">
        <w:t>avariiväljalülitusventiilid, millel on vesiniku ülekande seiskamisfunktsioon jaama eri osade vahel, seda tüüpi, mis on tavaliselt töö ajal avatud ja hädaolukorras suletud (</w:t>
      </w:r>
      <w:r w:rsidRPr="00E93946">
        <w:rPr>
          <w:i/>
        </w:rPr>
        <w:t>rikke korral sulgemine</w:t>
      </w:r>
      <w:r w:rsidRPr="00E93946">
        <w:t xml:space="preserve">); neid käitatakse automaatselt turvakontrollisüsteemi alusel; </w:t>
      </w:r>
    </w:p>
    <w:p w14:paraId="06734BF3" w14:textId="77777777" w:rsidR="00AC6BE3" w:rsidRPr="00E93946" w:rsidRDefault="00AC6BE3" w:rsidP="00AC6BE3">
      <w:pPr>
        <w:numPr>
          <w:ilvl w:val="0"/>
          <w:numId w:val="34"/>
        </w:numPr>
        <w:suppressAutoHyphens w:val="0"/>
        <w:overflowPunct/>
        <w:jc w:val="both"/>
        <w:rPr>
          <w:rFonts w:eastAsia="Times New Roman"/>
          <w:sz w:val="20"/>
          <w:szCs w:val="20"/>
        </w:rPr>
      </w:pPr>
      <w:r w:rsidRPr="00E93946">
        <w:t>avariijaama suruklapid,</w:t>
      </w:r>
      <w:r w:rsidRPr="00E93946">
        <w:rPr>
          <w:rFonts w:ascii="(Tipo di carattere testo asiati" w:hAnsi="(Tipo di carattere testo asiati"/>
        </w:rPr>
        <w:t xml:space="preserve"> </w:t>
      </w:r>
      <w:r w:rsidRPr="00E93946">
        <w:t>mille funktsioon on võimaldada jaama osa kiiret rõhu allasurumist või vesiniku transportimist jaama konkreetsetesse osadesse ohutuse eesmärgil ja mis tavaliselt suletakse ja avatakse hädaolukorras (</w:t>
      </w:r>
      <w:r w:rsidRPr="00E93946">
        <w:rPr>
          <w:i/>
        </w:rPr>
        <w:t>rikke korral avamine</w:t>
      </w:r>
      <w:r w:rsidRPr="00E93946">
        <w:t xml:space="preserve">); neid käitatakse käsitsi ja automaatselt ning võimalusel käsitsi kaugjuhtimise ja aktiveerimissüsteemiga; </w:t>
      </w:r>
    </w:p>
    <w:p w14:paraId="10355FC1" w14:textId="77777777" w:rsidR="00AC6BE3" w:rsidRPr="00E93946" w:rsidRDefault="00AC6BE3" w:rsidP="00AC6BE3">
      <w:pPr>
        <w:numPr>
          <w:ilvl w:val="0"/>
          <w:numId w:val="34"/>
        </w:numPr>
        <w:suppressAutoHyphens w:val="0"/>
        <w:overflowPunct/>
        <w:spacing w:after="120"/>
        <w:jc w:val="both"/>
        <w:rPr>
          <w:rFonts w:eastAsia="Times New Roman"/>
          <w:sz w:val="20"/>
          <w:szCs w:val="20"/>
        </w:rPr>
      </w:pPr>
      <w:r w:rsidRPr="00E93946">
        <w:t xml:space="preserve">käsitsi sulge- ja suruklapid, mille funktsioon on jaama osade väljalülitamine, isoleerimine ja tühjendamine hoolduse eesmärgil. </w:t>
      </w:r>
    </w:p>
    <w:p w14:paraId="6AA7249C" w14:textId="77777777" w:rsidR="00AC6BE3" w:rsidRPr="00E93946" w:rsidRDefault="00AC6BE3" w:rsidP="00AC6BE3">
      <w:pPr>
        <w:suppressAutoHyphens w:val="0"/>
        <w:overflowPunct/>
        <w:jc w:val="both"/>
        <w:rPr>
          <w:rFonts w:eastAsia="Times New Roman"/>
        </w:rPr>
      </w:pPr>
      <w:r w:rsidRPr="00E93946">
        <w:t xml:space="preserve">Jaama seiskamis- ja tühjendusseadmed, millel on nii avarii- kui ka tööfunktsioon, peavad olema hoolduseks ja kontrollimiseks kergesti kättesaadavad. </w:t>
      </w:r>
    </w:p>
    <w:p w14:paraId="2934690A" w14:textId="77777777" w:rsidR="00AC6BE3" w:rsidRPr="00E93946" w:rsidRDefault="00AC6BE3" w:rsidP="00AC6BE3">
      <w:pPr>
        <w:suppressAutoHyphens w:val="0"/>
        <w:overflowPunct/>
        <w:jc w:val="both"/>
        <w:rPr>
          <w:rFonts w:eastAsia="Times New Roman"/>
          <w:strike/>
        </w:rPr>
      </w:pPr>
      <w:r w:rsidRPr="00E93946">
        <w:t>Avariiväljalülitus- ja tühjendusseadmed peavad olema projekteeritud nii, et need toimiksid sellistes tingimustes ja need</w:t>
      </w:r>
      <w:r w:rsidRPr="00E93946">
        <w:rPr>
          <w:rFonts w:ascii="(Tipo di carattere testo asiati" w:hAnsi="(Tipo di carattere testo asiati"/>
        </w:rPr>
        <w:t xml:space="preserve"> </w:t>
      </w:r>
      <w:r w:rsidRPr="00E93946">
        <w:t>peavad olema asjakohaste märgistustega selgelt identifitseeritavad.</w:t>
      </w:r>
    </w:p>
    <w:p w14:paraId="5AAE5B7B" w14:textId="77777777" w:rsidR="00AC6BE3" w:rsidRPr="00E93946" w:rsidRDefault="00AC6BE3" w:rsidP="00AC6BE3">
      <w:pPr>
        <w:suppressAutoHyphens w:val="0"/>
        <w:overflowPunct/>
        <w:jc w:val="both"/>
        <w:rPr>
          <w:rFonts w:eastAsia="Times New Roman"/>
        </w:rPr>
      </w:pPr>
      <w:r w:rsidRPr="00E93946">
        <w:t xml:space="preserve">Avariiväljalülitus- ja tühjendusseadmed paigaldatakse nii, et seadmed ja torustikusektsioonid saab ebanormaalsete sündmuste või õnnetuste tõttu välja lülitada ja rõhu alla suruda. </w:t>
      </w:r>
    </w:p>
    <w:p w14:paraId="6DF85606" w14:textId="77777777" w:rsidR="00AC6BE3" w:rsidRPr="00E93946" w:rsidRDefault="00AC6BE3" w:rsidP="00AC6BE3">
      <w:pPr>
        <w:suppressAutoHyphens w:val="0"/>
        <w:overflowPunct/>
        <w:jc w:val="both"/>
        <w:rPr>
          <w:rFonts w:eastAsia="Times New Roman"/>
        </w:rPr>
      </w:pPr>
      <w:r w:rsidRPr="00E93946">
        <w:t xml:space="preserve">Kõigil tühjendusseadmete kollektoritel peab olema piisav mehaaniline vastupidavus gaasi väljavoolust tingitud pingetele. </w:t>
      </w:r>
    </w:p>
    <w:p w14:paraId="6B0903F0" w14:textId="77777777" w:rsidR="00AC6BE3" w:rsidRPr="00E93946" w:rsidRDefault="00AC6BE3" w:rsidP="00AC6BE3">
      <w:pPr>
        <w:suppressAutoHyphens w:val="0"/>
        <w:overflowPunct/>
        <w:jc w:val="both"/>
        <w:rPr>
          <w:rFonts w:eastAsia="Times New Roman"/>
        </w:rPr>
      </w:pPr>
      <w:r w:rsidRPr="00E93946">
        <w:t>Vesiniku laskmisel keskkonda peab see toimuma sellisel kõrgusel, mis ei kujuta endast süttimise korral ohtu inimestele ja rajatistele.</w:t>
      </w:r>
    </w:p>
    <w:p w14:paraId="53E8ED6C" w14:textId="77777777" w:rsidR="00AC6BE3" w:rsidRPr="00E93946" w:rsidRDefault="00AC6BE3" w:rsidP="00AC6BE3">
      <w:pPr>
        <w:suppressAutoHyphens w:val="0"/>
        <w:overflowPunct/>
        <w:jc w:val="both"/>
        <w:rPr>
          <w:rFonts w:eastAsia="Times New Roman"/>
          <w:lang w:eastAsia="it-IT"/>
        </w:rPr>
      </w:pPr>
    </w:p>
    <w:p w14:paraId="29E91CFB" w14:textId="77777777" w:rsidR="00AC6BE3" w:rsidRPr="00E93946" w:rsidRDefault="00AC6BE3" w:rsidP="00AC6BE3">
      <w:pPr>
        <w:suppressAutoHyphens w:val="0"/>
        <w:overflowPunct/>
        <w:spacing w:after="120"/>
        <w:jc w:val="both"/>
        <w:rPr>
          <w:rFonts w:eastAsia="Times New Roman"/>
        </w:rPr>
      </w:pPr>
      <w:r w:rsidRPr="00E93946">
        <w:rPr>
          <w:b/>
        </w:rPr>
        <w:t>13. Elektrilised konstruktsioonid.</w:t>
      </w:r>
    </w:p>
    <w:p w14:paraId="6F098D5E" w14:textId="77777777" w:rsidR="00AC6BE3" w:rsidRPr="00E93946" w:rsidRDefault="00AC6BE3" w:rsidP="00AC6BE3">
      <w:pPr>
        <w:suppressAutoHyphens w:val="0"/>
        <w:overflowPunct/>
        <w:spacing w:after="120"/>
        <w:jc w:val="both"/>
        <w:rPr>
          <w:rFonts w:eastAsia="Times New Roman"/>
        </w:rPr>
      </w:pPr>
      <w:r w:rsidRPr="00E93946">
        <w:lastRenderedPageBreak/>
        <w:t xml:space="preserve">13.1. Elektrikonstruktsioonide teostamisel lähtutakse 1. märtsi 1968. aasta seadusest nr 186, võttes arvesse ruumide elektriohu liigitust vastavalt tehnilistele võrdlusstandarditele ja tagades järgmiste tuleohutuseesmärkide saavutamise: </w:t>
      </w:r>
    </w:p>
    <w:p w14:paraId="5C81343A" w14:textId="77777777" w:rsidR="00AC6BE3" w:rsidRPr="00E93946" w:rsidRDefault="00AC6BE3" w:rsidP="00AC6BE3">
      <w:pPr>
        <w:numPr>
          <w:ilvl w:val="0"/>
          <w:numId w:val="28"/>
        </w:numPr>
        <w:suppressAutoHyphens w:val="0"/>
        <w:overflowPunct/>
        <w:jc w:val="both"/>
        <w:rPr>
          <w:rFonts w:eastAsia="Times New Roman"/>
          <w:sz w:val="20"/>
          <w:szCs w:val="20"/>
        </w:rPr>
      </w:pPr>
      <w:r w:rsidRPr="00E93946">
        <w:t xml:space="preserve">tulekahju või plahvatuse põhjustamise tõenäosuse piiramine; </w:t>
      </w:r>
    </w:p>
    <w:p w14:paraId="63BD7042" w14:textId="77777777" w:rsidR="00AC6BE3" w:rsidRPr="00E93946" w:rsidRDefault="00AC6BE3" w:rsidP="00AC6BE3">
      <w:pPr>
        <w:numPr>
          <w:ilvl w:val="0"/>
          <w:numId w:val="28"/>
        </w:numPr>
        <w:suppressAutoHyphens w:val="0"/>
        <w:overflowPunct/>
        <w:jc w:val="both"/>
        <w:rPr>
          <w:rFonts w:eastAsia="Times New Roman"/>
          <w:sz w:val="20"/>
          <w:szCs w:val="20"/>
        </w:rPr>
      </w:pPr>
      <w:r w:rsidRPr="00E93946">
        <w:t xml:space="preserve">tule levimise piiramine selle osade abil; </w:t>
      </w:r>
    </w:p>
    <w:p w14:paraId="75886FFC" w14:textId="77777777" w:rsidR="00AC6BE3" w:rsidRPr="00E93946" w:rsidRDefault="00AC6BE3" w:rsidP="00AC6BE3">
      <w:pPr>
        <w:numPr>
          <w:ilvl w:val="0"/>
          <w:numId w:val="28"/>
        </w:numPr>
        <w:suppressAutoHyphens w:val="0"/>
        <w:overflowPunct/>
        <w:jc w:val="both"/>
        <w:rPr>
          <w:rFonts w:eastAsia="Times New Roman"/>
          <w:sz w:val="20"/>
          <w:szCs w:val="20"/>
        </w:rPr>
      </w:pPr>
      <w:r w:rsidRPr="00E93946">
        <w:t xml:space="preserve">hoones viibivate inimeste ohutu lahkumine; </w:t>
      </w:r>
    </w:p>
    <w:p w14:paraId="0E3D18DA" w14:textId="77777777" w:rsidR="00AC6BE3" w:rsidRPr="00E93946" w:rsidRDefault="00AC6BE3" w:rsidP="00AC6BE3">
      <w:pPr>
        <w:numPr>
          <w:ilvl w:val="0"/>
          <w:numId w:val="28"/>
        </w:numPr>
        <w:suppressAutoHyphens w:val="0"/>
        <w:overflowPunct/>
        <w:jc w:val="both"/>
        <w:rPr>
          <w:rFonts w:eastAsia="Times New Roman"/>
          <w:sz w:val="20"/>
          <w:szCs w:val="20"/>
        </w:rPr>
      </w:pPr>
      <w:r w:rsidRPr="00E93946">
        <w:t xml:space="preserve">päästetöötajate tegutsemine ohututes tingimustes. </w:t>
      </w:r>
    </w:p>
    <w:p w14:paraId="58EF11E0" w14:textId="77777777" w:rsidR="00AC6BE3" w:rsidRPr="00E93946" w:rsidRDefault="00AC6BE3" w:rsidP="00AC6BE3">
      <w:pPr>
        <w:suppressAutoHyphens w:val="0"/>
        <w:overflowPunct/>
        <w:jc w:val="both"/>
        <w:rPr>
          <w:rFonts w:eastAsia="Times New Roman"/>
          <w:lang w:eastAsia="it-IT"/>
        </w:rPr>
      </w:pPr>
    </w:p>
    <w:p w14:paraId="668D9E6E" w14:textId="77777777" w:rsidR="00AC6BE3" w:rsidRPr="00E93946" w:rsidRDefault="00AC6BE3" w:rsidP="00AC6BE3">
      <w:pPr>
        <w:suppressAutoHyphens w:val="0"/>
        <w:overflowPunct/>
        <w:jc w:val="both"/>
        <w:rPr>
          <w:rFonts w:eastAsia="Times New Roman"/>
        </w:rPr>
      </w:pPr>
      <w:r w:rsidRPr="00E93946">
        <w:t xml:space="preserve">13.2. Punktis 13.1 sätestatud eesmärkide saavutamiseks: </w:t>
      </w:r>
    </w:p>
    <w:p w14:paraId="6203DCEB" w14:textId="77777777" w:rsidR="00AC6BE3" w:rsidRPr="00E93946" w:rsidRDefault="00AC6BE3" w:rsidP="00AC6BE3">
      <w:pPr>
        <w:numPr>
          <w:ilvl w:val="0"/>
          <w:numId w:val="26"/>
        </w:numPr>
        <w:suppressAutoHyphens w:val="0"/>
        <w:overflowPunct/>
        <w:jc w:val="both"/>
        <w:rPr>
          <w:rFonts w:eastAsia="Times New Roman"/>
          <w:sz w:val="20"/>
          <w:szCs w:val="20"/>
        </w:rPr>
      </w:pPr>
      <w:r w:rsidRPr="00E93946">
        <w:t xml:space="preserve">punktides 8, 9, 10 ja 11 sätestatud seadeldisi kaitstakse äikeseohu ja elektrostaatiliste laengute moodustumise ohu eest vastavalt tehnilistele võrdlusstandarditele; </w:t>
      </w:r>
    </w:p>
    <w:p w14:paraId="493EFFFB" w14:textId="77777777" w:rsidR="00AC6BE3" w:rsidRPr="00E93946" w:rsidRDefault="00AC6BE3" w:rsidP="00AC6BE3">
      <w:pPr>
        <w:numPr>
          <w:ilvl w:val="0"/>
          <w:numId w:val="26"/>
        </w:numPr>
        <w:suppressAutoHyphens w:val="0"/>
        <w:overflowPunct/>
        <w:jc w:val="both"/>
        <w:rPr>
          <w:rFonts w:eastAsia="Times New Roman"/>
          <w:sz w:val="20"/>
          <w:szCs w:val="20"/>
        </w:rPr>
      </w:pPr>
      <w:r w:rsidRPr="00E93946">
        <w:t xml:space="preserve">elektrisüsteemid peavad vastama järgmistele ohutusmeetmetele: </w:t>
      </w:r>
    </w:p>
    <w:p w14:paraId="10EF2D82" w14:textId="77777777" w:rsidR="00AC6BE3" w:rsidRPr="00E93946" w:rsidRDefault="00AC6BE3" w:rsidP="00AC6BE3">
      <w:pPr>
        <w:numPr>
          <w:ilvl w:val="1"/>
          <w:numId w:val="33"/>
        </w:numPr>
        <w:suppressAutoHyphens w:val="0"/>
        <w:overflowPunct/>
        <w:ind w:left="1134" w:hanging="425"/>
        <w:jc w:val="both"/>
        <w:rPr>
          <w:rFonts w:eastAsia="Times New Roman"/>
          <w:sz w:val="20"/>
          <w:szCs w:val="20"/>
        </w:rPr>
      </w:pPr>
      <w:r w:rsidRPr="00E93946">
        <w:t xml:space="preserve">olema varustatud vähemalt ühe avariieraldusseadmega, mis asub kaitstud asendis, mis eraldab kogu süsteemi pingest või mida juhitakse alternatiivselt avariiplaanis nimetatud protseduuride kohaselt selliselt, et see ei tekita väljalülitumistegevuste ajal ohtu; </w:t>
      </w:r>
    </w:p>
    <w:p w14:paraId="42B1883A" w14:textId="77777777" w:rsidR="00AC6BE3" w:rsidRPr="00E93946" w:rsidRDefault="00AC6BE3" w:rsidP="00AC6BE3">
      <w:pPr>
        <w:numPr>
          <w:ilvl w:val="1"/>
          <w:numId w:val="33"/>
        </w:numPr>
        <w:suppressAutoHyphens w:val="0"/>
        <w:overflowPunct/>
        <w:ind w:left="1134" w:hanging="425"/>
        <w:jc w:val="both"/>
        <w:rPr>
          <w:rFonts w:eastAsia="Times New Roman"/>
          <w:sz w:val="20"/>
          <w:szCs w:val="20"/>
        </w:rPr>
      </w:pPr>
      <w:r w:rsidRPr="00E93946">
        <w:t xml:space="preserve">olema jagatud mitmeks terminali vooluahelaks, et tagada ohutusteenuste ja muude teenuste toiteahelate elektriline sõltumatus; </w:t>
      </w:r>
    </w:p>
    <w:p w14:paraId="2FC3F529" w14:textId="77777777" w:rsidR="00AC6BE3" w:rsidRPr="00E93946" w:rsidRDefault="00AC6BE3" w:rsidP="00AC6BE3">
      <w:pPr>
        <w:numPr>
          <w:ilvl w:val="1"/>
          <w:numId w:val="33"/>
        </w:numPr>
        <w:suppressAutoHyphens w:val="0"/>
        <w:overflowPunct/>
        <w:ind w:left="1134" w:hanging="425"/>
        <w:jc w:val="both"/>
        <w:rPr>
          <w:rFonts w:eastAsia="Times New Roman"/>
          <w:sz w:val="20"/>
          <w:szCs w:val="20"/>
        </w:rPr>
      </w:pPr>
      <w:r w:rsidRPr="00E93946">
        <w:t>olema varustatud tule eest kaitstud vooluahelatega, mis on ette nähtud tulekahju korral kasutamiseks ohutusteenuste osutamiseks kooskõlas kohaldatavates tehnilistes võrdlusstandardites sätestatud spetsifikatsioonidega ja igal juhul vähemalt järgmises tabelis esitatud nõuetega:</w:t>
      </w:r>
    </w:p>
    <w:p w14:paraId="0BA0E271" w14:textId="77777777" w:rsidR="00AC6BE3" w:rsidRPr="00E93946" w:rsidRDefault="00AC6BE3" w:rsidP="00AC6BE3">
      <w:pPr>
        <w:suppressAutoHyphens w:val="0"/>
        <w:overflowPunct/>
        <w:jc w:val="both"/>
        <w:rPr>
          <w:rFonts w:eastAsia="Times New Roman"/>
          <w:lang w:eastAsia="it-IT"/>
        </w:rPr>
      </w:pPr>
    </w:p>
    <w:p w14:paraId="361BB389" w14:textId="77777777" w:rsidR="00AC6BE3" w:rsidRPr="00E93946" w:rsidRDefault="00AC6BE3" w:rsidP="00AC6BE3">
      <w:pPr>
        <w:suppressAutoHyphens w:val="0"/>
        <w:overflowPunct/>
        <w:jc w:val="both"/>
        <w:rPr>
          <w:rFonts w:eastAsia="Times New Roman"/>
          <w:lang w:eastAsia="it-IT"/>
        </w:rPr>
      </w:pPr>
    </w:p>
    <w:tbl>
      <w:tblPr>
        <w:tblW w:w="9778" w:type="dxa"/>
        <w:tblInd w:w="-178" w:type="dxa"/>
        <w:tblLayout w:type="fixed"/>
        <w:tblLook w:val="0000" w:firstRow="0" w:lastRow="0" w:firstColumn="0" w:lastColumn="0" w:noHBand="0" w:noVBand="0"/>
      </w:tblPr>
      <w:tblGrid>
        <w:gridCol w:w="3259"/>
        <w:gridCol w:w="3259"/>
        <w:gridCol w:w="3260"/>
      </w:tblGrid>
      <w:tr w:rsidR="00AC6BE3" w:rsidRPr="00E93946" w14:paraId="521F0EE5" w14:textId="77777777" w:rsidTr="0076430F">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5FC3683B" w14:textId="77777777" w:rsidR="00AC6BE3" w:rsidRPr="00E93946" w:rsidRDefault="00AC6BE3" w:rsidP="00AC6BE3">
            <w:pPr>
              <w:widowControl w:val="0"/>
              <w:suppressAutoHyphens w:val="0"/>
              <w:overflowPunct/>
              <w:jc w:val="center"/>
              <w:rPr>
                <w:rFonts w:eastAsia="Times New Roman"/>
              </w:rPr>
            </w:pPr>
            <w:r w:rsidRPr="00E93946">
              <w:rPr>
                <w:b/>
              </w:rPr>
              <w:t>Süsteemi tüüp</w:t>
            </w:r>
          </w:p>
          <w:p w14:paraId="66829AFD" w14:textId="77777777" w:rsidR="00AC6BE3" w:rsidRPr="00E93946" w:rsidRDefault="00AC6BE3" w:rsidP="00AC6BE3">
            <w:pPr>
              <w:widowControl w:val="0"/>
              <w:suppressAutoHyphens w:val="0"/>
              <w:overflowPunct/>
              <w:jc w:val="center"/>
              <w:rPr>
                <w:rFonts w:eastAsia="Times New Roman"/>
                <w:lang w:eastAsia="it-IT"/>
              </w:rPr>
            </w:pPr>
          </w:p>
        </w:tc>
        <w:tc>
          <w:tcPr>
            <w:tcW w:w="3259" w:type="dxa"/>
            <w:tcBorders>
              <w:top w:val="single" w:sz="4" w:space="0" w:color="000000"/>
              <w:left w:val="single" w:sz="4" w:space="0" w:color="000000"/>
              <w:bottom w:val="single" w:sz="4" w:space="0" w:color="000000"/>
              <w:right w:val="single" w:sz="4" w:space="0" w:color="000000"/>
            </w:tcBorders>
            <w:shd w:val="clear" w:color="auto" w:fill="D0CECE"/>
          </w:tcPr>
          <w:p w14:paraId="3B80C9E8" w14:textId="77777777" w:rsidR="00AC6BE3" w:rsidRPr="00E93946" w:rsidRDefault="00AC6BE3" w:rsidP="00AC6BE3">
            <w:pPr>
              <w:widowControl w:val="0"/>
              <w:suppressAutoHyphens w:val="0"/>
              <w:overflowPunct/>
              <w:jc w:val="center"/>
              <w:rPr>
                <w:rFonts w:eastAsia="Times New Roman"/>
              </w:rPr>
            </w:pPr>
            <w:r w:rsidRPr="00E93946">
              <w:rPr>
                <w:b/>
              </w:rPr>
              <w:t>Autonoomsus</w:t>
            </w:r>
          </w:p>
          <w:p w14:paraId="56CE95A2" w14:textId="77777777" w:rsidR="00AC6BE3" w:rsidRPr="00E93946" w:rsidRDefault="00AC6BE3" w:rsidP="00AC6BE3">
            <w:pPr>
              <w:widowControl w:val="0"/>
              <w:suppressAutoHyphens w:val="0"/>
              <w:overflowPunct/>
              <w:jc w:val="center"/>
              <w:rPr>
                <w:rFonts w:eastAsia="Times New Roman"/>
              </w:rPr>
            </w:pPr>
            <w:r w:rsidRPr="00E93946">
              <w:rPr>
                <w:b/>
              </w:rPr>
              <w:t>(min)</w:t>
            </w:r>
          </w:p>
        </w:tc>
        <w:tc>
          <w:tcPr>
            <w:tcW w:w="3260" w:type="dxa"/>
            <w:tcBorders>
              <w:top w:val="single" w:sz="4" w:space="0" w:color="000000"/>
              <w:left w:val="single" w:sz="4" w:space="0" w:color="000000"/>
              <w:bottom w:val="single" w:sz="4" w:space="0" w:color="000000"/>
              <w:right w:val="single" w:sz="4" w:space="0" w:color="000000"/>
            </w:tcBorders>
            <w:shd w:val="clear" w:color="auto" w:fill="D0CECE"/>
          </w:tcPr>
          <w:p w14:paraId="4E4F4536" w14:textId="77777777" w:rsidR="00AC6BE3" w:rsidRPr="00E93946" w:rsidRDefault="00AC6BE3" w:rsidP="00AC6BE3">
            <w:pPr>
              <w:widowControl w:val="0"/>
              <w:suppressAutoHyphens w:val="0"/>
              <w:overflowPunct/>
              <w:jc w:val="center"/>
              <w:rPr>
                <w:rFonts w:eastAsia="Times New Roman"/>
              </w:rPr>
            </w:pPr>
            <w:r w:rsidRPr="00E93946">
              <w:rPr>
                <w:b/>
              </w:rPr>
              <w:t>Lülitusajad tavalise ja avariivarustuse vahel (sek)</w:t>
            </w:r>
          </w:p>
        </w:tc>
      </w:tr>
      <w:tr w:rsidR="00AC6BE3" w:rsidRPr="00E93946" w14:paraId="730E0A78"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0C8B3EB6" w14:textId="77777777" w:rsidR="00AC6BE3" w:rsidRPr="00E93946" w:rsidRDefault="00AC6BE3" w:rsidP="00AC6BE3">
            <w:pPr>
              <w:widowControl w:val="0"/>
              <w:suppressAutoHyphens w:val="0"/>
              <w:overflowPunct/>
              <w:jc w:val="center"/>
              <w:rPr>
                <w:rFonts w:eastAsia="Times New Roman"/>
              </w:rPr>
            </w:pPr>
            <w:r w:rsidRPr="00E93946">
              <w:t xml:space="preserve">Avariivalgustusseadmed </w:t>
            </w:r>
          </w:p>
        </w:tc>
        <w:tc>
          <w:tcPr>
            <w:tcW w:w="3259" w:type="dxa"/>
            <w:tcBorders>
              <w:top w:val="single" w:sz="4" w:space="0" w:color="000000"/>
              <w:left w:val="single" w:sz="4" w:space="0" w:color="000000"/>
              <w:bottom w:val="single" w:sz="4" w:space="0" w:color="000000"/>
              <w:right w:val="single" w:sz="4" w:space="0" w:color="000000"/>
            </w:tcBorders>
            <w:vAlign w:val="center"/>
          </w:tcPr>
          <w:p w14:paraId="54F18596" w14:textId="77777777" w:rsidR="00AC6BE3" w:rsidRPr="00E93946" w:rsidRDefault="00AC6BE3" w:rsidP="00AC6BE3">
            <w:pPr>
              <w:widowControl w:val="0"/>
              <w:suppressAutoHyphens w:val="0"/>
              <w:overflowPunct/>
              <w:jc w:val="center"/>
              <w:rPr>
                <w:rFonts w:eastAsia="Times New Roman"/>
              </w:rPr>
            </w:pPr>
            <w:r w:rsidRPr="00E93946">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509EB18B" w14:textId="77777777" w:rsidR="00AC6BE3" w:rsidRPr="00E93946" w:rsidRDefault="00AC6BE3" w:rsidP="00AC6BE3">
            <w:pPr>
              <w:widowControl w:val="0"/>
              <w:suppressAutoHyphens w:val="0"/>
              <w:overflowPunct/>
              <w:jc w:val="center"/>
              <w:rPr>
                <w:rFonts w:eastAsia="Times New Roman"/>
              </w:rPr>
            </w:pPr>
            <w:r w:rsidRPr="00E93946">
              <w:t>0,5</w:t>
            </w:r>
          </w:p>
        </w:tc>
      </w:tr>
      <w:tr w:rsidR="00AC6BE3" w:rsidRPr="00E93946" w14:paraId="0F8AEA52"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7CB489C9" w14:textId="77777777" w:rsidR="00AC6BE3" w:rsidRPr="00E93946" w:rsidRDefault="00AC6BE3" w:rsidP="00AC6BE3">
            <w:pPr>
              <w:widowControl w:val="0"/>
              <w:suppressAutoHyphens w:val="0"/>
              <w:overflowPunct/>
              <w:jc w:val="center"/>
              <w:rPr>
                <w:rFonts w:eastAsia="Times New Roman"/>
              </w:rPr>
            </w:pPr>
            <w:r w:rsidRPr="00E93946">
              <w:t>Kontrollsüsteem</w:t>
            </w:r>
          </w:p>
        </w:tc>
        <w:tc>
          <w:tcPr>
            <w:tcW w:w="3259" w:type="dxa"/>
            <w:tcBorders>
              <w:top w:val="single" w:sz="4" w:space="0" w:color="000000"/>
              <w:left w:val="single" w:sz="4" w:space="0" w:color="000000"/>
              <w:bottom w:val="single" w:sz="4" w:space="0" w:color="000000"/>
              <w:right w:val="single" w:sz="4" w:space="0" w:color="000000"/>
            </w:tcBorders>
            <w:vAlign w:val="center"/>
          </w:tcPr>
          <w:p w14:paraId="3516EF50" w14:textId="77777777" w:rsidR="00AC6BE3" w:rsidRPr="00E93946" w:rsidRDefault="00AC6BE3" w:rsidP="00AC6BE3">
            <w:pPr>
              <w:widowControl w:val="0"/>
              <w:suppressAutoHyphens w:val="0"/>
              <w:overflowPunct/>
              <w:jc w:val="center"/>
              <w:rPr>
                <w:rFonts w:eastAsia="Times New Roman"/>
              </w:rPr>
            </w:pPr>
            <w:r w:rsidRPr="00E93946">
              <w:t>60</w:t>
            </w:r>
          </w:p>
        </w:tc>
        <w:tc>
          <w:tcPr>
            <w:tcW w:w="3260" w:type="dxa"/>
            <w:tcBorders>
              <w:top w:val="single" w:sz="4" w:space="0" w:color="000000"/>
              <w:left w:val="single" w:sz="4" w:space="0" w:color="000000"/>
              <w:bottom w:val="single" w:sz="4" w:space="0" w:color="000000"/>
              <w:right w:val="single" w:sz="4" w:space="0" w:color="000000"/>
            </w:tcBorders>
            <w:vAlign w:val="center"/>
          </w:tcPr>
          <w:p w14:paraId="4BE79D50" w14:textId="77777777" w:rsidR="00AC6BE3" w:rsidRPr="00E93946" w:rsidRDefault="00AC6BE3" w:rsidP="00AC6BE3">
            <w:pPr>
              <w:widowControl w:val="0"/>
              <w:suppressAutoHyphens w:val="0"/>
              <w:overflowPunct/>
              <w:jc w:val="center"/>
              <w:rPr>
                <w:rFonts w:eastAsia="Times New Roman"/>
              </w:rPr>
            </w:pPr>
            <w:r w:rsidRPr="00E93946">
              <w:t>15</w:t>
            </w:r>
          </w:p>
        </w:tc>
      </w:tr>
      <w:tr w:rsidR="00AC6BE3" w:rsidRPr="00E93946" w14:paraId="627FFB94" w14:textId="77777777" w:rsidTr="0076430F">
        <w:tc>
          <w:tcPr>
            <w:tcW w:w="3259" w:type="dxa"/>
            <w:tcBorders>
              <w:top w:val="single" w:sz="4" w:space="0" w:color="000000"/>
              <w:left w:val="single" w:sz="4" w:space="0" w:color="000000"/>
              <w:bottom w:val="single" w:sz="4" w:space="0" w:color="000000"/>
              <w:right w:val="single" w:sz="4" w:space="0" w:color="000000"/>
            </w:tcBorders>
          </w:tcPr>
          <w:p w14:paraId="5F4C009D" w14:textId="77777777" w:rsidR="00AC6BE3" w:rsidRPr="00E93946" w:rsidRDefault="00AC6BE3" w:rsidP="00AC6BE3">
            <w:pPr>
              <w:widowControl w:val="0"/>
              <w:suppressAutoHyphens w:val="0"/>
              <w:overflowPunct/>
              <w:jc w:val="center"/>
              <w:rPr>
                <w:rFonts w:eastAsia="Times New Roman"/>
              </w:rPr>
            </w:pPr>
            <w:r w:rsidRPr="00E93946">
              <w:t>Sulgemis- ja jahutussüsteemid</w:t>
            </w:r>
          </w:p>
        </w:tc>
        <w:tc>
          <w:tcPr>
            <w:tcW w:w="3259" w:type="dxa"/>
            <w:tcBorders>
              <w:top w:val="single" w:sz="4" w:space="0" w:color="000000"/>
              <w:left w:val="single" w:sz="4" w:space="0" w:color="000000"/>
              <w:bottom w:val="single" w:sz="4" w:space="0" w:color="000000"/>
              <w:right w:val="single" w:sz="4" w:space="0" w:color="000000"/>
            </w:tcBorders>
            <w:vAlign w:val="center"/>
          </w:tcPr>
          <w:p w14:paraId="01C0630D" w14:textId="77777777" w:rsidR="00AC6BE3" w:rsidRPr="00E93946" w:rsidRDefault="00AC6BE3" w:rsidP="00AC6BE3">
            <w:pPr>
              <w:widowControl w:val="0"/>
              <w:suppressAutoHyphens w:val="0"/>
              <w:overflowPunct/>
              <w:jc w:val="center"/>
              <w:rPr>
                <w:rFonts w:eastAsia="Times New Roman"/>
              </w:rPr>
            </w:pPr>
            <w:r w:rsidRPr="00E93946">
              <w:t>120</w:t>
            </w:r>
          </w:p>
        </w:tc>
        <w:tc>
          <w:tcPr>
            <w:tcW w:w="3260" w:type="dxa"/>
            <w:tcBorders>
              <w:top w:val="single" w:sz="4" w:space="0" w:color="000000"/>
              <w:left w:val="single" w:sz="4" w:space="0" w:color="000000"/>
              <w:bottom w:val="single" w:sz="4" w:space="0" w:color="000000"/>
              <w:right w:val="single" w:sz="4" w:space="0" w:color="000000"/>
            </w:tcBorders>
            <w:vAlign w:val="center"/>
          </w:tcPr>
          <w:p w14:paraId="4CA49F4C" w14:textId="77777777" w:rsidR="00AC6BE3" w:rsidRPr="00E93946" w:rsidRDefault="00AC6BE3" w:rsidP="00AC6BE3">
            <w:pPr>
              <w:widowControl w:val="0"/>
              <w:suppressAutoHyphens w:val="0"/>
              <w:overflowPunct/>
              <w:jc w:val="center"/>
              <w:rPr>
                <w:rFonts w:eastAsia="Times New Roman"/>
              </w:rPr>
            </w:pPr>
            <w:r w:rsidRPr="00E93946">
              <w:t>15</w:t>
            </w:r>
          </w:p>
        </w:tc>
      </w:tr>
    </w:tbl>
    <w:p w14:paraId="62E34CDB" w14:textId="77777777" w:rsidR="00AC6BE3" w:rsidRPr="00E93946" w:rsidRDefault="00AC6BE3" w:rsidP="00AC6BE3">
      <w:pPr>
        <w:suppressAutoHyphens w:val="0"/>
        <w:overflowPunct/>
        <w:jc w:val="both"/>
        <w:rPr>
          <w:rFonts w:eastAsia="Times New Roman"/>
          <w:lang w:eastAsia="it-IT"/>
        </w:rPr>
      </w:pPr>
    </w:p>
    <w:p w14:paraId="45086392" w14:textId="77777777" w:rsidR="00AC6BE3" w:rsidRPr="00E93946" w:rsidRDefault="00AC6BE3" w:rsidP="00AC6BE3">
      <w:pPr>
        <w:suppressAutoHyphens w:val="0"/>
        <w:overflowPunct/>
        <w:jc w:val="both"/>
        <w:rPr>
          <w:rFonts w:eastAsia="Times New Roman"/>
        </w:rPr>
      </w:pPr>
      <w:r w:rsidRPr="00E93946">
        <w:t>13.3. Maandussüsteem ja süsteem konstruktsioonide kaitsmiseks atmosfääriheitmete eest</w:t>
      </w:r>
    </w:p>
    <w:p w14:paraId="6DE0B519" w14:textId="77777777" w:rsidR="00AC6BE3" w:rsidRPr="00E93946" w:rsidRDefault="00AC6BE3" w:rsidP="00AC6BE3">
      <w:pPr>
        <w:suppressAutoHyphens w:val="0"/>
        <w:overflowPunct/>
        <w:jc w:val="both"/>
        <w:rPr>
          <w:rFonts w:eastAsia="Times New Roman"/>
          <w:lang w:eastAsia="it-IT"/>
        </w:rPr>
      </w:pPr>
    </w:p>
    <w:p w14:paraId="609070D9" w14:textId="77777777" w:rsidR="00AC6BE3" w:rsidRPr="00E93946" w:rsidRDefault="00AC6BE3" w:rsidP="00AC6BE3">
      <w:pPr>
        <w:suppressAutoHyphens w:val="0"/>
        <w:overflowPunct/>
        <w:jc w:val="both"/>
        <w:rPr>
          <w:rFonts w:eastAsia="Times New Roman"/>
        </w:rPr>
      </w:pPr>
      <w:r w:rsidRPr="00E93946">
        <w:t>Seade peab olema varustatud maandussüsteemiga ja vajalike meetmetega, et kaitsta atmosfääriheitmete otsese ja kaudse mõju eest pärast pikselöögi tõenäosuse arvutamist vastavalt kehtivatele sätetele ja kohaldatavatele tehnilistele standarditele;</w:t>
      </w:r>
    </w:p>
    <w:p w14:paraId="20461CE9" w14:textId="77777777" w:rsidR="00AC6BE3" w:rsidRPr="00E93946" w:rsidRDefault="00AC6BE3" w:rsidP="00AC6BE3">
      <w:pPr>
        <w:suppressAutoHyphens w:val="0"/>
        <w:overflowPunct/>
        <w:jc w:val="both"/>
        <w:rPr>
          <w:rFonts w:eastAsia="Times New Roman"/>
        </w:rPr>
      </w:pPr>
      <w:r w:rsidRPr="00E93946">
        <w:t>Täitmispunkt peab olema varustatud maandusterminali ja kinnitusklambritega, mis on ette nähtud jaama ja balloonvaguni vahelise varustuse ühendamiseks, ning sobivate ohutusseadmetega veendumaks, et elektriline järjepidevus saavutatakse alles pärast seda, kui klamber on ühendatud liikuva sõidukiga (nt kinnitusklambrisse paigaldatud turvalüliti); täitetoiminguid saab alustada ainult maandusterminali eelneval nõusolekul.</w:t>
      </w:r>
    </w:p>
    <w:p w14:paraId="3CCFD596" w14:textId="77777777" w:rsidR="00AC6BE3" w:rsidRPr="00E93946" w:rsidRDefault="00AC6BE3" w:rsidP="00AC6BE3">
      <w:pPr>
        <w:suppressAutoHyphens w:val="0"/>
        <w:overflowPunct/>
        <w:jc w:val="both"/>
        <w:rPr>
          <w:rFonts w:eastAsia="Times New Roman"/>
          <w:lang w:eastAsia="it-IT"/>
        </w:rPr>
      </w:pPr>
    </w:p>
    <w:p w14:paraId="0C41A526" w14:textId="77777777" w:rsidR="00AC6BE3" w:rsidRPr="00E93946" w:rsidRDefault="00AC6BE3" w:rsidP="00AC6BE3">
      <w:pPr>
        <w:suppressAutoHyphens w:val="0"/>
        <w:overflowPunct/>
        <w:spacing w:after="120"/>
        <w:jc w:val="both"/>
        <w:rPr>
          <w:rFonts w:eastAsia="Times New Roman"/>
        </w:rPr>
      </w:pPr>
      <w:r w:rsidRPr="00E93946">
        <w:rPr>
          <w:b/>
        </w:rPr>
        <w:t>14. Plahvatusohtlike segude moodustumise vältimine.</w:t>
      </w:r>
    </w:p>
    <w:p w14:paraId="4D696B7C" w14:textId="77777777" w:rsidR="00AC6BE3" w:rsidRPr="00E93946" w:rsidRDefault="00AC6BE3" w:rsidP="00AC6BE3">
      <w:pPr>
        <w:suppressAutoHyphens w:val="0"/>
        <w:overflowPunct/>
        <w:jc w:val="both"/>
        <w:rPr>
          <w:rFonts w:eastAsia="Times New Roman"/>
        </w:rPr>
      </w:pPr>
      <w:r w:rsidRPr="00E93946">
        <w:t xml:space="preserve">Selleks et minimeerida plahvatusohtlike vesiniku-õhusegude moodustumise ohtu, viiakse läbi riskihindamine ja võetakse sellest tulenevad kaitsemeetmed vastavalt siseministri 3. augusti 2015. aasta dekreedi V.2 peatüki sätetele. </w:t>
      </w:r>
    </w:p>
    <w:p w14:paraId="604D553A" w14:textId="77777777" w:rsidR="00AC6BE3" w:rsidRPr="00E93946" w:rsidRDefault="00AC6BE3" w:rsidP="00AC6BE3">
      <w:pPr>
        <w:suppressAutoHyphens w:val="0"/>
        <w:overflowPunct/>
        <w:jc w:val="both"/>
        <w:rPr>
          <w:rFonts w:eastAsia="Times New Roman"/>
        </w:rPr>
      </w:pPr>
      <w:r w:rsidRPr="00E93946">
        <w:t>Samuti võetakse järgmised lisameetmed:</w:t>
      </w:r>
    </w:p>
    <w:p w14:paraId="11CB8277" w14:textId="77777777" w:rsidR="00AC6BE3" w:rsidRPr="00E93946" w:rsidRDefault="00AC6BE3" w:rsidP="00AC6BE3">
      <w:pPr>
        <w:numPr>
          <w:ilvl w:val="0"/>
          <w:numId w:val="25"/>
        </w:numPr>
        <w:suppressAutoHyphens w:val="0"/>
        <w:overflowPunct/>
        <w:ind w:left="426" w:hanging="426"/>
        <w:jc w:val="both"/>
        <w:rPr>
          <w:rFonts w:eastAsia="Times New Roman"/>
          <w:sz w:val="20"/>
          <w:szCs w:val="20"/>
        </w:rPr>
      </w:pPr>
      <w:r w:rsidRPr="00E93946">
        <w:t xml:space="preserve">kui gaasilise vesiniku vool ja rõhk kalduvad tootja deklareeritud jaama tavapärastest tööpiiridest kõrvale, tuleb paigaldada protsessi juhtimissüsteem, mis katkestab direktiivi 2014/34/EL (ATEX) kohaselt klassifitseerimata elektriseadmete toiteallika ja käivitab ventilatsiooni; ventilatsioonisüsteem peab olema dimensioneeritud nii, et gaasilise vesiniku keskmine </w:t>
      </w:r>
      <w:r w:rsidRPr="00E93946">
        <w:lastRenderedPageBreak/>
        <w:t>kontsentratsioon elektrolüüsimisruumis (ja vesinikku sisaldavate seadmetega kastis) jääks alla 1 mahuprotsendi, sealhulgas kooskõlas standardis ISO 22734 kirjeldatud kriteeriumidega;</w:t>
      </w:r>
    </w:p>
    <w:p w14:paraId="4758D464" w14:textId="77777777" w:rsidR="00AC6BE3" w:rsidRPr="00E93946" w:rsidRDefault="00AC6BE3" w:rsidP="00AC6BE3">
      <w:pPr>
        <w:numPr>
          <w:ilvl w:val="0"/>
          <w:numId w:val="25"/>
        </w:numPr>
        <w:suppressAutoHyphens w:val="0"/>
        <w:overflowPunct/>
        <w:ind w:left="426" w:hanging="426"/>
        <w:jc w:val="both"/>
        <w:rPr>
          <w:rFonts w:eastAsia="Times New Roman"/>
          <w:sz w:val="20"/>
          <w:szCs w:val="20"/>
        </w:rPr>
      </w:pPr>
      <w:r w:rsidRPr="00E93946">
        <w:t>ruumi tuleb paigaldada vesiniku tuvastamise süsteem, mis sisaldab automaatset ventilatsiooni käivitavat elektrolüüsiseadet, kui kontsentratsioon on 1 mahuprotsent või suurem; vesinikuandurite arv, asukoht ja tüüp valitakse kooskõlas parimate tavadega, võttes eelkõige arvesse standardit IEC EN 60079-29-1 või samaväärset tehnilist standardit; gaasilise vesiniku gaasidetektorite paigaldamine, kasutamine ja hooldus peab vastama standardile IEC EN 60079-29-2 või samaväärsele tehnilisele standardile.</w:t>
      </w:r>
    </w:p>
    <w:p w14:paraId="35D8CCE8" w14:textId="77777777" w:rsidR="00AC6BE3" w:rsidRPr="00E93946" w:rsidRDefault="00AC6BE3" w:rsidP="00AC6BE3">
      <w:pPr>
        <w:suppressAutoHyphens w:val="0"/>
        <w:overflowPunct/>
        <w:jc w:val="both"/>
        <w:rPr>
          <w:rFonts w:eastAsia="Times New Roman"/>
        </w:rPr>
      </w:pPr>
      <w:r w:rsidRPr="00E93946">
        <w:t>Selleks et vältida hapnikuga rikastatud keskkonna teket (mille hapnikusisaldus õhus on suurem kui 23,5 mahuprotsenti), kui elektrolüüsiseade on ette nähtud hapniku eraldumiseks piirkondades või siseruumides, peab olema hapniku tuvastamise süsteem, mis aktiveerib ventilatsioonisüsteemi.</w:t>
      </w:r>
    </w:p>
    <w:p w14:paraId="5939AC2F" w14:textId="77777777" w:rsidR="00AC6BE3" w:rsidRPr="00E93946" w:rsidRDefault="00AC6BE3" w:rsidP="00AC6BE3">
      <w:pPr>
        <w:suppressAutoHyphens w:val="0"/>
        <w:overflowPunct/>
        <w:jc w:val="both"/>
        <w:rPr>
          <w:rFonts w:eastAsia="Times New Roman"/>
          <w:lang w:eastAsia="it-IT"/>
        </w:rPr>
      </w:pPr>
    </w:p>
    <w:p w14:paraId="148F60FE" w14:textId="55AFB7FA" w:rsidR="00AC6BE3" w:rsidRPr="00E93946" w:rsidRDefault="00AC6BE3">
      <w:pPr>
        <w:suppressAutoHyphens w:val="0"/>
        <w:overflowPunct/>
        <w:rPr>
          <w:rFonts w:eastAsia="Times New Roman"/>
        </w:rPr>
      </w:pPr>
      <w:r w:rsidRPr="00E93946">
        <w:br w:type="page"/>
      </w:r>
    </w:p>
    <w:p w14:paraId="5131CA4F" w14:textId="77777777" w:rsidR="00AC6BE3" w:rsidRPr="00E93946" w:rsidRDefault="00AC6BE3" w:rsidP="00AC6BE3">
      <w:pPr>
        <w:suppressAutoHyphens w:val="0"/>
        <w:overflowPunct/>
        <w:jc w:val="both"/>
        <w:rPr>
          <w:rFonts w:eastAsia="Times New Roman"/>
          <w:lang w:eastAsia="it-IT"/>
        </w:rPr>
      </w:pPr>
    </w:p>
    <w:p w14:paraId="5B88A28D" w14:textId="77777777" w:rsidR="00AC6BE3" w:rsidRPr="00E93946" w:rsidRDefault="00AC6BE3" w:rsidP="00AC6BE3">
      <w:pPr>
        <w:suppressAutoHyphens w:val="0"/>
        <w:overflowPunct/>
        <w:jc w:val="center"/>
        <w:rPr>
          <w:rFonts w:eastAsia="Times New Roman"/>
        </w:rPr>
      </w:pPr>
      <w:r w:rsidRPr="00E93946">
        <w:rPr>
          <w:b/>
        </w:rPr>
        <w:t>III jaotis – Aktiivsed kaitsemeetmed</w:t>
      </w:r>
    </w:p>
    <w:p w14:paraId="23D0D07E" w14:textId="77777777" w:rsidR="00AC6BE3" w:rsidRPr="00E93946" w:rsidRDefault="00AC6BE3" w:rsidP="00AC6BE3">
      <w:pPr>
        <w:suppressAutoHyphens w:val="0"/>
        <w:overflowPunct/>
        <w:jc w:val="both"/>
        <w:rPr>
          <w:rFonts w:eastAsia="Times New Roman"/>
          <w:lang w:eastAsia="it-IT"/>
        </w:rPr>
      </w:pPr>
    </w:p>
    <w:p w14:paraId="1CDB4060" w14:textId="77777777" w:rsidR="00AC6BE3" w:rsidRPr="00E93946" w:rsidRDefault="00AC6BE3" w:rsidP="00AC6BE3">
      <w:pPr>
        <w:suppressAutoHyphens w:val="0"/>
        <w:overflowPunct/>
        <w:spacing w:after="120"/>
        <w:jc w:val="both"/>
        <w:rPr>
          <w:rFonts w:eastAsia="Times New Roman"/>
        </w:rPr>
      </w:pPr>
      <w:r w:rsidRPr="00E93946">
        <w:rPr>
          <w:b/>
        </w:rPr>
        <w:t>15. Avastamis- ja häiresüsteemid.</w:t>
      </w:r>
    </w:p>
    <w:p w14:paraId="22416B1C" w14:textId="77777777" w:rsidR="00AC6BE3" w:rsidRPr="00E93946" w:rsidRDefault="00AC6BE3" w:rsidP="00AC6BE3">
      <w:pPr>
        <w:suppressAutoHyphens w:val="0"/>
        <w:overflowPunct/>
        <w:jc w:val="both"/>
        <w:rPr>
          <w:rFonts w:eastAsia="Times New Roman"/>
        </w:rPr>
      </w:pPr>
      <w:r w:rsidRPr="00E93946">
        <w:t>Punktis 4 osutatud jaama ohtlike elementide jälgimiseks paigaldatakse järgmised süsteemid:</w:t>
      </w:r>
    </w:p>
    <w:p w14:paraId="42B6C88B" w14:textId="77777777" w:rsidR="00AC6BE3" w:rsidRPr="00E93946" w:rsidRDefault="00AC6BE3" w:rsidP="00AC6BE3">
      <w:pPr>
        <w:numPr>
          <w:ilvl w:val="0"/>
          <w:numId w:val="32"/>
        </w:numPr>
        <w:suppressAutoHyphens w:val="0"/>
        <w:overflowPunct/>
        <w:ind w:left="426" w:hanging="426"/>
        <w:jc w:val="both"/>
        <w:rPr>
          <w:rFonts w:eastAsia="Times New Roman"/>
          <w:sz w:val="20"/>
          <w:szCs w:val="20"/>
        </w:rPr>
      </w:pPr>
      <w:r w:rsidRPr="00E93946">
        <w:t xml:space="preserve">süsteem jaama ohtlike elementide temperatuuri avastamiseks, kontrollimiseks ja jälgimiseks, kui on võimalik saavutada kõrgeid temperatuure; </w:t>
      </w:r>
    </w:p>
    <w:p w14:paraId="79385F40" w14:textId="77777777" w:rsidR="00AC6BE3" w:rsidRPr="00E93946" w:rsidRDefault="00AC6BE3" w:rsidP="00AC6BE3">
      <w:pPr>
        <w:numPr>
          <w:ilvl w:val="0"/>
          <w:numId w:val="32"/>
        </w:numPr>
        <w:suppressAutoHyphens w:val="0"/>
        <w:overflowPunct/>
        <w:ind w:left="426" w:hanging="426"/>
        <w:jc w:val="both"/>
        <w:rPr>
          <w:rFonts w:eastAsia="Times New Roman"/>
          <w:sz w:val="20"/>
          <w:szCs w:val="20"/>
        </w:rPr>
      </w:pPr>
      <w:r w:rsidRPr="00E93946">
        <w:t xml:space="preserve">gaasilekke avastamise ja kontrolli süsteem jaama kõigil aladel, mida plahvatusohtliku keskkonna võimalik teke tõenäoliselt mõjutab, vastavalt siseministri 3. augusti 2015. aasta dekreedi V.2 peatüki sätetele tehtava riskihindamise tulemustele; jaam peab võimaluse korral olema ehitatud vastavalt tehnilistele võrdlusstandarditele; </w:t>
      </w:r>
    </w:p>
    <w:p w14:paraId="02AB0387" w14:textId="77777777" w:rsidR="00AC6BE3" w:rsidRPr="00E93946" w:rsidRDefault="00AC6BE3" w:rsidP="00AC6BE3">
      <w:pPr>
        <w:numPr>
          <w:ilvl w:val="0"/>
          <w:numId w:val="32"/>
        </w:numPr>
        <w:suppressAutoHyphens w:val="0"/>
        <w:overflowPunct/>
        <w:ind w:left="426" w:hanging="426"/>
        <w:jc w:val="both"/>
        <w:rPr>
          <w:rFonts w:eastAsia="Times New Roman"/>
          <w:sz w:val="20"/>
          <w:szCs w:val="20"/>
        </w:rPr>
      </w:pPr>
      <w:r w:rsidRPr="00E93946">
        <w:t xml:space="preserve">jaama kõigil aladel, mida vesinikulekke süttimine tõenäoliselt mõjutab, peab olema leegi tuvastamise süsteem; jaam ehitatakse nii palju kui võimalik vastavalt tehnilistele võrdlusstandarditele. </w:t>
      </w:r>
    </w:p>
    <w:p w14:paraId="75B30D75" w14:textId="77777777" w:rsidR="00AC6BE3" w:rsidRPr="00E93946" w:rsidRDefault="00AC6BE3" w:rsidP="00AC6BE3">
      <w:pPr>
        <w:suppressAutoHyphens w:val="0"/>
        <w:overflowPunct/>
        <w:spacing w:line="276" w:lineRule="auto"/>
        <w:jc w:val="both"/>
        <w:rPr>
          <w:rFonts w:eastAsia="Times New Roman"/>
        </w:rPr>
      </w:pPr>
      <w:r w:rsidRPr="00E93946">
        <w:t xml:space="preserve">Tulekahju avastamis- ja häiresüsteemi paigaldamine on vajalik ka selleks, et kaitsta kogu tegevust järgmiste põhifunktsioonidega: </w:t>
      </w:r>
    </w:p>
    <w:p w14:paraId="71184348" w14:textId="77777777" w:rsidR="00AC6BE3" w:rsidRPr="00E93946" w:rsidRDefault="00AC6BE3" w:rsidP="00AC6BE3">
      <w:pPr>
        <w:numPr>
          <w:ilvl w:val="0"/>
          <w:numId w:val="39"/>
        </w:numPr>
        <w:suppressAutoHyphens w:val="0"/>
        <w:overflowPunct/>
        <w:ind w:left="284" w:hanging="284"/>
        <w:jc w:val="both"/>
        <w:rPr>
          <w:rFonts w:eastAsia="Times New Roman"/>
          <w:sz w:val="20"/>
          <w:szCs w:val="20"/>
        </w:rPr>
      </w:pPr>
      <w:r w:rsidRPr="00E93946">
        <w:t>A, automaatne tulekahju avastamine;</w:t>
      </w:r>
    </w:p>
    <w:p w14:paraId="4ADA02CA" w14:textId="77777777" w:rsidR="00AC6BE3" w:rsidRPr="00E93946" w:rsidRDefault="00AC6BE3" w:rsidP="00AC6BE3">
      <w:pPr>
        <w:numPr>
          <w:ilvl w:val="0"/>
          <w:numId w:val="39"/>
        </w:numPr>
        <w:suppressAutoHyphens w:val="0"/>
        <w:overflowPunct/>
        <w:ind w:left="284" w:hanging="284"/>
        <w:jc w:val="both"/>
        <w:rPr>
          <w:rFonts w:eastAsia="Times New Roman"/>
          <w:sz w:val="20"/>
          <w:szCs w:val="20"/>
        </w:rPr>
      </w:pPr>
      <w:r w:rsidRPr="00E93946">
        <w:t>B, juhtimis- ja signalisatsioonifunktsioon;</w:t>
      </w:r>
    </w:p>
    <w:p w14:paraId="28A9CCEF" w14:textId="77777777" w:rsidR="00AC6BE3" w:rsidRPr="00E93946" w:rsidRDefault="00AC6BE3" w:rsidP="00AC6BE3">
      <w:pPr>
        <w:numPr>
          <w:ilvl w:val="0"/>
          <w:numId w:val="39"/>
        </w:numPr>
        <w:suppressAutoHyphens w:val="0"/>
        <w:overflowPunct/>
        <w:ind w:left="284" w:hanging="284"/>
        <w:jc w:val="both"/>
        <w:rPr>
          <w:rFonts w:eastAsia="Times New Roman"/>
          <w:sz w:val="20"/>
          <w:szCs w:val="20"/>
        </w:rPr>
      </w:pPr>
      <w:r w:rsidRPr="00E93946">
        <w:t>C, tulekahjuhäire funktsioon;</w:t>
      </w:r>
    </w:p>
    <w:p w14:paraId="1527C697" w14:textId="77777777" w:rsidR="00AC6BE3" w:rsidRPr="00E93946" w:rsidRDefault="00AC6BE3" w:rsidP="00AC6BE3">
      <w:pPr>
        <w:numPr>
          <w:ilvl w:val="0"/>
          <w:numId w:val="39"/>
        </w:numPr>
        <w:suppressAutoHyphens w:val="0"/>
        <w:overflowPunct/>
        <w:ind w:left="284" w:hanging="284"/>
        <w:jc w:val="both"/>
        <w:rPr>
          <w:rFonts w:eastAsia="Times New Roman"/>
          <w:sz w:val="20"/>
          <w:szCs w:val="20"/>
        </w:rPr>
      </w:pPr>
      <w:r w:rsidRPr="00E93946">
        <w:t>L, ohutustoitefunktsioon;</w:t>
      </w:r>
    </w:p>
    <w:p w14:paraId="31FA598F" w14:textId="77777777" w:rsidR="00AC6BE3" w:rsidRPr="00E93946" w:rsidRDefault="00AC6BE3" w:rsidP="00AC6BE3">
      <w:pPr>
        <w:numPr>
          <w:ilvl w:val="0"/>
          <w:numId w:val="39"/>
        </w:numPr>
        <w:suppressAutoHyphens w:val="0"/>
        <w:overflowPunct/>
        <w:ind w:left="284" w:hanging="284"/>
        <w:jc w:val="both"/>
        <w:rPr>
          <w:rFonts w:eastAsia="Times New Roman"/>
          <w:sz w:val="20"/>
          <w:szCs w:val="20"/>
        </w:rPr>
      </w:pPr>
      <w:r w:rsidRPr="00E93946">
        <w:t xml:space="preserve">D, käsitsi signaalimise funktsioon. </w:t>
      </w:r>
    </w:p>
    <w:p w14:paraId="6C4AA075" w14:textId="77777777" w:rsidR="00AC6BE3" w:rsidRPr="00E93946" w:rsidRDefault="00AC6BE3" w:rsidP="00AC6BE3">
      <w:pPr>
        <w:suppressAutoHyphens w:val="0"/>
        <w:overflowPunct/>
        <w:jc w:val="both"/>
        <w:rPr>
          <w:rFonts w:eastAsia="Times New Roman"/>
          <w:lang w:eastAsia="it-IT"/>
        </w:rPr>
      </w:pPr>
    </w:p>
    <w:p w14:paraId="05FA9CB9" w14:textId="77777777" w:rsidR="00AC6BE3" w:rsidRPr="00E93946" w:rsidRDefault="00AC6BE3" w:rsidP="00AC6BE3">
      <w:pPr>
        <w:suppressAutoHyphens w:val="0"/>
        <w:overflowPunct/>
        <w:jc w:val="both"/>
        <w:rPr>
          <w:rFonts w:eastAsia="Times New Roman"/>
        </w:rPr>
      </w:pPr>
      <w:r w:rsidRPr="00E93946">
        <w:t>Funktsioone B, C, L, D laiendatakse kogu tegevusele, samas kui funktsiooni A saab pakkuda ainult aladel või ruumides, kus tulekahju võib vallanduda.</w:t>
      </w:r>
    </w:p>
    <w:p w14:paraId="7A5B0E31" w14:textId="77777777" w:rsidR="00AC6BE3" w:rsidRPr="00E93946" w:rsidRDefault="00AC6BE3" w:rsidP="00AC6BE3">
      <w:pPr>
        <w:suppressAutoHyphens w:val="0"/>
        <w:overflowPunct/>
        <w:jc w:val="both"/>
        <w:rPr>
          <w:rFonts w:eastAsia="Times New Roman"/>
        </w:rPr>
      </w:pPr>
      <w:r w:rsidRPr="00E93946">
        <w:t>Süsteemi signaalid edastatakse jaama tehnilises ruumis asuvasse spetsiaalsesse juhtimiskeskusesse, kus neid on võimalik korrata ka väljaspool, igal juhul mehitatud kohas, ning neist teatatakse järgmises punktis osutatud häiresüsteemile; väljapoole tuleb paigaldada juhtsüsteemide aktiveerimisega ühendatud valgus- ja helisignaalseade.</w:t>
      </w:r>
    </w:p>
    <w:p w14:paraId="123C555B" w14:textId="77777777" w:rsidR="00AC6BE3" w:rsidRPr="00E93946" w:rsidRDefault="00AC6BE3" w:rsidP="00AC6BE3">
      <w:pPr>
        <w:suppressAutoHyphens w:val="0"/>
        <w:overflowPunct/>
        <w:jc w:val="both"/>
        <w:rPr>
          <w:rFonts w:eastAsia="Times New Roman"/>
          <w:lang w:eastAsia="it-IT"/>
        </w:rPr>
      </w:pPr>
    </w:p>
    <w:p w14:paraId="2FA338BC" w14:textId="77777777" w:rsidR="00AC6BE3" w:rsidRPr="00E93946" w:rsidRDefault="00AC6BE3" w:rsidP="00AC6BE3">
      <w:pPr>
        <w:suppressAutoHyphens w:val="0"/>
        <w:overflowPunct/>
        <w:spacing w:after="120"/>
        <w:jc w:val="both"/>
        <w:rPr>
          <w:rFonts w:eastAsia="Times New Roman"/>
        </w:rPr>
      </w:pPr>
      <w:r w:rsidRPr="00E93946">
        <w:rPr>
          <w:b/>
        </w:rPr>
        <w:t>16. Väljalülitus- ja jahutussüsteemid.</w:t>
      </w:r>
    </w:p>
    <w:p w14:paraId="23C45260" w14:textId="77777777" w:rsidR="00AC6BE3" w:rsidRPr="00E93946" w:rsidRDefault="00AC6BE3" w:rsidP="00AC6BE3">
      <w:pPr>
        <w:suppressAutoHyphens w:val="0"/>
        <w:overflowPunct/>
        <w:jc w:val="both"/>
        <w:rPr>
          <w:rFonts w:eastAsia="Times New Roman"/>
        </w:rPr>
      </w:pPr>
      <w:r w:rsidRPr="00E93946">
        <w:t>Käitise ohtlikke elemente kaitstakse tuletõrjehüdrantide võrgustikuga, mis on projekteeritud, paigaldatud, testitud ja hallatud vastavalt parimatele tavadele ja kooskõlas siseministeeriumi 20. detsembri 2012. aasta dekreedis osutatud juhistega. Võrgustiku projekteerimisel võib viidata UNI 10779-le, eeldades, et tegevuse ohutase on vähemalt 2.</w:t>
      </w:r>
    </w:p>
    <w:p w14:paraId="3D98EAB1" w14:textId="77777777" w:rsidR="00AC6BE3" w:rsidRPr="00E93946" w:rsidRDefault="00AC6BE3" w:rsidP="00AC6BE3">
      <w:pPr>
        <w:suppressAutoHyphens w:val="0"/>
        <w:overflowPunct/>
        <w:jc w:val="both"/>
        <w:rPr>
          <w:rFonts w:eastAsia="Times New Roman"/>
        </w:rPr>
      </w:pPr>
      <w:r w:rsidRPr="00E93946">
        <w:t>Suruvesiniku mahutit, välja arvatud balloonikogumeid, mille geomeetriline maht on väiksem kui 1 m</w:t>
      </w:r>
      <w:r w:rsidRPr="00E93946">
        <w:rPr>
          <w:vertAlign w:val="superscript"/>
        </w:rPr>
        <w:t>3</w:t>
      </w:r>
      <w:r w:rsidRPr="00E93946">
        <w:t>, kaitstakse ka sprinklerjahutussüsteemidega.</w:t>
      </w:r>
    </w:p>
    <w:p w14:paraId="2E705C86" w14:textId="77777777" w:rsidR="00AC6BE3" w:rsidRPr="00E93946" w:rsidRDefault="00AC6BE3" w:rsidP="00AC6BE3">
      <w:pPr>
        <w:suppressAutoHyphens w:val="0"/>
        <w:overflowPunct/>
        <w:jc w:val="both"/>
        <w:rPr>
          <w:rFonts w:eastAsia="Times New Roman"/>
          <w:lang w:eastAsia="it-IT"/>
        </w:rPr>
      </w:pPr>
    </w:p>
    <w:p w14:paraId="279A3A74" w14:textId="77777777" w:rsidR="00AC6BE3" w:rsidRPr="00E93946" w:rsidRDefault="00AC6BE3" w:rsidP="00AC6BE3">
      <w:pPr>
        <w:suppressAutoHyphens w:val="0"/>
        <w:overflowPunct/>
        <w:spacing w:after="120"/>
        <w:jc w:val="both"/>
        <w:rPr>
          <w:rFonts w:eastAsia="Times New Roman"/>
          <w:b/>
          <w:bCs/>
        </w:rPr>
      </w:pPr>
      <w:r w:rsidRPr="00E93946">
        <w:rPr>
          <w:b/>
        </w:rPr>
        <w:t>17. Tulekustutid</w:t>
      </w:r>
    </w:p>
    <w:p w14:paraId="62C12957" w14:textId="77777777" w:rsidR="00AC6BE3" w:rsidRPr="00E93946" w:rsidRDefault="00AC6BE3" w:rsidP="00AC6BE3">
      <w:pPr>
        <w:suppressAutoHyphens w:val="0"/>
        <w:overflowPunct/>
        <w:jc w:val="both"/>
        <w:rPr>
          <w:rFonts w:eastAsia="Times New Roman"/>
        </w:rPr>
      </w:pPr>
      <w:r w:rsidRPr="00E93946">
        <w:t>Tulekahju puhkemise viivitamatuks kustutamiseks paigaldatakse piisaval arvul tulekustutid, mille minimaalne kustutusmaht on vähemalt 27A 89B ja mille minimaalne koormus on vähemalt 6 kg või 6 liitrit, et tagada maksimaalne saavutatav kaugus 20 m.</w:t>
      </w:r>
    </w:p>
    <w:p w14:paraId="275BC719" w14:textId="77777777" w:rsidR="00AC6BE3" w:rsidRPr="00E93946" w:rsidRDefault="00AC6BE3" w:rsidP="00AC6BE3">
      <w:pPr>
        <w:suppressAutoHyphens w:val="0"/>
        <w:overflowPunct/>
        <w:jc w:val="both"/>
        <w:rPr>
          <w:rFonts w:eastAsia="Times New Roman"/>
        </w:rPr>
      </w:pPr>
      <w:r w:rsidRPr="00E93946">
        <w:t>Tuleohu hindamise tulemusena paigaldatakse tulekustutid muude eririskide jaoks, mis paigutatakse riskiallikatest sobivalt kuni 15 meetri kaugusele.</w:t>
      </w:r>
    </w:p>
    <w:p w14:paraId="06F1D16B" w14:textId="77777777" w:rsidR="00AC6BE3" w:rsidRPr="00E93946" w:rsidRDefault="00AC6BE3" w:rsidP="00AC6BE3">
      <w:pPr>
        <w:suppressAutoHyphens w:val="0"/>
        <w:overflowPunct/>
        <w:jc w:val="both"/>
        <w:rPr>
          <w:rFonts w:eastAsia="Times New Roman"/>
        </w:rPr>
      </w:pPr>
      <w:r w:rsidRPr="00E93946">
        <w:t>Tulekustutid peavad alati olema koheseks kasutamiseks kättesaadavad, nii et need tuleb paigutada:</w:t>
      </w:r>
    </w:p>
    <w:p w14:paraId="05FBA65B" w14:textId="77777777" w:rsidR="00AC6BE3" w:rsidRPr="00E93946" w:rsidRDefault="00AC6BE3" w:rsidP="00AC6BE3">
      <w:pPr>
        <w:numPr>
          <w:ilvl w:val="0"/>
          <w:numId w:val="40"/>
        </w:numPr>
        <w:suppressAutoHyphens w:val="0"/>
        <w:overflowPunct/>
        <w:spacing w:after="160" w:line="259" w:lineRule="auto"/>
        <w:contextualSpacing/>
        <w:jc w:val="both"/>
        <w:rPr>
          <w:rFonts w:eastAsia="Times New Roman"/>
        </w:rPr>
      </w:pPr>
      <w:r w:rsidRPr="00E93946">
        <w:t>kergesti nähtavas ja juurdepääsetavas kohas ruumide, põrandate või hoone väljapääsude lähedal asuvate evakuatsiooniteede äärde;</w:t>
      </w:r>
    </w:p>
    <w:p w14:paraId="2229922E" w14:textId="77777777" w:rsidR="00AC6BE3" w:rsidRPr="00E93946" w:rsidRDefault="00AC6BE3" w:rsidP="00AC6BE3">
      <w:pPr>
        <w:numPr>
          <w:ilvl w:val="0"/>
          <w:numId w:val="40"/>
        </w:numPr>
        <w:suppressAutoHyphens w:val="0"/>
        <w:overflowPunct/>
        <w:spacing w:after="160" w:line="259" w:lineRule="auto"/>
        <w:contextualSpacing/>
        <w:jc w:val="both"/>
        <w:rPr>
          <w:rFonts w:eastAsia="Times New Roman"/>
        </w:rPr>
      </w:pPr>
      <w:r w:rsidRPr="00E93946">
        <w:t>mis tahes konkreetse ohupiirkonna lähedusse.</w:t>
      </w:r>
    </w:p>
    <w:p w14:paraId="2FD9AD21" w14:textId="77777777" w:rsidR="00AC6BE3" w:rsidRPr="00E93946" w:rsidRDefault="00AC6BE3" w:rsidP="00AC6BE3">
      <w:pPr>
        <w:suppressAutoHyphens w:val="0"/>
        <w:overflowPunct/>
        <w:jc w:val="both"/>
        <w:rPr>
          <w:rFonts w:eastAsia="Times New Roman"/>
        </w:rPr>
      </w:pPr>
      <w:r w:rsidRPr="00E93946">
        <w:t>Siseruumides asuvates töökohtades tuleks A- või B-klassi tulekahju tekkides kasutada veepõhiseid tulekustuteid (veetulekustutid).</w:t>
      </w:r>
    </w:p>
    <w:p w14:paraId="4CD38A3A" w14:textId="77777777" w:rsidR="00AC6BE3" w:rsidRPr="00E93946" w:rsidRDefault="00AC6BE3" w:rsidP="00AC6BE3">
      <w:pPr>
        <w:suppressAutoHyphens w:val="0"/>
        <w:overflowPunct/>
        <w:jc w:val="both"/>
        <w:rPr>
          <w:rFonts w:eastAsia="Times New Roman"/>
        </w:rPr>
      </w:pPr>
      <w:r w:rsidRPr="00E93946">
        <w:lastRenderedPageBreak/>
        <w:t>Kui kavandatakse tulekustutite kasutamist kõrgepingelistel elektriseadmetel või -seadmestikel, tuleb selleks otstarbeks paigaldada asjakohased tulekustutid.</w:t>
      </w:r>
    </w:p>
    <w:p w14:paraId="6A6AB899" w14:textId="77777777" w:rsidR="00AC6BE3" w:rsidRPr="00E93946" w:rsidRDefault="00AC6BE3" w:rsidP="00AC6BE3">
      <w:pPr>
        <w:suppressAutoHyphens w:val="0"/>
        <w:overflowPunct/>
        <w:jc w:val="both"/>
        <w:rPr>
          <w:rFonts w:eastAsia="Times New Roman"/>
          <w:lang w:eastAsia="it-IT"/>
        </w:rPr>
      </w:pPr>
    </w:p>
    <w:p w14:paraId="1B38A425" w14:textId="77777777" w:rsidR="00AC6BE3" w:rsidRPr="00E93946" w:rsidRDefault="00AC6BE3" w:rsidP="00AC6BE3">
      <w:pPr>
        <w:suppressAutoHyphens w:val="0"/>
        <w:overflowPunct/>
        <w:spacing w:after="120"/>
        <w:jc w:val="both"/>
        <w:rPr>
          <w:rFonts w:eastAsia="Times New Roman"/>
        </w:rPr>
      </w:pPr>
      <w:r w:rsidRPr="00E93946">
        <w:rPr>
          <w:b/>
        </w:rPr>
        <w:t>18. Avariisüsteem (ESS).</w:t>
      </w:r>
    </w:p>
    <w:p w14:paraId="66FDDBC2" w14:textId="77777777" w:rsidR="00AC6BE3" w:rsidRPr="00E93946" w:rsidRDefault="00AC6BE3" w:rsidP="00AC6BE3">
      <w:pPr>
        <w:suppressAutoHyphens w:val="0"/>
        <w:overflowPunct/>
        <w:jc w:val="both"/>
        <w:rPr>
          <w:rFonts w:eastAsia="Times New Roman"/>
        </w:rPr>
      </w:pPr>
      <w:r w:rsidRPr="00E93946">
        <w:t>18.1 Tootmisjaam peab olema varustatud hädaseiskamissüsteemiga (ESS), mis peatab tõsise ja vahetu ohu korral viivitamata jaama ohtlikele elementidele elektri tarnimise ning seda ei saa deaktiveerida üksnes protsessi juhtimissüsteemide sekkumisega.</w:t>
      </w:r>
    </w:p>
    <w:p w14:paraId="33E483C9" w14:textId="77777777" w:rsidR="00AC6BE3" w:rsidRPr="00E93946" w:rsidRDefault="00AC6BE3" w:rsidP="00AC6BE3">
      <w:pPr>
        <w:suppressAutoHyphens w:val="0"/>
        <w:overflowPunct/>
        <w:jc w:val="both"/>
        <w:rPr>
          <w:rFonts w:eastAsia="Times New Roman"/>
        </w:rPr>
      </w:pPr>
      <w:r w:rsidRPr="00E93946">
        <w:t xml:space="preserve">Euroopa statistikasüsteemi võib aktiveerida pärast punktis 15 osutatud automaatsete tuvastussüsteemide või tulekahju avastamis- ja häiresüsteemi sekkumist. Igal juhul on avariilülitid (hädaolukorra sulgemisseade, ESD), käsitsi lähtestatud, paigutatud jaama ohtlike elementide lähedale. </w:t>
      </w:r>
    </w:p>
    <w:p w14:paraId="60A0757B" w14:textId="77777777" w:rsidR="00AC6BE3" w:rsidRPr="00E93946" w:rsidRDefault="00AC6BE3" w:rsidP="00AC6BE3">
      <w:pPr>
        <w:suppressAutoHyphens w:val="0"/>
        <w:overflowPunct/>
        <w:spacing w:line="276" w:lineRule="auto"/>
        <w:jc w:val="both"/>
        <w:rPr>
          <w:rFonts w:eastAsia="Times New Roman"/>
        </w:rPr>
      </w:pPr>
      <w:r w:rsidRPr="00E93946">
        <w:t>Hädaseiskamissüsteem sekkub vähemalt järgmistel juhtudel:</w:t>
      </w:r>
    </w:p>
    <w:p w14:paraId="06C7EA1F" w14:textId="77777777" w:rsidR="00AC6BE3" w:rsidRPr="00E93946" w:rsidRDefault="00AC6BE3" w:rsidP="00AC6BE3">
      <w:pPr>
        <w:numPr>
          <w:ilvl w:val="0"/>
          <w:numId w:val="38"/>
        </w:numPr>
        <w:suppressAutoHyphens w:val="0"/>
        <w:overflowPunct/>
        <w:ind w:left="426" w:hanging="426"/>
        <w:jc w:val="both"/>
        <w:rPr>
          <w:rFonts w:eastAsia="Times New Roman"/>
          <w:sz w:val="20"/>
          <w:szCs w:val="20"/>
        </w:rPr>
      </w:pPr>
      <w:r w:rsidRPr="00E93946">
        <w:t>vesiniku kontsentratsioon atmosfääris on vähemalt 1 % mahust;</w:t>
      </w:r>
    </w:p>
    <w:p w14:paraId="3E6D5318" w14:textId="77777777" w:rsidR="00AC6BE3" w:rsidRPr="00E93946" w:rsidRDefault="00AC6BE3" w:rsidP="00AC6BE3">
      <w:pPr>
        <w:numPr>
          <w:ilvl w:val="0"/>
          <w:numId w:val="38"/>
        </w:numPr>
        <w:suppressAutoHyphens w:val="0"/>
        <w:overflowPunct/>
        <w:ind w:left="426" w:hanging="426"/>
        <w:jc w:val="both"/>
        <w:rPr>
          <w:rFonts w:eastAsia="Times New Roman"/>
          <w:sz w:val="20"/>
          <w:szCs w:val="20"/>
        </w:rPr>
      </w:pPr>
      <w:r w:rsidRPr="00E93946">
        <w:t>tulekahjuhäire aktiveerib tulekahju avastamis- ja häiresüsteem;</w:t>
      </w:r>
    </w:p>
    <w:p w14:paraId="0319A387" w14:textId="77777777" w:rsidR="00AC6BE3" w:rsidRPr="00E93946" w:rsidRDefault="00AC6BE3" w:rsidP="00AC6BE3">
      <w:pPr>
        <w:numPr>
          <w:ilvl w:val="0"/>
          <w:numId w:val="38"/>
        </w:numPr>
        <w:suppressAutoHyphens w:val="0"/>
        <w:overflowPunct/>
        <w:ind w:left="426" w:hanging="426"/>
        <w:jc w:val="both"/>
        <w:rPr>
          <w:rFonts w:eastAsia="Times New Roman"/>
          <w:sz w:val="20"/>
          <w:szCs w:val="20"/>
        </w:rPr>
      </w:pPr>
      <w:r w:rsidRPr="00E93946">
        <w:t>mehaanilise ventilatsiooni peatamine või puudumine elektrolüüsiruumis või kui voolukiirus on alla 75 % kavandatud vooluhulgast;</w:t>
      </w:r>
    </w:p>
    <w:p w14:paraId="09A3236D" w14:textId="77777777" w:rsidR="00AC6BE3" w:rsidRPr="00E93946" w:rsidRDefault="00AC6BE3" w:rsidP="00AC6BE3">
      <w:pPr>
        <w:numPr>
          <w:ilvl w:val="0"/>
          <w:numId w:val="38"/>
        </w:numPr>
        <w:suppressAutoHyphens w:val="0"/>
        <w:overflowPunct/>
        <w:ind w:left="426" w:hanging="426"/>
        <w:jc w:val="both"/>
        <w:rPr>
          <w:rFonts w:eastAsia="Times New Roman"/>
          <w:sz w:val="20"/>
          <w:szCs w:val="20"/>
        </w:rPr>
      </w:pPr>
      <w:r w:rsidRPr="00E93946">
        <w:t>aktiveeritakse hädaolukorra sulgemisseadme avariilüliti;</w:t>
      </w:r>
    </w:p>
    <w:p w14:paraId="5292B49C" w14:textId="77777777" w:rsidR="00AC6BE3" w:rsidRPr="00E93946" w:rsidRDefault="00AC6BE3" w:rsidP="00AC6BE3">
      <w:pPr>
        <w:numPr>
          <w:ilvl w:val="0"/>
          <w:numId w:val="38"/>
        </w:numPr>
        <w:suppressAutoHyphens w:val="0"/>
        <w:overflowPunct/>
        <w:ind w:left="426" w:hanging="426"/>
        <w:jc w:val="both"/>
        <w:rPr>
          <w:rFonts w:eastAsia="Times New Roman"/>
          <w:sz w:val="20"/>
          <w:szCs w:val="20"/>
        </w:rPr>
      </w:pPr>
      <w:r w:rsidRPr="00E93946">
        <w:t>elektrolüüsivannides (korstnas) on hapniku ja vesiniku vahel rõhu vahe, mis ületab tootja poolt kindlaksmääratud piirväärtusi;</w:t>
      </w:r>
    </w:p>
    <w:p w14:paraId="6127B55A" w14:textId="77777777" w:rsidR="00AC6BE3" w:rsidRPr="00E93946" w:rsidRDefault="00AC6BE3" w:rsidP="00AC6BE3">
      <w:pPr>
        <w:numPr>
          <w:ilvl w:val="0"/>
          <w:numId w:val="38"/>
        </w:numPr>
        <w:suppressAutoHyphens w:val="0"/>
        <w:overflowPunct/>
        <w:ind w:left="426" w:hanging="426"/>
        <w:jc w:val="both"/>
        <w:rPr>
          <w:rFonts w:eastAsia="Times New Roman"/>
          <w:sz w:val="20"/>
          <w:szCs w:val="20"/>
        </w:rPr>
      </w:pPr>
      <w:r w:rsidRPr="00E93946">
        <w:t>kompressorite kõrge rõhk ja kõrge temperatuuri väljund;</w:t>
      </w:r>
    </w:p>
    <w:p w14:paraId="4B6535CE" w14:textId="77777777" w:rsidR="00AC6BE3" w:rsidRPr="00E93946" w:rsidRDefault="00AC6BE3" w:rsidP="00AC6BE3">
      <w:pPr>
        <w:numPr>
          <w:ilvl w:val="0"/>
          <w:numId w:val="38"/>
        </w:numPr>
        <w:suppressAutoHyphens w:val="0"/>
        <w:overflowPunct/>
        <w:ind w:left="426" w:hanging="426"/>
        <w:jc w:val="both"/>
        <w:rPr>
          <w:rFonts w:eastAsia="Times New Roman"/>
          <w:sz w:val="20"/>
          <w:szCs w:val="20"/>
        </w:rPr>
      </w:pPr>
      <w:r w:rsidRPr="00E93946">
        <w:t>madal sisselaskerõhk kompressori sisselaskeavades.</w:t>
      </w:r>
    </w:p>
    <w:p w14:paraId="04CE0033" w14:textId="77777777" w:rsidR="00AC6BE3" w:rsidRPr="00E93946" w:rsidRDefault="00AC6BE3" w:rsidP="00AC6BE3">
      <w:pPr>
        <w:suppressAutoHyphens w:val="0"/>
        <w:overflowPunct/>
        <w:jc w:val="both"/>
        <w:rPr>
          <w:rFonts w:eastAsia="Times New Roman"/>
          <w:lang w:eastAsia="it-IT"/>
        </w:rPr>
      </w:pPr>
    </w:p>
    <w:p w14:paraId="6DEA4844" w14:textId="77777777" w:rsidR="00AC6BE3" w:rsidRPr="00E93946" w:rsidRDefault="00AC6BE3" w:rsidP="00AC6BE3">
      <w:pPr>
        <w:suppressAutoHyphens w:val="0"/>
        <w:overflowPunct/>
        <w:jc w:val="both"/>
        <w:rPr>
          <w:rFonts w:eastAsia="Times New Roman"/>
        </w:rPr>
      </w:pPr>
      <w:r w:rsidRPr="00E93946">
        <w:t xml:space="preserve">18.2 Pärast aktiveerimist peab hädaseiskamissüsteemil olema vähemalt järgmised funktsioonid: </w:t>
      </w:r>
    </w:p>
    <w:p w14:paraId="4FE34B31" w14:textId="77777777" w:rsidR="00AC6BE3" w:rsidRPr="00E93946" w:rsidRDefault="00AC6BE3" w:rsidP="00AC6BE3">
      <w:pPr>
        <w:numPr>
          <w:ilvl w:val="0"/>
          <w:numId w:val="27"/>
        </w:numPr>
        <w:suppressAutoHyphens w:val="0"/>
        <w:overflowPunct/>
        <w:spacing w:line="276" w:lineRule="auto"/>
        <w:jc w:val="both"/>
        <w:rPr>
          <w:rFonts w:eastAsia="Times New Roman"/>
          <w:sz w:val="20"/>
          <w:szCs w:val="20"/>
        </w:rPr>
      </w:pPr>
      <w:r w:rsidRPr="00E93946">
        <w:t>peatada vesiniku (elektrolüüsija) tootmine;</w:t>
      </w:r>
    </w:p>
    <w:p w14:paraId="5DC8859E" w14:textId="77777777" w:rsidR="00AC6BE3" w:rsidRPr="00E93946" w:rsidRDefault="00AC6BE3" w:rsidP="00AC6BE3">
      <w:pPr>
        <w:numPr>
          <w:ilvl w:val="0"/>
          <w:numId w:val="27"/>
        </w:numPr>
        <w:suppressAutoHyphens w:val="0"/>
        <w:overflowPunct/>
        <w:jc w:val="both"/>
        <w:rPr>
          <w:rFonts w:eastAsia="Times New Roman"/>
          <w:sz w:val="20"/>
          <w:szCs w:val="20"/>
        </w:rPr>
      </w:pPr>
      <w:r w:rsidRPr="00E93946">
        <w:t>alandada rõhu all olevate vesinikku sisaldavate seadmete rõhku, toimetades need ohutusse kohta, välja arvatud balloonivagunid ja ladustamine üldiselt;</w:t>
      </w:r>
    </w:p>
    <w:p w14:paraId="70BAF109" w14:textId="77777777" w:rsidR="00AC6BE3" w:rsidRPr="00E93946" w:rsidRDefault="00AC6BE3" w:rsidP="00AC6BE3">
      <w:pPr>
        <w:numPr>
          <w:ilvl w:val="0"/>
          <w:numId w:val="27"/>
        </w:numPr>
        <w:suppressAutoHyphens w:val="0"/>
        <w:overflowPunct/>
        <w:jc w:val="both"/>
        <w:rPr>
          <w:rFonts w:eastAsia="Times New Roman"/>
          <w:sz w:val="20"/>
          <w:szCs w:val="20"/>
        </w:rPr>
      </w:pPr>
      <w:r w:rsidRPr="00E93946">
        <w:t xml:space="preserve">täielikult isoleerida laadimiskohti varustavad torud; </w:t>
      </w:r>
    </w:p>
    <w:p w14:paraId="4EBDE306" w14:textId="77777777" w:rsidR="00AC6BE3" w:rsidRPr="00E93946" w:rsidRDefault="00AC6BE3" w:rsidP="00AC6BE3">
      <w:pPr>
        <w:numPr>
          <w:ilvl w:val="0"/>
          <w:numId w:val="27"/>
        </w:numPr>
        <w:suppressAutoHyphens w:val="0"/>
        <w:overflowPunct/>
        <w:jc w:val="both"/>
        <w:rPr>
          <w:rFonts w:eastAsia="Times New Roman"/>
          <w:sz w:val="20"/>
          <w:szCs w:val="20"/>
        </w:rPr>
      </w:pPr>
      <w:r w:rsidRPr="00E93946">
        <w:t xml:space="preserve">isoleerida madala rõhu toru täielikult imemisseadmest ja kompressori väljalasketorust; </w:t>
      </w:r>
    </w:p>
    <w:p w14:paraId="65BB47A7" w14:textId="77777777" w:rsidR="00AC6BE3" w:rsidRPr="00E93946" w:rsidRDefault="00AC6BE3" w:rsidP="00AC6BE3">
      <w:pPr>
        <w:numPr>
          <w:ilvl w:val="0"/>
          <w:numId w:val="27"/>
        </w:numPr>
        <w:suppressAutoHyphens w:val="0"/>
        <w:overflowPunct/>
        <w:jc w:val="both"/>
        <w:rPr>
          <w:rFonts w:eastAsia="Times New Roman"/>
          <w:sz w:val="20"/>
          <w:szCs w:val="20"/>
        </w:rPr>
      </w:pPr>
      <w:r w:rsidRPr="00E93946">
        <w:t xml:space="preserve">isoleerida täielikult ladustamiskoha; </w:t>
      </w:r>
    </w:p>
    <w:p w14:paraId="5CB8AFC7" w14:textId="77777777" w:rsidR="00AC6BE3" w:rsidRPr="00E93946" w:rsidRDefault="00AC6BE3" w:rsidP="00AC6BE3">
      <w:pPr>
        <w:numPr>
          <w:ilvl w:val="0"/>
          <w:numId w:val="27"/>
        </w:numPr>
        <w:suppressAutoHyphens w:val="0"/>
        <w:overflowPunct/>
        <w:spacing w:line="276" w:lineRule="auto"/>
        <w:jc w:val="both"/>
        <w:rPr>
          <w:rFonts w:eastAsia="Times New Roman"/>
          <w:sz w:val="20"/>
          <w:szCs w:val="20"/>
        </w:rPr>
      </w:pPr>
      <w:r w:rsidRPr="00E93946">
        <w:t>katkestada jaama elektriahel ja lisapaigaldised, välja arvatud ohutussüsteeme varustavad liinid.</w:t>
      </w:r>
    </w:p>
    <w:p w14:paraId="343C4487" w14:textId="77777777" w:rsidR="00AC6BE3" w:rsidRPr="00E93946" w:rsidRDefault="00AC6BE3" w:rsidP="00AC6BE3">
      <w:pPr>
        <w:suppressAutoHyphens w:val="0"/>
        <w:overflowPunct/>
        <w:jc w:val="both"/>
        <w:rPr>
          <w:rFonts w:eastAsia="Times New Roman"/>
          <w:highlight w:val="lightGray"/>
        </w:rPr>
      </w:pPr>
      <w:r w:rsidRPr="00E93946">
        <w:t>Hädaseiskamissüsteemi peab olema varustatud lukustusseadmetega, mis nõuavad vesiniku tootmise tahtlikku taaskäivitamist. Igal juhul peab süsteem olema projekteeritud nii, et see ei tekitaks taaskäivituse ajal ohtu.</w:t>
      </w:r>
    </w:p>
    <w:p w14:paraId="071DC3B7" w14:textId="05E5B807" w:rsidR="00AC6BE3" w:rsidRPr="00E93946" w:rsidRDefault="00AC6BE3">
      <w:pPr>
        <w:suppressAutoHyphens w:val="0"/>
        <w:overflowPunct/>
        <w:rPr>
          <w:rFonts w:eastAsia="Times New Roman"/>
        </w:rPr>
      </w:pPr>
      <w:r w:rsidRPr="00E93946">
        <w:br w:type="page"/>
      </w:r>
    </w:p>
    <w:p w14:paraId="1BEA00B3" w14:textId="77777777" w:rsidR="00AC6BE3" w:rsidRPr="00E93946" w:rsidRDefault="00AC6BE3" w:rsidP="00AC6BE3">
      <w:pPr>
        <w:suppressAutoHyphens w:val="0"/>
        <w:overflowPunct/>
        <w:jc w:val="center"/>
        <w:rPr>
          <w:rFonts w:eastAsia="Times New Roman"/>
          <w:lang w:eastAsia="it-IT"/>
        </w:rPr>
      </w:pPr>
    </w:p>
    <w:p w14:paraId="7B2995DC" w14:textId="77777777" w:rsidR="00AC6BE3" w:rsidRPr="00E93946" w:rsidRDefault="00AC6BE3" w:rsidP="00AC6BE3">
      <w:pPr>
        <w:suppressAutoHyphens w:val="0"/>
        <w:overflowPunct/>
        <w:jc w:val="center"/>
        <w:rPr>
          <w:rFonts w:eastAsia="Times New Roman"/>
        </w:rPr>
      </w:pPr>
      <w:r w:rsidRPr="00E93946">
        <w:rPr>
          <w:b/>
        </w:rPr>
        <w:t>IV jaotis – Ohutud vahekaugused</w:t>
      </w:r>
    </w:p>
    <w:p w14:paraId="05671A07" w14:textId="77777777" w:rsidR="00AC6BE3" w:rsidRPr="00E93946" w:rsidRDefault="00AC6BE3" w:rsidP="00AC6BE3">
      <w:pPr>
        <w:suppressAutoHyphens w:val="0"/>
        <w:overflowPunct/>
        <w:jc w:val="center"/>
        <w:rPr>
          <w:rFonts w:eastAsia="Times New Roman"/>
          <w:lang w:eastAsia="it-IT"/>
        </w:rPr>
      </w:pPr>
    </w:p>
    <w:p w14:paraId="5F5E30D1" w14:textId="77777777" w:rsidR="00AC6BE3" w:rsidRPr="00E93946" w:rsidRDefault="00AC6BE3" w:rsidP="00AC6BE3">
      <w:pPr>
        <w:suppressAutoHyphens w:val="0"/>
        <w:overflowPunct/>
        <w:jc w:val="both"/>
        <w:rPr>
          <w:rFonts w:eastAsia="Times New Roman"/>
        </w:rPr>
      </w:pPr>
      <w:r w:rsidRPr="00E93946">
        <w:rPr>
          <w:b/>
        </w:rPr>
        <w:t>19.1 Ohutud vahekaugused.</w:t>
      </w:r>
    </w:p>
    <w:p w14:paraId="3B83BD8F" w14:textId="77777777" w:rsidR="00AC6BE3" w:rsidRPr="00E93946" w:rsidRDefault="00AC6BE3" w:rsidP="00AC6BE3">
      <w:pPr>
        <w:suppressAutoHyphens w:val="0"/>
        <w:overflowPunct/>
        <w:jc w:val="both"/>
        <w:rPr>
          <w:rFonts w:eastAsia="Times New Roman"/>
        </w:rPr>
      </w:pPr>
      <w:r w:rsidRPr="00E93946">
        <w:t>Konstruktsioon peab vastama järgmistele ohututele vahekaugustele:</w:t>
      </w:r>
    </w:p>
    <w:p w14:paraId="480BE58D" w14:textId="77777777" w:rsidR="00AC6BE3" w:rsidRPr="00E93946" w:rsidRDefault="00AC6BE3" w:rsidP="00AC6BE3">
      <w:pPr>
        <w:suppressAutoHyphens w:val="0"/>
        <w:overflowPunct/>
        <w:jc w:val="both"/>
        <w:rPr>
          <w:rFonts w:eastAsia="Times New Roman"/>
          <w:lang w:eastAsia="it-IT"/>
        </w:rPr>
      </w:pPr>
    </w:p>
    <w:p w14:paraId="0B721A75" w14:textId="77777777" w:rsidR="00AC6BE3" w:rsidRPr="00E93946" w:rsidRDefault="00AC6BE3" w:rsidP="00AC6BE3">
      <w:pPr>
        <w:numPr>
          <w:ilvl w:val="0"/>
          <w:numId w:val="35"/>
        </w:numPr>
        <w:suppressAutoHyphens w:val="0"/>
        <w:overflowPunct/>
        <w:jc w:val="both"/>
        <w:rPr>
          <w:rFonts w:eastAsia="Times New Roman"/>
          <w:sz w:val="20"/>
          <w:szCs w:val="20"/>
        </w:rPr>
      </w:pPr>
      <w:r w:rsidRPr="00E93946">
        <w:t>Jaama ohtlikud elemendid.</w:t>
      </w:r>
    </w:p>
    <w:p w14:paraId="336DB1E1" w14:textId="77777777" w:rsidR="00AC6BE3" w:rsidRPr="00E93946" w:rsidRDefault="00AC6BE3" w:rsidP="00AC6BE3">
      <w:pPr>
        <w:suppressAutoHyphens w:val="0"/>
        <w:overflowPunct/>
        <w:ind w:right="-143"/>
        <w:jc w:val="both"/>
        <w:rPr>
          <w:rFonts w:eastAsia="Times New Roman"/>
          <w:lang w:eastAsia="it-IT"/>
        </w:rPr>
      </w:pPr>
    </w:p>
    <w:tbl>
      <w:tblPr>
        <w:tblW w:w="9912" w:type="dxa"/>
        <w:tblInd w:w="-70" w:type="dxa"/>
        <w:tblLayout w:type="fixed"/>
        <w:tblLook w:val="0000" w:firstRow="0" w:lastRow="0" w:firstColumn="0" w:lastColumn="0" w:noHBand="0" w:noVBand="0"/>
      </w:tblPr>
      <w:tblGrid>
        <w:gridCol w:w="2192"/>
        <w:gridCol w:w="71"/>
        <w:gridCol w:w="2551"/>
        <w:gridCol w:w="2410"/>
        <w:gridCol w:w="2452"/>
        <w:gridCol w:w="236"/>
      </w:tblGrid>
      <w:tr w:rsidR="00AC6BE3" w:rsidRPr="00E93946" w14:paraId="3609F183" w14:textId="77777777" w:rsidTr="0076430F">
        <w:trPr>
          <w:gridAfter w:val="1"/>
          <w:wAfter w:w="236" w:type="dxa"/>
          <w:trHeight w:val="315"/>
        </w:trPr>
        <w:tc>
          <w:tcPr>
            <w:tcW w:w="2192" w:type="dxa"/>
            <w:tcBorders>
              <w:top w:val="single" w:sz="4" w:space="0" w:color="000000"/>
              <w:left w:val="single" w:sz="4" w:space="0" w:color="000000"/>
            </w:tcBorders>
            <w:shd w:val="clear" w:color="auto" w:fill="D9D9D9"/>
            <w:vAlign w:val="center"/>
          </w:tcPr>
          <w:p w14:paraId="4BF6F843" w14:textId="4F61475B" w:rsidR="00AC6BE3" w:rsidRPr="00E93946" w:rsidRDefault="00AC6BE3" w:rsidP="00AC6BE3">
            <w:pPr>
              <w:widowControl w:val="0"/>
              <w:suppressAutoHyphens w:val="0"/>
              <w:overflowPunct/>
              <w:jc w:val="center"/>
              <w:rPr>
                <w:rFonts w:eastAsia="Times New Roman"/>
                <w:b/>
              </w:rPr>
            </w:pPr>
            <w:r w:rsidRPr="00E93946">
              <w:rPr>
                <w:b/>
              </w:rPr>
              <w:t>VESINIKU RÕHK</w:t>
            </w:r>
          </w:p>
          <w:p w14:paraId="5C9F040B" w14:textId="77777777" w:rsidR="00AC6BE3" w:rsidRPr="00E93946" w:rsidRDefault="00AC6BE3" w:rsidP="00AC6BE3">
            <w:pPr>
              <w:widowControl w:val="0"/>
              <w:suppressAutoHyphens w:val="0"/>
              <w:overflowPunct/>
              <w:jc w:val="center"/>
              <w:rPr>
                <w:rFonts w:eastAsia="Times New Roman"/>
                <w:b/>
              </w:rPr>
            </w:pPr>
            <w:r w:rsidRPr="00E93946">
              <w:rPr>
                <w:b/>
                <w:sz w:val="22"/>
              </w:rPr>
              <w:t>(barg)</w:t>
            </w:r>
          </w:p>
        </w:tc>
        <w:tc>
          <w:tcPr>
            <w:tcW w:w="7484"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5B6B14CD" w14:textId="77777777" w:rsidR="00AC6BE3" w:rsidRPr="00E93946" w:rsidRDefault="00AC6BE3" w:rsidP="00AC6BE3">
            <w:pPr>
              <w:widowControl w:val="0"/>
              <w:suppressAutoHyphens w:val="0"/>
              <w:overflowPunct/>
              <w:jc w:val="center"/>
              <w:rPr>
                <w:rFonts w:eastAsia="Times New Roman"/>
                <w:b/>
                <w:sz w:val="22"/>
                <w:szCs w:val="22"/>
              </w:rPr>
            </w:pPr>
            <w:r w:rsidRPr="00E93946">
              <w:rPr>
                <w:b/>
                <w:sz w:val="22"/>
              </w:rPr>
              <w:t>OHUTUD VAHEKAUGUSED (m)</w:t>
            </w:r>
          </w:p>
        </w:tc>
      </w:tr>
      <w:tr w:rsidR="00AC6BE3" w:rsidRPr="00E93946" w14:paraId="0BA7D8F6" w14:textId="77777777" w:rsidTr="0076430F">
        <w:trPr>
          <w:trHeight w:val="58"/>
        </w:trPr>
        <w:tc>
          <w:tcPr>
            <w:tcW w:w="2263" w:type="dxa"/>
            <w:gridSpan w:val="2"/>
            <w:vMerge w:val="restart"/>
            <w:tcBorders>
              <w:top w:val="single" w:sz="4" w:space="0" w:color="000000"/>
              <w:left w:val="single" w:sz="4" w:space="0" w:color="000000"/>
            </w:tcBorders>
            <w:shd w:val="clear" w:color="auto" w:fill="D9D9D9"/>
            <w:vAlign w:val="center"/>
          </w:tcPr>
          <w:p w14:paraId="3682FDCA" w14:textId="77777777" w:rsidR="00AC6BE3" w:rsidRPr="00E93946" w:rsidRDefault="00AC6BE3" w:rsidP="00AC6BE3">
            <w:pPr>
              <w:widowControl w:val="0"/>
              <w:suppressAutoHyphens w:val="0"/>
              <w:overflowPunct/>
              <w:spacing w:line="276" w:lineRule="auto"/>
              <w:rPr>
                <w:rFonts w:eastAsia="Times New Roman"/>
                <w:b/>
                <w:sz w:val="22"/>
                <w:szCs w:val="22"/>
                <w:lang w:eastAsia="it-IT"/>
              </w:rPr>
            </w:pPr>
          </w:p>
        </w:tc>
        <w:tc>
          <w:tcPr>
            <w:tcW w:w="7413"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5A4F07FF" w14:textId="77777777" w:rsidR="00AC6BE3" w:rsidRPr="00E93946" w:rsidRDefault="00AC6BE3" w:rsidP="00AC6BE3">
            <w:pPr>
              <w:widowControl w:val="0"/>
              <w:suppressAutoHyphens w:val="0"/>
              <w:overflowPunct/>
              <w:spacing w:line="276" w:lineRule="auto"/>
              <w:ind w:right="-246"/>
              <w:rPr>
                <w:rFonts w:eastAsia="Times New Roman"/>
                <w:b/>
                <w:sz w:val="22"/>
                <w:szCs w:val="22"/>
                <w:lang w:eastAsia="it-IT"/>
              </w:rPr>
            </w:pPr>
          </w:p>
        </w:tc>
        <w:tc>
          <w:tcPr>
            <w:tcW w:w="236" w:type="dxa"/>
            <w:vAlign w:val="bottom"/>
          </w:tcPr>
          <w:p w14:paraId="24F2A4C5" w14:textId="77777777" w:rsidR="00AC6BE3" w:rsidRPr="00E93946" w:rsidRDefault="00AC6BE3" w:rsidP="00AC6BE3">
            <w:pPr>
              <w:widowControl w:val="0"/>
              <w:suppressAutoHyphens w:val="0"/>
              <w:overflowPunct/>
              <w:jc w:val="center"/>
              <w:rPr>
                <w:rFonts w:eastAsia="Times New Roman"/>
                <w:b/>
                <w:sz w:val="22"/>
                <w:szCs w:val="22"/>
                <w:lang w:eastAsia="it-IT"/>
              </w:rPr>
            </w:pPr>
          </w:p>
        </w:tc>
      </w:tr>
      <w:tr w:rsidR="00AC6BE3" w:rsidRPr="00E93946" w14:paraId="626956F4" w14:textId="77777777" w:rsidTr="0076430F">
        <w:trPr>
          <w:trHeight w:val="300"/>
        </w:trPr>
        <w:tc>
          <w:tcPr>
            <w:tcW w:w="2263" w:type="dxa"/>
            <w:gridSpan w:val="2"/>
            <w:vMerge/>
            <w:tcBorders>
              <w:top w:val="single" w:sz="4" w:space="0" w:color="000000"/>
              <w:left w:val="single" w:sz="4" w:space="0" w:color="000000"/>
            </w:tcBorders>
            <w:shd w:val="clear" w:color="auto" w:fill="D9D9D9"/>
            <w:vAlign w:val="center"/>
          </w:tcPr>
          <w:p w14:paraId="413AFC1B" w14:textId="77777777" w:rsidR="00AC6BE3" w:rsidRPr="00E93946" w:rsidRDefault="00AC6BE3" w:rsidP="00AC6BE3">
            <w:pPr>
              <w:widowControl w:val="0"/>
              <w:suppressAutoHyphens w:val="0"/>
              <w:overflowPunct/>
              <w:spacing w:line="276" w:lineRule="auto"/>
              <w:rPr>
                <w:rFonts w:eastAsia="Times New Roman"/>
                <w:b/>
                <w:sz w:val="22"/>
                <w:szCs w:val="22"/>
                <w:lang w:eastAsia="it-IT"/>
              </w:rPr>
            </w:pPr>
          </w:p>
        </w:tc>
        <w:tc>
          <w:tcPr>
            <w:tcW w:w="2551" w:type="dxa"/>
            <w:tcBorders>
              <w:left w:val="single" w:sz="4" w:space="0" w:color="000000"/>
              <w:bottom w:val="single" w:sz="4" w:space="0" w:color="000000"/>
              <w:right w:val="single" w:sz="4" w:space="0" w:color="000000"/>
            </w:tcBorders>
            <w:shd w:val="clear" w:color="auto" w:fill="D9D9D9"/>
            <w:vAlign w:val="center"/>
          </w:tcPr>
          <w:p w14:paraId="0EE66E21" w14:textId="77777777" w:rsidR="00AC6BE3" w:rsidRPr="00E93946" w:rsidRDefault="00AC6BE3" w:rsidP="00AC6BE3">
            <w:pPr>
              <w:widowControl w:val="0"/>
              <w:suppressAutoHyphens w:val="0"/>
              <w:overflowPunct/>
              <w:jc w:val="center"/>
              <w:rPr>
                <w:rFonts w:eastAsia="Times New Roman"/>
                <w:b/>
                <w:sz w:val="22"/>
                <w:szCs w:val="22"/>
              </w:rPr>
            </w:pPr>
            <w:r w:rsidRPr="00E93946">
              <w:rPr>
                <w:b/>
                <w:sz w:val="22"/>
              </w:rPr>
              <w:t>VÄLINE</w:t>
            </w:r>
          </w:p>
        </w:tc>
        <w:tc>
          <w:tcPr>
            <w:tcW w:w="2410" w:type="dxa"/>
            <w:tcBorders>
              <w:left w:val="single" w:sz="4" w:space="0" w:color="000000"/>
              <w:bottom w:val="single" w:sz="4" w:space="0" w:color="000000"/>
              <w:right w:val="single" w:sz="4" w:space="0" w:color="000000"/>
            </w:tcBorders>
            <w:shd w:val="clear" w:color="auto" w:fill="D9D9D9"/>
            <w:vAlign w:val="center"/>
          </w:tcPr>
          <w:p w14:paraId="391BA50E" w14:textId="77777777" w:rsidR="00AC6BE3" w:rsidRPr="00E93946" w:rsidRDefault="00AC6BE3" w:rsidP="00AC6BE3">
            <w:pPr>
              <w:widowControl w:val="0"/>
              <w:suppressAutoHyphens w:val="0"/>
              <w:overflowPunct/>
              <w:jc w:val="center"/>
              <w:rPr>
                <w:rFonts w:eastAsia="Times New Roman"/>
                <w:b/>
                <w:sz w:val="22"/>
                <w:szCs w:val="22"/>
              </w:rPr>
            </w:pPr>
            <w:r w:rsidRPr="00E93946">
              <w:rPr>
                <w:b/>
                <w:sz w:val="22"/>
              </w:rPr>
              <w:t>KAITSE</w:t>
            </w:r>
          </w:p>
        </w:tc>
        <w:tc>
          <w:tcPr>
            <w:tcW w:w="2452" w:type="dxa"/>
            <w:tcBorders>
              <w:left w:val="single" w:sz="4" w:space="0" w:color="000000"/>
              <w:bottom w:val="single" w:sz="4" w:space="0" w:color="000000"/>
              <w:right w:val="single" w:sz="4" w:space="0" w:color="000000"/>
            </w:tcBorders>
            <w:shd w:val="clear" w:color="auto" w:fill="D9D9D9"/>
            <w:vAlign w:val="center"/>
          </w:tcPr>
          <w:p w14:paraId="7497E559" w14:textId="77777777" w:rsidR="00AC6BE3" w:rsidRPr="00E93946" w:rsidRDefault="00AC6BE3" w:rsidP="00AC6BE3">
            <w:pPr>
              <w:widowControl w:val="0"/>
              <w:suppressAutoHyphens w:val="0"/>
              <w:overflowPunct/>
              <w:jc w:val="center"/>
              <w:rPr>
                <w:rFonts w:eastAsia="Times New Roman"/>
                <w:b/>
                <w:sz w:val="22"/>
                <w:szCs w:val="22"/>
              </w:rPr>
            </w:pPr>
            <w:r w:rsidRPr="00E93946">
              <w:rPr>
                <w:b/>
                <w:sz w:val="22"/>
              </w:rPr>
              <w:t>SISEMINE</w:t>
            </w:r>
          </w:p>
        </w:tc>
        <w:tc>
          <w:tcPr>
            <w:tcW w:w="236" w:type="dxa"/>
            <w:vAlign w:val="center"/>
          </w:tcPr>
          <w:p w14:paraId="02466A51" w14:textId="77777777" w:rsidR="00AC6BE3" w:rsidRPr="00E93946" w:rsidRDefault="00AC6BE3" w:rsidP="00AC6BE3">
            <w:pPr>
              <w:widowControl w:val="0"/>
              <w:suppressAutoHyphens w:val="0"/>
              <w:overflowPunct/>
              <w:rPr>
                <w:rFonts w:eastAsia="Times New Roman"/>
                <w:sz w:val="20"/>
                <w:szCs w:val="20"/>
                <w:lang w:eastAsia="it-IT"/>
              </w:rPr>
            </w:pPr>
          </w:p>
        </w:tc>
      </w:tr>
      <w:tr w:rsidR="00AC6BE3" w:rsidRPr="00E93946" w14:paraId="1DBAC97A"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7E39AAF3" w14:textId="77777777" w:rsidR="00AC6BE3" w:rsidRPr="00E93946" w:rsidRDefault="00AC6BE3" w:rsidP="00AC6BE3">
            <w:pPr>
              <w:widowControl w:val="0"/>
              <w:suppressAutoHyphens w:val="0"/>
              <w:overflowPunct/>
              <w:jc w:val="center"/>
              <w:rPr>
                <w:rFonts w:eastAsia="Times New Roman"/>
                <w:sz w:val="22"/>
                <w:szCs w:val="22"/>
              </w:rPr>
            </w:pPr>
            <w:r w:rsidRPr="00E93946">
              <w:rPr>
                <w:sz w:val="22"/>
              </w:rPr>
              <w:t>700 &lt; P ≤ 1000</w:t>
            </w:r>
          </w:p>
        </w:tc>
        <w:tc>
          <w:tcPr>
            <w:tcW w:w="2551" w:type="dxa"/>
            <w:tcBorders>
              <w:top w:val="single" w:sz="4" w:space="0" w:color="000000"/>
              <w:left w:val="single" w:sz="4" w:space="0" w:color="000000"/>
              <w:bottom w:val="single" w:sz="4" w:space="0" w:color="000000"/>
              <w:right w:val="single" w:sz="4" w:space="0" w:color="000000"/>
            </w:tcBorders>
            <w:vAlign w:val="center"/>
          </w:tcPr>
          <w:p w14:paraId="05603B18" w14:textId="77777777" w:rsidR="00AC6BE3" w:rsidRPr="00E93946" w:rsidRDefault="00AC6BE3" w:rsidP="00AC6BE3">
            <w:pPr>
              <w:widowControl w:val="0"/>
              <w:suppressAutoHyphens w:val="0"/>
              <w:overflowPunct/>
              <w:jc w:val="center"/>
              <w:rPr>
                <w:rFonts w:eastAsia="Times New Roman"/>
                <w:sz w:val="22"/>
                <w:szCs w:val="22"/>
              </w:rPr>
            </w:pPr>
            <w:r w:rsidRPr="00E93946">
              <w:rPr>
                <w:sz w:val="22"/>
              </w:rPr>
              <w:t>30</w:t>
            </w:r>
          </w:p>
        </w:tc>
        <w:tc>
          <w:tcPr>
            <w:tcW w:w="2410" w:type="dxa"/>
            <w:tcBorders>
              <w:top w:val="single" w:sz="4" w:space="0" w:color="000000"/>
              <w:bottom w:val="single" w:sz="4" w:space="0" w:color="000000"/>
              <w:right w:val="single" w:sz="4" w:space="0" w:color="000000"/>
            </w:tcBorders>
            <w:vAlign w:val="center"/>
          </w:tcPr>
          <w:p w14:paraId="57C7C349" w14:textId="77777777" w:rsidR="00AC6BE3" w:rsidRPr="00E93946" w:rsidRDefault="00AC6BE3" w:rsidP="00AC6BE3">
            <w:pPr>
              <w:widowControl w:val="0"/>
              <w:suppressAutoHyphens w:val="0"/>
              <w:overflowPunct/>
              <w:jc w:val="center"/>
              <w:rPr>
                <w:rFonts w:eastAsia="Times New Roman"/>
                <w:sz w:val="22"/>
                <w:szCs w:val="22"/>
              </w:rPr>
            </w:pPr>
            <w:r w:rsidRPr="00E93946">
              <w:rPr>
                <w:sz w:val="22"/>
              </w:rPr>
              <w:t>15</w:t>
            </w:r>
          </w:p>
        </w:tc>
        <w:tc>
          <w:tcPr>
            <w:tcW w:w="2452" w:type="dxa"/>
            <w:tcBorders>
              <w:top w:val="single" w:sz="4" w:space="0" w:color="000000"/>
              <w:bottom w:val="single" w:sz="4" w:space="0" w:color="000000"/>
              <w:right w:val="single" w:sz="4" w:space="0" w:color="000000"/>
            </w:tcBorders>
            <w:vAlign w:val="center"/>
          </w:tcPr>
          <w:p w14:paraId="259BB0DF" w14:textId="77777777" w:rsidR="00AC6BE3" w:rsidRPr="00E93946" w:rsidRDefault="00AC6BE3" w:rsidP="00AC6BE3">
            <w:pPr>
              <w:widowControl w:val="0"/>
              <w:suppressAutoHyphens w:val="0"/>
              <w:overflowPunct/>
              <w:jc w:val="center"/>
              <w:rPr>
                <w:rFonts w:eastAsia="Times New Roman"/>
                <w:sz w:val="22"/>
                <w:szCs w:val="22"/>
              </w:rPr>
            </w:pPr>
            <w:r w:rsidRPr="00E93946">
              <w:rPr>
                <w:sz w:val="22"/>
              </w:rPr>
              <w:t>15</w:t>
            </w:r>
          </w:p>
        </w:tc>
        <w:tc>
          <w:tcPr>
            <w:tcW w:w="236" w:type="dxa"/>
            <w:vAlign w:val="center"/>
          </w:tcPr>
          <w:p w14:paraId="60DD1D52" w14:textId="77777777" w:rsidR="00AC6BE3" w:rsidRPr="00E93946" w:rsidRDefault="00AC6BE3" w:rsidP="00AC6BE3">
            <w:pPr>
              <w:widowControl w:val="0"/>
              <w:suppressAutoHyphens w:val="0"/>
              <w:overflowPunct/>
              <w:rPr>
                <w:rFonts w:eastAsia="Times New Roman"/>
                <w:sz w:val="20"/>
                <w:szCs w:val="20"/>
                <w:lang w:eastAsia="it-IT"/>
              </w:rPr>
            </w:pPr>
          </w:p>
        </w:tc>
      </w:tr>
      <w:tr w:rsidR="00AC6BE3" w:rsidRPr="00E93946" w14:paraId="552AAF8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21D01C5F" w14:textId="77777777" w:rsidR="00AC6BE3" w:rsidRPr="00E93946" w:rsidRDefault="00AC6BE3" w:rsidP="00AC6BE3">
            <w:pPr>
              <w:widowControl w:val="0"/>
              <w:suppressAutoHyphens w:val="0"/>
              <w:overflowPunct/>
              <w:jc w:val="center"/>
              <w:rPr>
                <w:rFonts w:eastAsia="Times New Roman"/>
                <w:sz w:val="22"/>
                <w:szCs w:val="22"/>
              </w:rPr>
            </w:pPr>
            <w:r w:rsidRPr="00E93946">
              <w:rPr>
                <w:sz w:val="22"/>
              </w:rPr>
              <w:t xml:space="preserve">500 &lt; P ≤ 700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47DD3430" w14:textId="77777777" w:rsidR="00AC6BE3" w:rsidRPr="00E93946" w:rsidRDefault="00AC6BE3" w:rsidP="00AC6BE3">
            <w:pPr>
              <w:widowControl w:val="0"/>
              <w:suppressAutoHyphens w:val="0"/>
              <w:overflowPunct/>
              <w:jc w:val="center"/>
              <w:rPr>
                <w:rFonts w:eastAsia="Times New Roman"/>
                <w:sz w:val="22"/>
                <w:szCs w:val="22"/>
              </w:rPr>
            </w:pPr>
            <w:r w:rsidRPr="00E93946">
              <w:rPr>
                <w:sz w:val="22"/>
              </w:rPr>
              <w:t>25</w:t>
            </w:r>
          </w:p>
        </w:tc>
        <w:tc>
          <w:tcPr>
            <w:tcW w:w="2410" w:type="dxa"/>
            <w:tcBorders>
              <w:top w:val="single" w:sz="4" w:space="0" w:color="000000"/>
              <w:bottom w:val="single" w:sz="4" w:space="0" w:color="000000"/>
              <w:right w:val="single" w:sz="4" w:space="0" w:color="000000"/>
            </w:tcBorders>
            <w:vAlign w:val="center"/>
          </w:tcPr>
          <w:p w14:paraId="0C2800D0" w14:textId="77777777" w:rsidR="00AC6BE3" w:rsidRPr="00E93946" w:rsidRDefault="00AC6BE3" w:rsidP="00AC6BE3">
            <w:pPr>
              <w:widowControl w:val="0"/>
              <w:suppressAutoHyphens w:val="0"/>
              <w:overflowPunct/>
              <w:jc w:val="center"/>
              <w:rPr>
                <w:rFonts w:eastAsia="Times New Roman"/>
                <w:sz w:val="22"/>
                <w:szCs w:val="22"/>
              </w:rPr>
            </w:pPr>
            <w:r w:rsidRPr="00E93946">
              <w:rPr>
                <w:sz w:val="22"/>
              </w:rPr>
              <w:t>15</w:t>
            </w:r>
          </w:p>
        </w:tc>
        <w:tc>
          <w:tcPr>
            <w:tcW w:w="2452" w:type="dxa"/>
            <w:tcBorders>
              <w:top w:val="single" w:sz="4" w:space="0" w:color="000000"/>
              <w:bottom w:val="single" w:sz="4" w:space="0" w:color="000000"/>
              <w:right w:val="single" w:sz="4" w:space="0" w:color="000000"/>
            </w:tcBorders>
            <w:vAlign w:val="center"/>
          </w:tcPr>
          <w:p w14:paraId="75B3EA33" w14:textId="77777777" w:rsidR="00AC6BE3" w:rsidRPr="00E93946" w:rsidRDefault="00AC6BE3" w:rsidP="00AC6BE3">
            <w:pPr>
              <w:widowControl w:val="0"/>
              <w:suppressAutoHyphens w:val="0"/>
              <w:overflowPunct/>
              <w:jc w:val="center"/>
              <w:rPr>
                <w:rFonts w:eastAsia="Times New Roman"/>
                <w:sz w:val="22"/>
                <w:szCs w:val="22"/>
              </w:rPr>
            </w:pPr>
            <w:r w:rsidRPr="00E93946">
              <w:rPr>
                <w:sz w:val="22"/>
              </w:rPr>
              <w:t>15</w:t>
            </w:r>
          </w:p>
        </w:tc>
        <w:tc>
          <w:tcPr>
            <w:tcW w:w="236" w:type="dxa"/>
            <w:vAlign w:val="center"/>
          </w:tcPr>
          <w:p w14:paraId="122CA10A" w14:textId="77777777" w:rsidR="00AC6BE3" w:rsidRPr="00E93946" w:rsidRDefault="00AC6BE3" w:rsidP="00AC6BE3">
            <w:pPr>
              <w:widowControl w:val="0"/>
              <w:suppressAutoHyphens w:val="0"/>
              <w:overflowPunct/>
              <w:rPr>
                <w:rFonts w:eastAsia="Times New Roman"/>
                <w:sz w:val="20"/>
                <w:szCs w:val="20"/>
                <w:lang w:eastAsia="it-IT"/>
              </w:rPr>
            </w:pPr>
          </w:p>
        </w:tc>
      </w:tr>
      <w:tr w:rsidR="00AC6BE3" w:rsidRPr="00E93946" w14:paraId="21FAF9BF"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619BF4E0" w14:textId="77777777" w:rsidR="00AC6BE3" w:rsidRPr="00E93946" w:rsidRDefault="00AC6BE3" w:rsidP="00AC6BE3">
            <w:pPr>
              <w:widowControl w:val="0"/>
              <w:suppressAutoHyphens w:val="0"/>
              <w:overflowPunct/>
              <w:jc w:val="center"/>
              <w:rPr>
                <w:rFonts w:eastAsia="Times New Roman"/>
                <w:sz w:val="22"/>
                <w:szCs w:val="22"/>
              </w:rPr>
            </w:pPr>
            <w:r w:rsidRPr="00E93946">
              <w:rPr>
                <w:sz w:val="22"/>
              </w:rPr>
              <w:t>300 &lt; P ≤ 500</w:t>
            </w:r>
          </w:p>
        </w:tc>
        <w:tc>
          <w:tcPr>
            <w:tcW w:w="2551" w:type="dxa"/>
            <w:tcBorders>
              <w:top w:val="single" w:sz="4" w:space="0" w:color="000000"/>
              <w:left w:val="single" w:sz="4" w:space="0" w:color="000000"/>
              <w:bottom w:val="single" w:sz="4" w:space="0" w:color="000000"/>
              <w:right w:val="single" w:sz="4" w:space="0" w:color="000000"/>
            </w:tcBorders>
            <w:vAlign w:val="center"/>
          </w:tcPr>
          <w:p w14:paraId="370E2FBC" w14:textId="77777777" w:rsidR="00AC6BE3" w:rsidRPr="00E93946" w:rsidRDefault="00AC6BE3" w:rsidP="00AC6BE3">
            <w:pPr>
              <w:widowControl w:val="0"/>
              <w:suppressAutoHyphens w:val="0"/>
              <w:overflowPunct/>
              <w:jc w:val="center"/>
              <w:rPr>
                <w:rFonts w:eastAsia="Times New Roman"/>
                <w:sz w:val="22"/>
                <w:szCs w:val="22"/>
              </w:rPr>
            </w:pPr>
            <w:r w:rsidRPr="00E93946">
              <w:rPr>
                <w:sz w:val="22"/>
              </w:rPr>
              <w:t>20</w:t>
            </w:r>
          </w:p>
        </w:tc>
        <w:tc>
          <w:tcPr>
            <w:tcW w:w="2410" w:type="dxa"/>
            <w:tcBorders>
              <w:top w:val="single" w:sz="4" w:space="0" w:color="000000"/>
              <w:bottom w:val="single" w:sz="4" w:space="0" w:color="000000"/>
              <w:right w:val="single" w:sz="4" w:space="0" w:color="000000"/>
            </w:tcBorders>
            <w:vAlign w:val="center"/>
          </w:tcPr>
          <w:p w14:paraId="364A0A87" w14:textId="77777777" w:rsidR="00AC6BE3" w:rsidRPr="00E93946" w:rsidRDefault="00AC6BE3" w:rsidP="00AC6BE3">
            <w:pPr>
              <w:widowControl w:val="0"/>
              <w:suppressAutoHyphens w:val="0"/>
              <w:overflowPunct/>
              <w:jc w:val="center"/>
              <w:rPr>
                <w:rFonts w:eastAsia="Times New Roman"/>
                <w:sz w:val="22"/>
                <w:szCs w:val="22"/>
              </w:rPr>
            </w:pPr>
            <w:r w:rsidRPr="00E93946">
              <w:rPr>
                <w:sz w:val="22"/>
              </w:rPr>
              <w:t>15</w:t>
            </w:r>
          </w:p>
        </w:tc>
        <w:tc>
          <w:tcPr>
            <w:tcW w:w="2452" w:type="dxa"/>
            <w:tcBorders>
              <w:top w:val="single" w:sz="4" w:space="0" w:color="000000"/>
              <w:bottom w:val="single" w:sz="4" w:space="0" w:color="000000"/>
              <w:right w:val="single" w:sz="4" w:space="0" w:color="000000"/>
            </w:tcBorders>
            <w:vAlign w:val="center"/>
          </w:tcPr>
          <w:p w14:paraId="51829E9B" w14:textId="77777777" w:rsidR="00AC6BE3" w:rsidRPr="00E93946" w:rsidRDefault="00AC6BE3" w:rsidP="00AC6BE3">
            <w:pPr>
              <w:widowControl w:val="0"/>
              <w:suppressAutoHyphens w:val="0"/>
              <w:overflowPunct/>
              <w:jc w:val="center"/>
              <w:rPr>
                <w:rFonts w:eastAsia="Times New Roman"/>
                <w:sz w:val="22"/>
                <w:szCs w:val="22"/>
              </w:rPr>
            </w:pPr>
            <w:r w:rsidRPr="00E93946">
              <w:rPr>
                <w:sz w:val="22"/>
              </w:rPr>
              <w:t>15</w:t>
            </w:r>
          </w:p>
        </w:tc>
        <w:tc>
          <w:tcPr>
            <w:tcW w:w="236" w:type="dxa"/>
            <w:vAlign w:val="center"/>
          </w:tcPr>
          <w:p w14:paraId="1B0B77AD" w14:textId="77777777" w:rsidR="00AC6BE3" w:rsidRPr="00E93946" w:rsidRDefault="00AC6BE3" w:rsidP="00AC6BE3">
            <w:pPr>
              <w:widowControl w:val="0"/>
              <w:suppressAutoHyphens w:val="0"/>
              <w:overflowPunct/>
              <w:rPr>
                <w:rFonts w:eastAsia="Times New Roman"/>
                <w:sz w:val="20"/>
                <w:szCs w:val="20"/>
                <w:lang w:eastAsia="it-IT"/>
              </w:rPr>
            </w:pPr>
          </w:p>
        </w:tc>
      </w:tr>
      <w:tr w:rsidR="00AC6BE3" w:rsidRPr="00E93946" w14:paraId="188DA210"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344BDC52" w14:textId="77777777" w:rsidR="00AC6BE3" w:rsidRPr="00E93946" w:rsidRDefault="00AC6BE3" w:rsidP="00AC6BE3">
            <w:pPr>
              <w:widowControl w:val="0"/>
              <w:suppressAutoHyphens w:val="0"/>
              <w:overflowPunct/>
              <w:jc w:val="center"/>
              <w:rPr>
                <w:rFonts w:eastAsia="Times New Roman"/>
                <w:sz w:val="22"/>
                <w:szCs w:val="22"/>
              </w:rPr>
            </w:pPr>
            <w:r w:rsidRPr="00E93946">
              <w:rPr>
                <w:sz w:val="22"/>
              </w:rPr>
              <w:t xml:space="preserve">100 &lt; P ≤ 300 </w:t>
            </w:r>
          </w:p>
        </w:tc>
        <w:tc>
          <w:tcPr>
            <w:tcW w:w="2551" w:type="dxa"/>
            <w:tcBorders>
              <w:top w:val="single" w:sz="4" w:space="0" w:color="000000"/>
              <w:left w:val="single" w:sz="4" w:space="0" w:color="000000"/>
              <w:bottom w:val="single" w:sz="4" w:space="0" w:color="000000"/>
              <w:right w:val="single" w:sz="4" w:space="0" w:color="000000"/>
            </w:tcBorders>
            <w:vAlign w:val="center"/>
          </w:tcPr>
          <w:p w14:paraId="5D4FF7A6" w14:textId="77777777" w:rsidR="00AC6BE3" w:rsidRPr="00E93946" w:rsidRDefault="00AC6BE3" w:rsidP="00AC6BE3">
            <w:pPr>
              <w:widowControl w:val="0"/>
              <w:suppressAutoHyphens w:val="0"/>
              <w:overflowPunct/>
              <w:jc w:val="center"/>
              <w:rPr>
                <w:rFonts w:eastAsia="Times New Roman"/>
                <w:sz w:val="22"/>
                <w:szCs w:val="22"/>
              </w:rPr>
            </w:pPr>
            <w:r w:rsidRPr="00E93946">
              <w:rPr>
                <w:sz w:val="22"/>
              </w:rPr>
              <w:t>17</w:t>
            </w:r>
          </w:p>
        </w:tc>
        <w:tc>
          <w:tcPr>
            <w:tcW w:w="2410" w:type="dxa"/>
            <w:tcBorders>
              <w:top w:val="single" w:sz="4" w:space="0" w:color="000000"/>
              <w:bottom w:val="single" w:sz="4" w:space="0" w:color="000000"/>
              <w:right w:val="single" w:sz="4" w:space="0" w:color="000000"/>
            </w:tcBorders>
            <w:vAlign w:val="center"/>
          </w:tcPr>
          <w:p w14:paraId="5FDC8E8B" w14:textId="77777777" w:rsidR="00AC6BE3" w:rsidRPr="00E93946" w:rsidRDefault="00AC6BE3" w:rsidP="00AC6BE3">
            <w:pPr>
              <w:widowControl w:val="0"/>
              <w:suppressAutoHyphens w:val="0"/>
              <w:overflowPunct/>
              <w:jc w:val="center"/>
              <w:rPr>
                <w:rFonts w:eastAsia="Times New Roman"/>
                <w:sz w:val="22"/>
                <w:szCs w:val="22"/>
              </w:rPr>
            </w:pPr>
            <w:r w:rsidRPr="00E93946">
              <w:rPr>
                <w:sz w:val="22"/>
              </w:rPr>
              <w:t>12</w:t>
            </w:r>
          </w:p>
        </w:tc>
        <w:tc>
          <w:tcPr>
            <w:tcW w:w="2452" w:type="dxa"/>
            <w:tcBorders>
              <w:top w:val="single" w:sz="4" w:space="0" w:color="000000"/>
              <w:bottom w:val="single" w:sz="4" w:space="0" w:color="000000"/>
              <w:right w:val="single" w:sz="4" w:space="0" w:color="000000"/>
            </w:tcBorders>
            <w:vAlign w:val="center"/>
          </w:tcPr>
          <w:p w14:paraId="2B555246" w14:textId="77777777" w:rsidR="00AC6BE3" w:rsidRPr="00E93946" w:rsidRDefault="00AC6BE3" w:rsidP="00AC6BE3">
            <w:pPr>
              <w:widowControl w:val="0"/>
              <w:suppressAutoHyphens w:val="0"/>
              <w:overflowPunct/>
              <w:jc w:val="center"/>
              <w:rPr>
                <w:rFonts w:eastAsia="Times New Roman"/>
                <w:sz w:val="22"/>
                <w:szCs w:val="22"/>
              </w:rPr>
            </w:pPr>
            <w:r w:rsidRPr="00E93946">
              <w:rPr>
                <w:sz w:val="22"/>
              </w:rPr>
              <w:t>12</w:t>
            </w:r>
          </w:p>
        </w:tc>
        <w:tc>
          <w:tcPr>
            <w:tcW w:w="236" w:type="dxa"/>
            <w:vAlign w:val="center"/>
          </w:tcPr>
          <w:p w14:paraId="034210DD" w14:textId="77777777" w:rsidR="00AC6BE3" w:rsidRPr="00E93946" w:rsidRDefault="00AC6BE3" w:rsidP="00AC6BE3">
            <w:pPr>
              <w:widowControl w:val="0"/>
              <w:suppressAutoHyphens w:val="0"/>
              <w:overflowPunct/>
              <w:rPr>
                <w:rFonts w:eastAsia="Times New Roman"/>
                <w:sz w:val="20"/>
                <w:szCs w:val="20"/>
                <w:lang w:eastAsia="it-IT"/>
              </w:rPr>
            </w:pPr>
          </w:p>
        </w:tc>
      </w:tr>
      <w:tr w:rsidR="00AC6BE3" w:rsidRPr="00E93946" w14:paraId="72A04AED"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C8F0700" w14:textId="77777777" w:rsidR="00AC6BE3" w:rsidRPr="00E93946" w:rsidRDefault="00AC6BE3" w:rsidP="00AC6BE3">
            <w:pPr>
              <w:widowControl w:val="0"/>
              <w:suppressAutoHyphens w:val="0"/>
              <w:overflowPunct/>
              <w:jc w:val="center"/>
              <w:rPr>
                <w:rFonts w:eastAsia="Times New Roman"/>
                <w:sz w:val="22"/>
                <w:szCs w:val="22"/>
              </w:rPr>
            </w:pPr>
            <w:r w:rsidRPr="00E93946">
              <w:rPr>
                <w:sz w:val="22"/>
              </w:rPr>
              <w:t>50 &lt; P ≤ 100</w:t>
            </w:r>
          </w:p>
        </w:tc>
        <w:tc>
          <w:tcPr>
            <w:tcW w:w="2551" w:type="dxa"/>
            <w:tcBorders>
              <w:top w:val="single" w:sz="4" w:space="0" w:color="000000"/>
              <w:left w:val="single" w:sz="4" w:space="0" w:color="000000"/>
              <w:bottom w:val="single" w:sz="4" w:space="0" w:color="000000"/>
              <w:right w:val="single" w:sz="4" w:space="0" w:color="000000"/>
            </w:tcBorders>
            <w:vAlign w:val="center"/>
          </w:tcPr>
          <w:p w14:paraId="660C448B" w14:textId="77777777" w:rsidR="00AC6BE3" w:rsidRPr="00E93946" w:rsidRDefault="00AC6BE3" w:rsidP="00AC6BE3">
            <w:pPr>
              <w:widowControl w:val="0"/>
              <w:suppressAutoHyphens w:val="0"/>
              <w:overflowPunct/>
              <w:jc w:val="center"/>
              <w:rPr>
                <w:rFonts w:eastAsia="Times New Roman"/>
                <w:sz w:val="22"/>
                <w:szCs w:val="22"/>
              </w:rPr>
            </w:pPr>
            <w:r w:rsidRPr="00E93946">
              <w:rPr>
                <w:sz w:val="22"/>
              </w:rPr>
              <w:t>12</w:t>
            </w:r>
          </w:p>
        </w:tc>
        <w:tc>
          <w:tcPr>
            <w:tcW w:w="2410" w:type="dxa"/>
            <w:tcBorders>
              <w:top w:val="single" w:sz="4" w:space="0" w:color="000000"/>
              <w:bottom w:val="single" w:sz="4" w:space="0" w:color="000000"/>
              <w:right w:val="single" w:sz="4" w:space="0" w:color="000000"/>
            </w:tcBorders>
            <w:vAlign w:val="center"/>
          </w:tcPr>
          <w:p w14:paraId="7FAE7583" w14:textId="77777777" w:rsidR="00AC6BE3" w:rsidRPr="00E93946" w:rsidRDefault="00AC6BE3" w:rsidP="00AC6BE3">
            <w:pPr>
              <w:widowControl w:val="0"/>
              <w:suppressAutoHyphens w:val="0"/>
              <w:overflowPunct/>
              <w:jc w:val="center"/>
              <w:rPr>
                <w:rFonts w:eastAsia="Times New Roman"/>
                <w:sz w:val="22"/>
                <w:szCs w:val="22"/>
              </w:rPr>
            </w:pPr>
            <w:r w:rsidRPr="00E93946">
              <w:rPr>
                <w:sz w:val="22"/>
              </w:rPr>
              <w:t>8</w:t>
            </w:r>
          </w:p>
        </w:tc>
        <w:tc>
          <w:tcPr>
            <w:tcW w:w="2452" w:type="dxa"/>
            <w:tcBorders>
              <w:top w:val="single" w:sz="4" w:space="0" w:color="000000"/>
              <w:bottom w:val="single" w:sz="4" w:space="0" w:color="000000"/>
              <w:right w:val="single" w:sz="4" w:space="0" w:color="000000"/>
            </w:tcBorders>
            <w:vAlign w:val="center"/>
          </w:tcPr>
          <w:p w14:paraId="62DF2DCE" w14:textId="77777777" w:rsidR="00AC6BE3" w:rsidRPr="00E93946" w:rsidRDefault="00AC6BE3" w:rsidP="00AC6BE3">
            <w:pPr>
              <w:widowControl w:val="0"/>
              <w:suppressAutoHyphens w:val="0"/>
              <w:overflowPunct/>
              <w:jc w:val="center"/>
              <w:rPr>
                <w:rFonts w:eastAsia="Times New Roman"/>
                <w:sz w:val="22"/>
                <w:szCs w:val="22"/>
              </w:rPr>
            </w:pPr>
            <w:r w:rsidRPr="00E93946">
              <w:rPr>
                <w:sz w:val="22"/>
              </w:rPr>
              <w:t>8</w:t>
            </w:r>
          </w:p>
        </w:tc>
        <w:tc>
          <w:tcPr>
            <w:tcW w:w="236" w:type="dxa"/>
            <w:vAlign w:val="center"/>
          </w:tcPr>
          <w:p w14:paraId="26ED248F" w14:textId="77777777" w:rsidR="00AC6BE3" w:rsidRPr="00E93946" w:rsidRDefault="00AC6BE3" w:rsidP="00AC6BE3">
            <w:pPr>
              <w:widowControl w:val="0"/>
              <w:suppressAutoHyphens w:val="0"/>
              <w:overflowPunct/>
              <w:rPr>
                <w:rFonts w:eastAsia="Times New Roman"/>
                <w:sz w:val="20"/>
                <w:szCs w:val="20"/>
                <w:lang w:eastAsia="it-IT"/>
              </w:rPr>
            </w:pPr>
          </w:p>
        </w:tc>
      </w:tr>
      <w:tr w:rsidR="00AC6BE3" w:rsidRPr="00E93946" w14:paraId="29661397"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0A676328" w14:textId="77777777" w:rsidR="00AC6BE3" w:rsidRPr="00E93946" w:rsidRDefault="00AC6BE3" w:rsidP="00AC6BE3">
            <w:pPr>
              <w:widowControl w:val="0"/>
              <w:suppressAutoHyphens w:val="0"/>
              <w:overflowPunct/>
              <w:jc w:val="center"/>
              <w:rPr>
                <w:rFonts w:eastAsia="Times New Roman"/>
                <w:sz w:val="22"/>
                <w:szCs w:val="22"/>
              </w:rPr>
            </w:pPr>
            <w:r w:rsidRPr="00E93946">
              <w:rPr>
                <w:sz w:val="22"/>
              </w:rPr>
              <w:t>30 &lt; P ≤ 50</w:t>
            </w:r>
          </w:p>
        </w:tc>
        <w:tc>
          <w:tcPr>
            <w:tcW w:w="2551" w:type="dxa"/>
            <w:tcBorders>
              <w:top w:val="single" w:sz="4" w:space="0" w:color="000000"/>
              <w:left w:val="single" w:sz="4" w:space="0" w:color="000000"/>
              <w:bottom w:val="single" w:sz="4" w:space="0" w:color="000000"/>
              <w:right w:val="single" w:sz="4" w:space="0" w:color="000000"/>
            </w:tcBorders>
            <w:vAlign w:val="center"/>
          </w:tcPr>
          <w:p w14:paraId="3B53AF27" w14:textId="77777777" w:rsidR="00AC6BE3" w:rsidRPr="00E93946" w:rsidRDefault="00AC6BE3" w:rsidP="00AC6BE3">
            <w:pPr>
              <w:widowControl w:val="0"/>
              <w:suppressAutoHyphens w:val="0"/>
              <w:overflowPunct/>
              <w:jc w:val="center"/>
              <w:rPr>
                <w:rFonts w:eastAsia="Times New Roman"/>
                <w:sz w:val="22"/>
                <w:szCs w:val="22"/>
              </w:rPr>
            </w:pPr>
            <w:r w:rsidRPr="00E93946">
              <w:rPr>
                <w:sz w:val="22"/>
              </w:rPr>
              <w:t>8</w:t>
            </w:r>
          </w:p>
        </w:tc>
        <w:tc>
          <w:tcPr>
            <w:tcW w:w="2410" w:type="dxa"/>
            <w:tcBorders>
              <w:top w:val="single" w:sz="4" w:space="0" w:color="000000"/>
              <w:bottom w:val="single" w:sz="4" w:space="0" w:color="000000"/>
              <w:right w:val="single" w:sz="4" w:space="0" w:color="000000"/>
            </w:tcBorders>
            <w:vAlign w:val="center"/>
          </w:tcPr>
          <w:p w14:paraId="147338CC" w14:textId="77777777" w:rsidR="00AC6BE3" w:rsidRPr="00E93946" w:rsidRDefault="00AC6BE3" w:rsidP="00AC6BE3">
            <w:pPr>
              <w:widowControl w:val="0"/>
              <w:suppressAutoHyphens w:val="0"/>
              <w:overflowPunct/>
              <w:jc w:val="center"/>
              <w:rPr>
                <w:rFonts w:eastAsia="Times New Roman"/>
                <w:sz w:val="22"/>
                <w:szCs w:val="22"/>
              </w:rPr>
            </w:pPr>
            <w:r w:rsidRPr="00E93946">
              <w:rPr>
                <w:sz w:val="22"/>
              </w:rPr>
              <w:t>6</w:t>
            </w:r>
          </w:p>
        </w:tc>
        <w:tc>
          <w:tcPr>
            <w:tcW w:w="2452" w:type="dxa"/>
            <w:tcBorders>
              <w:top w:val="single" w:sz="4" w:space="0" w:color="000000"/>
              <w:bottom w:val="single" w:sz="4" w:space="0" w:color="000000"/>
              <w:right w:val="single" w:sz="4" w:space="0" w:color="000000"/>
            </w:tcBorders>
            <w:vAlign w:val="center"/>
          </w:tcPr>
          <w:p w14:paraId="2356A47B" w14:textId="77777777" w:rsidR="00AC6BE3" w:rsidRPr="00E93946" w:rsidRDefault="00AC6BE3" w:rsidP="00AC6BE3">
            <w:pPr>
              <w:widowControl w:val="0"/>
              <w:suppressAutoHyphens w:val="0"/>
              <w:overflowPunct/>
              <w:jc w:val="center"/>
              <w:rPr>
                <w:rFonts w:eastAsia="Times New Roman"/>
                <w:sz w:val="22"/>
                <w:szCs w:val="22"/>
              </w:rPr>
            </w:pPr>
            <w:r w:rsidRPr="00E93946">
              <w:rPr>
                <w:sz w:val="22"/>
              </w:rPr>
              <w:t>6</w:t>
            </w:r>
          </w:p>
        </w:tc>
        <w:tc>
          <w:tcPr>
            <w:tcW w:w="236" w:type="dxa"/>
            <w:vAlign w:val="center"/>
          </w:tcPr>
          <w:p w14:paraId="4DF0C944" w14:textId="77777777" w:rsidR="00AC6BE3" w:rsidRPr="00E93946" w:rsidRDefault="00AC6BE3" w:rsidP="00AC6BE3">
            <w:pPr>
              <w:widowControl w:val="0"/>
              <w:suppressAutoHyphens w:val="0"/>
              <w:overflowPunct/>
              <w:rPr>
                <w:rFonts w:eastAsia="Times New Roman"/>
                <w:sz w:val="20"/>
                <w:szCs w:val="20"/>
                <w:lang w:eastAsia="it-IT"/>
              </w:rPr>
            </w:pPr>
          </w:p>
        </w:tc>
      </w:tr>
      <w:tr w:rsidR="00AC6BE3" w:rsidRPr="00E93946" w14:paraId="71030528"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4C0A522F" w14:textId="77777777" w:rsidR="00AC6BE3" w:rsidRPr="00E93946" w:rsidRDefault="00AC6BE3" w:rsidP="00AC6BE3">
            <w:pPr>
              <w:widowControl w:val="0"/>
              <w:suppressAutoHyphens w:val="0"/>
              <w:overflowPunct/>
              <w:jc w:val="center"/>
              <w:rPr>
                <w:rFonts w:eastAsia="Times New Roman"/>
                <w:sz w:val="22"/>
                <w:szCs w:val="22"/>
              </w:rPr>
            </w:pPr>
            <w:r w:rsidRPr="00E93946">
              <w:rPr>
                <w:sz w:val="22"/>
              </w:rPr>
              <w:t>10 &lt; P ≤ 30</w:t>
            </w:r>
          </w:p>
        </w:tc>
        <w:tc>
          <w:tcPr>
            <w:tcW w:w="2551" w:type="dxa"/>
            <w:tcBorders>
              <w:top w:val="single" w:sz="4" w:space="0" w:color="000000"/>
              <w:left w:val="single" w:sz="4" w:space="0" w:color="000000"/>
              <w:bottom w:val="single" w:sz="4" w:space="0" w:color="000000"/>
              <w:right w:val="single" w:sz="4" w:space="0" w:color="000000"/>
            </w:tcBorders>
            <w:vAlign w:val="center"/>
          </w:tcPr>
          <w:p w14:paraId="42FFB61B" w14:textId="77777777" w:rsidR="00AC6BE3" w:rsidRPr="00E93946" w:rsidRDefault="00AC6BE3" w:rsidP="00AC6BE3">
            <w:pPr>
              <w:widowControl w:val="0"/>
              <w:suppressAutoHyphens w:val="0"/>
              <w:overflowPunct/>
              <w:jc w:val="center"/>
              <w:rPr>
                <w:rFonts w:eastAsia="Times New Roman"/>
                <w:sz w:val="22"/>
                <w:szCs w:val="22"/>
              </w:rPr>
            </w:pPr>
            <w:r w:rsidRPr="00E93946">
              <w:rPr>
                <w:sz w:val="22"/>
              </w:rPr>
              <w:t>7</w:t>
            </w:r>
          </w:p>
        </w:tc>
        <w:tc>
          <w:tcPr>
            <w:tcW w:w="2410" w:type="dxa"/>
            <w:tcBorders>
              <w:top w:val="single" w:sz="4" w:space="0" w:color="000000"/>
              <w:bottom w:val="single" w:sz="4" w:space="0" w:color="000000"/>
              <w:right w:val="single" w:sz="4" w:space="0" w:color="000000"/>
            </w:tcBorders>
            <w:vAlign w:val="center"/>
          </w:tcPr>
          <w:p w14:paraId="66FA0C43" w14:textId="77777777" w:rsidR="00AC6BE3" w:rsidRPr="00E93946" w:rsidRDefault="00AC6BE3" w:rsidP="00AC6BE3">
            <w:pPr>
              <w:widowControl w:val="0"/>
              <w:suppressAutoHyphens w:val="0"/>
              <w:overflowPunct/>
              <w:jc w:val="center"/>
              <w:rPr>
                <w:rFonts w:eastAsia="Times New Roman"/>
                <w:sz w:val="22"/>
                <w:szCs w:val="22"/>
              </w:rPr>
            </w:pPr>
            <w:r w:rsidRPr="00E93946">
              <w:rPr>
                <w:sz w:val="22"/>
              </w:rPr>
              <w:t>5</w:t>
            </w:r>
          </w:p>
        </w:tc>
        <w:tc>
          <w:tcPr>
            <w:tcW w:w="2452" w:type="dxa"/>
            <w:tcBorders>
              <w:top w:val="single" w:sz="4" w:space="0" w:color="000000"/>
              <w:bottom w:val="single" w:sz="4" w:space="0" w:color="000000"/>
              <w:right w:val="single" w:sz="4" w:space="0" w:color="000000"/>
            </w:tcBorders>
            <w:vAlign w:val="center"/>
          </w:tcPr>
          <w:p w14:paraId="21B55A1B" w14:textId="77777777" w:rsidR="00AC6BE3" w:rsidRPr="00E93946" w:rsidRDefault="00AC6BE3" w:rsidP="00AC6BE3">
            <w:pPr>
              <w:widowControl w:val="0"/>
              <w:suppressAutoHyphens w:val="0"/>
              <w:overflowPunct/>
              <w:jc w:val="center"/>
              <w:rPr>
                <w:rFonts w:eastAsia="Times New Roman"/>
                <w:sz w:val="22"/>
                <w:szCs w:val="22"/>
              </w:rPr>
            </w:pPr>
            <w:r w:rsidRPr="00E93946">
              <w:rPr>
                <w:sz w:val="22"/>
              </w:rPr>
              <w:t>5</w:t>
            </w:r>
          </w:p>
        </w:tc>
        <w:tc>
          <w:tcPr>
            <w:tcW w:w="236" w:type="dxa"/>
            <w:vAlign w:val="center"/>
          </w:tcPr>
          <w:p w14:paraId="454E89A3" w14:textId="77777777" w:rsidR="00AC6BE3" w:rsidRPr="00E93946" w:rsidRDefault="00AC6BE3" w:rsidP="00AC6BE3">
            <w:pPr>
              <w:widowControl w:val="0"/>
              <w:suppressAutoHyphens w:val="0"/>
              <w:overflowPunct/>
              <w:rPr>
                <w:rFonts w:eastAsia="Times New Roman"/>
                <w:sz w:val="20"/>
                <w:szCs w:val="20"/>
                <w:lang w:eastAsia="it-IT"/>
              </w:rPr>
            </w:pPr>
          </w:p>
        </w:tc>
      </w:tr>
      <w:tr w:rsidR="00AC6BE3" w:rsidRPr="00E93946" w14:paraId="488A0A12" w14:textId="77777777" w:rsidTr="0076430F">
        <w:trPr>
          <w:trHeight w:val="300"/>
        </w:trPr>
        <w:tc>
          <w:tcPr>
            <w:tcW w:w="2263" w:type="dxa"/>
            <w:gridSpan w:val="2"/>
            <w:tcBorders>
              <w:top w:val="single" w:sz="4" w:space="0" w:color="000000"/>
              <w:left w:val="single" w:sz="4" w:space="0" w:color="000000"/>
              <w:bottom w:val="single" w:sz="4" w:space="0" w:color="000000"/>
            </w:tcBorders>
            <w:vAlign w:val="center"/>
          </w:tcPr>
          <w:p w14:paraId="1BE9D2A9" w14:textId="77777777" w:rsidR="00AC6BE3" w:rsidRPr="00E93946" w:rsidRDefault="00AC6BE3" w:rsidP="00AC6BE3">
            <w:pPr>
              <w:widowControl w:val="0"/>
              <w:suppressAutoHyphens w:val="0"/>
              <w:overflowPunct/>
              <w:jc w:val="center"/>
              <w:rPr>
                <w:rFonts w:eastAsia="Times New Roman"/>
                <w:sz w:val="22"/>
                <w:szCs w:val="22"/>
              </w:rPr>
            </w:pPr>
            <w:r w:rsidRPr="00E93946">
              <w:rPr>
                <w:sz w:val="22"/>
              </w:rPr>
              <w:t>P ≤ 10</w:t>
            </w:r>
          </w:p>
        </w:tc>
        <w:tc>
          <w:tcPr>
            <w:tcW w:w="2551" w:type="dxa"/>
            <w:tcBorders>
              <w:top w:val="single" w:sz="4" w:space="0" w:color="000000"/>
              <w:left w:val="single" w:sz="4" w:space="0" w:color="000000"/>
              <w:bottom w:val="single" w:sz="4" w:space="0" w:color="000000"/>
              <w:right w:val="single" w:sz="4" w:space="0" w:color="000000"/>
            </w:tcBorders>
            <w:vAlign w:val="center"/>
          </w:tcPr>
          <w:p w14:paraId="74434C12" w14:textId="77777777" w:rsidR="00AC6BE3" w:rsidRPr="00E93946" w:rsidRDefault="00AC6BE3" w:rsidP="00AC6BE3">
            <w:pPr>
              <w:widowControl w:val="0"/>
              <w:suppressAutoHyphens w:val="0"/>
              <w:overflowPunct/>
              <w:jc w:val="center"/>
              <w:rPr>
                <w:rFonts w:eastAsia="Times New Roman"/>
                <w:sz w:val="22"/>
                <w:szCs w:val="22"/>
              </w:rPr>
            </w:pPr>
            <w:r w:rsidRPr="00E93946">
              <w:rPr>
                <w:sz w:val="22"/>
              </w:rPr>
              <w:t>5</w:t>
            </w:r>
          </w:p>
        </w:tc>
        <w:tc>
          <w:tcPr>
            <w:tcW w:w="2410" w:type="dxa"/>
            <w:tcBorders>
              <w:top w:val="single" w:sz="4" w:space="0" w:color="000000"/>
              <w:bottom w:val="single" w:sz="4" w:space="0" w:color="000000"/>
              <w:right w:val="single" w:sz="4" w:space="0" w:color="000000"/>
            </w:tcBorders>
            <w:vAlign w:val="center"/>
          </w:tcPr>
          <w:p w14:paraId="54CA54F6" w14:textId="77777777" w:rsidR="00AC6BE3" w:rsidRPr="00E93946" w:rsidRDefault="00AC6BE3" w:rsidP="00AC6BE3">
            <w:pPr>
              <w:widowControl w:val="0"/>
              <w:suppressAutoHyphens w:val="0"/>
              <w:overflowPunct/>
              <w:jc w:val="center"/>
              <w:rPr>
                <w:rFonts w:eastAsia="Times New Roman"/>
                <w:sz w:val="22"/>
                <w:szCs w:val="22"/>
              </w:rPr>
            </w:pPr>
            <w:r w:rsidRPr="00E93946">
              <w:rPr>
                <w:sz w:val="22"/>
              </w:rPr>
              <w:t>3</w:t>
            </w:r>
          </w:p>
        </w:tc>
        <w:tc>
          <w:tcPr>
            <w:tcW w:w="2452" w:type="dxa"/>
            <w:tcBorders>
              <w:top w:val="single" w:sz="4" w:space="0" w:color="000000"/>
              <w:bottom w:val="single" w:sz="4" w:space="0" w:color="000000"/>
              <w:right w:val="single" w:sz="4" w:space="0" w:color="000000"/>
            </w:tcBorders>
            <w:vAlign w:val="center"/>
          </w:tcPr>
          <w:p w14:paraId="712A361C" w14:textId="77777777" w:rsidR="00AC6BE3" w:rsidRPr="00E93946" w:rsidRDefault="00AC6BE3" w:rsidP="00AC6BE3">
            <w:pPr>
              <w:widowControl w:val="0"/>
              <w:suppressAutoHyphens w:val="0"/>
              <w:overflowPunct/>
              <w:jc w:val="center"/>
              <w:rPr>
                <w:rFonts w:eastAsia="Times New Roman"/>
                <w:sz w:val="22"/>
                <w:szCs w:val="22"/>
              </w:rPr>
            </w:pPr>
            <w:r w:rsidRPr="00E93946">
              <w:rPr>
                <w:sz w:val="22"/>
              </w:rPr>
              <w:t>3</w:t>
            </w:r>
          </w:p>
        </w:tc>
        <w:tc>
          <w:tcPr>
            <w:tcW w:w="236" w:type="dxa"/>
            <w:vAlign w:val="center"/>
          </w:tcPr>
          <w:p w14:paraId="7B6ABAB7" w14:textId="77777777" w:rsidR="00AC6BE3" w:rsidRPr="00E93946" w:rsidRDefault="00AC6BE3" w:rsidP="00AC6BE3">
            <w:pPr>
              <w:widowControl w:val="0"/>
              <w:suppressAutoHyphens w:val="0"/>
              <w:overflowPunct/>
              <w:rPr>
                <w:rFonts w:eastAsia="Times New Roman"/>
                <w:sz w:val="20"/>
                <w:szCs w:val="20"/>
                <w:lang w:eastAsia="it-IT"/>
              </w:rPr>
            </w:pPr>
          </w:p>
        </w:tc>
      </w:tr>
    </w:tbl>
    <w:p w14:paraId="72B13DA9" w14:textId="77777777" w:rsidR="00AC6BE3" w:rsidRPr="00E93946" w:rsidRDefault="00AC6BE3" w:rsidP="00AC6BE3">
      <w:pPr>
        <w:suppressAutoHyphens w:val="0"/>
        <w:overflowPunct/>
        <w:jc w:val="both"/>
        <w:rPr>
          <w:rFonts w:eastAsia="Times New Roman"/>
          <w:lang w:eastAsia="it-IT"/>
        </w:rPr>
      </w:pPr>
    </w:p>
    <w:p w14:paraId="14977688" w14:textId="77777777" w:rsidR="00AC6BE3" w:rsidRPr="00E93946" w:rsidRDefault="00AC6BE3" w:rsidP="00AC6BE3">
      <w:pPr>
        <w:suppressAutoHyphens w:val="0"/>
        <w:overflowPunct/>
        <w:jc w:val="both"/>
        <w:rPr>
          <w:rFonts w:eastAsia="Times New Roman"/>
        </w:rPr>
      </w:pPr>
      <w:r w:rsidRPr="00E93946">
        <w:t>Kompressoriruumi puhul võib välist ohutut vahekaugust, välja arvatud kogukonna hoonete suhtes arvutatud vahemaad, vähendada 50 % võrra, kui pidev varjestus, mis koosneb piisava mehaanilise tugevusega betoonist või muust tulekindlast materjalist seintest, on ehitatud avade (kui see on olemas) ja jaama väliskonstruktsioonide vahele, et tagada väliskonstruktsioonide poole paiskuvate kildude kinnipidamine. Igal juhul ei tohi see vahekaugus olla väiksem kui sama rõhu puhul ette nähtud sisemisest ohutust vahekaugusest ja kaitsekaugusest väiksem.</w:t>
      </w:r>
    </w:p>
    <w:p w14:paraId="11AAF5E2" w14:textId="77777777" w:rsidR="00AC6BE3" w:rsidRPr="00E93946" w:rsidRDefault="00AC6BE3" w:rsidP="00AC6BE3">
      <w:pPr>
        <w:suppressAutoHyphens w:val="0"/>
        <w:overflowPunct/>
        <w:jc w:val="both"/>
        <w:rPr>
          <w:rFonts w:eastAsia="Times New Roman"/>
          <w:lang w:eastAsia="it-IT"/>
        </w:rPr>
      </w:pPr>
    </w:p>
    <w:p w14:paraId="66A79499" w14:textId="77777777" w:rsidR="00AC6BE3" w:rsidRPr="00E93946" w:rsidRDefault="00AC6BE3" w:rsidP="00AC6BE3">
      <w:pPr>
        <w:suppressAutoHyphens w:val="0"/>
        <w:overflowPunct/>
        <w:jc w:val="both"/>
        <w:rPr>
          <w:rFonts w:eastAsia="Times New Roman"/>
        </w:rPr>
      </w:pPr>
      <w:r w:rsidRPr="00E93946">
        <w:t>Torustikuosad (nii kõrg- kui ka madalrõhk) käsitatakse ohtlike elementidena ja kohaldatakse tabelis esitatud ohutuid vahekaugusi, mis vastavad asjakohasele rõhuväärtusele, välja arvatud sisemised ohutud vahekaugused tihedalt seotud protsessielementide suhtes.</w:t>
      </w:r>
    </w:p>
    <w:p w14:paraId="45FCA5F2" w14:textId="77777777" w:rsidR="00AC6BE3" w:rsidRPr="00E93946" w:rsidRDefault="00AC6BE3" w:rsidP="00AC6BE3">
      <w:pPr>
        <w:suppressAutoHyphens w:val="0"/>
        <w:overflowPunct/>
        <w:jc w:val="both"/>
        <w:rPr>
          <w:rFonts w:eastAsia="Times New Roman"/>
          <w:lang w:eastAsia="it-IT"/>
        </w:rPr>
      </w:pPr>
    </w:p>
    <w:p w14:paraId="08771221" w14:textId="77777777" w:rsidR="00AC6BE3" w:rsidRPr="00E93946" w:rsidRDefault="00AC6BE3" w:rsidP="00AC6BE3">
      <w:pPr>
        <w:suppressAutoHyphens w:val="0"/>
        <w:overflowPunct/>
        <w:jc w:val="both"/>
        <w:rPr>
          <w:rFonts w:eastAsia="Times New Roman"/>
        </w:rPr>
      </w:pPr>
      <w:r w:rsidRPr="00E93946">
        <w:t xml:space="preserve">Ohutud vahekaugused peavad olema kahekordsed ühiskondlikes hoonetes (näiteks koolid, haiglad, kontorid, jumalateenistustega seonduvad hooned, avalikud meelelahutuskohad, spordirajatised, turistide majutuskompleksid, supermarketid ja kaubanduskeskused, sõjaväerajatised) ning kohtades, kus liigub palju inimesi (näiteks ühistranspordiliinid, laadad, turud ja muu taoline). Väliste ohutute vahekauguste arvutamine peab hõlmama ka teede, jõgede, ojade ja kanalite laiust. Lisaks, kui väline ohutu vahekaugus viitab ehitusaladele, on lubatud lisada sellesse ettenähtud puhverkaugus, kui kohalikud ehituseeskirjad keelavad ehitamise piiril. </w:t>
      </w:r>
    </w:p>
    <w:p w14:paraId="5AFF2DF7" w14:textId="77777777" w:rsidR="00AC6BE3" w:rsidRPr="00E93946" w:rsidRDefault="00AC6BE3" w:rsidP="00AC6BE3">
      <w:pPr>
        <w:suppressAutoHyphens w:val="0"/>
        <w:overflowPunct/>
        <w:jc w:val="both"/>
        <w:rPr>
          <w:rFonts w:eastAsia="Times New Roman"/>
          <w:lang w:eastAsia="it-IT"/>
        </w:rPr>
      </w:pPr>
    </w:p>
    <w:p w14:paraId="0A933C7E" w14:textId="77777777" w:rsidR="00AC6BE3" w:rsidRPr="00E93946" w:rsidRDefault="00AC6BE3" w:rsidP="00AC6BE3">
      <w:pPr>
        <w:numPr>
          <w:ilvl w:val="0"/>
          <w:numId w:val="35"/>
        </w:numPr>
        <w:suppressAutoHyphens w:val="0"/>
        <w:overflowPunct/>
        <w:jc w:val="both"/>
        <w:rPr>
          <w:rFonts w:eastAsia="Times New Roman"/>
          <w:sz w:val="20"/>
          <w:szCs w:val="20"/>
        </w:rPr>
      </w:pPr>
      <w:r w:rsidRPr="00E93946">
        <w:t>Muud ohutud vahekaugused.</w:t>
      </w:r>
    </w:p>
    <w:p w14:paraId="4D84667E" w14:textId="77777777" w:rsidR="00AC6BE3" w:rsidRPr="00E93946" w:rsidRDefault="00AC6BE3" w:rsidP="00AC6BE3">
      <w:pPr>
        <w:suppressAutoHyphens w:val="0"/>
        <w:overflowPunct/>
        <w:ind w:left="720"/>
        <w:jc w:val="both"/>
        <w:rPr>
          <w:rFonts w:eastAsia="Times New Roman"/>
          <w:lang w:eastAsia="it-IT"/>
        </w:rPr>
      </w:pPr>
    </w:p>
    <w:p w14:paraId="6B5CDCDE" w14:textId="77777777" w:rsidR="00AC6BE3" w:rsidRPr="00E93946" w:rsidRDefault="00AC6BE3" w:rsidP="00AC6BE3">
      <w:pPr>
        <w:suppressAutoHyphens w:val="0"/>
        <w:overflowPunct/>
        <w:jc w:val="both"/>
        <w:rPr>
          <w:rFonts w:eastAsia="Times New Roman"/>
        </w:rPr>
      </w:pPr>
      <w:r w:rsidRPr="00E93946">
        <w:t xml:space="preserve">Punkti 3 alapunktides a–g osutatud ohtlike elementide ja kõrvalteenusteks ettenähtud ruumide vahel tuleb kinni pidada järgmistest ohututest vahekaugustest: </w:t>
      </w:r>
    </w:p>
    <w:p w14:paraId="64921C78" w14:textId="77777777" w:rsidR="00AC6BE3" w:rsidRPr="00E93946" w:rsidRDefault="00AC6BE3" w:rsidP="00AC6BE3">
      <w:pPr>
        <w:suppressAutoHyphens w:val="0"/>
        <w:overflowPunct/>
        <w:rPr>
          <w:rFonts w:eastAsia="Times New Roman"/>
          <w:sz w:val="20"/>
          <w:szCs w:val="20"/>
        </w:rPr>
      </w:pPr>
      <w:r w:rsidRPr="00E93946">
        <w:t xml:space="preserve">a) kõrvalteenuste osutamiseks ettenähtud ruumid: punktis A osutatud ohutud vahemaad; </w:t>
      </w:r>
    </w:p>
    <w:p w14:paraId="545B101E" w14:textId="77777777" w:rsidR="00AC6BE3" w:rsidRPr="00E93946" w:rsidRDefault="00AC6BE3" w:rsidP="00AC6BE3">
      <w:pPr>
        <w:suppressAutoHyphens w:val="0"/>
        <w:overflowPunct/>
        <w:rPr>
          <w:rFonts w:eastAsia="Times New Roman"/>
        </w:rPr>
      </w:pPr>
      <w:r w:rsidRPr="00E93946">
        <w:t xml:space="preserve">b) elektritoitekabiin: 22 m. </w:t>
      </w:r>
    </w:p>
    <w:p w14:paraId="448637A6" w14:textId="77777777" w:rsidR="00AC6BE3" w:rsidRPr="00E93946" w:rsidRDefault="00AC6BE3" w:rsidP="00AC6BE3">
      <w:pPr>
        <w:suppressAutoHyphens w:val="0"/>
        <w:overflowPunct/>
        <w:rPr>
          <w:rFonts w:eastAsia="Times New Roman"/>
          <w:sz w:val="20"/>
          <w:szCs w:val="20"/>
          <w:lang w:eastAsia="it-IT"/>
        </w:rPr>
      </w:pPr>
    </w:p>
    <w:p w14:paraId="6C11B298" w14:textId="77777777" w:rsidR="00AC6BE3" w:rsidRPr="00E93946" w:rsidRDefault="00AC6BE3" w:rsidP="00AC6BE3">
      <w:pPr>
        <w:suppressAutoHyphens w:val="0"/>
        <w:overflowPunct/>
        <w:jc w:val="both"/>
        <w:rPr>
          <w:rFonts w:eastAsia="Times New Roman"/>
        </w:rPr>
      </w:pPr>
      <w:r w:rsidRPr="00E93946">
        <w:t>Punkti 3 alapunktides a–f osutatud jaama ohtlikke elemente sisaldavate ruumide avad tuleb läbi vaadata varjestusseintega, kui need asuvad kõrvalteenuste osutamiseks ettenähtud ruumides.</w:t>
      </w:r>
    </w:p>
    <w:p w14:paraId="7DFD6282" w14:textId="77777777" w:rsidR="00AC6BE3" w:rsidRPr="00E93946" w:rsidRDefault="00AC6BE3" w:rsidP="00AC6BE3">
      <w:pPr>
        <w:suppressAutoHyphens w:val="0"/>
        <w:overflowPunct/>
        <w:jc w:val="both"/>
        <w:rPr>
          <w:rFonts w:eastAsia="Times New Roman"/>
        </w:rPr>
      </w:pPr>
      <w:r w:rsidRPr="00E93946">
        <w:lastRenderedPageBreak/>
        <w:t xml:space="preserve">Seadme ohtlike elementide ja õhuliinide vahel, mille pinge on vahelduvvoolu korral suurem kui 1 000 V ja alalisvoolu korral 1 500 V, tuleb plaani projektsiooni suhtes jälgida 45 m pikkust kaugust. </w:t>
      </w:r>
    </w:p>
    <w:p w14:paraId="7CB907A4" w14:textId="77777777" w:rsidR="00AC6BE3" w:rsidRPr="00E93946" w:rsidRDefault="00AC6BE3" w:rsidP="00AC6BE3">
      <w:pPr>
        <w:suppressAutoHyphens w:val="0"/>
        <w:overflowPunct/>
        <w:jc w:val="both"/>
        <w:rPr>
          <w:rFonts w:eastAsia="Times New Roman"/>
        </w:rPr>
      </w:pPr>
      <w:r w:rsidRPr="00E93946">
        <w:t xml:space="preserve">Jaama õuealasid ei läbita mingil juhul õhuliinidega, mille pinge on kõrgem kui eespool nimetatud. </w:t>
      </w:r>
    </w:p>
    <w:p w14:paraId="61670681" w14:textId="77777777" w:rsidR="00AC6BE3" w:rsidRPr="00E93946" w:rsidRDefault="00AC6BE3" w:rsidP="00AC6BE3">
      <w:pPr>
        <w:suppressAutoHyphens w:val="0"/>
        <w:overflowPunct/>
        <w:jc w:val="both"/>
        <w:rPr>
          <w:rFonts w:eastAsia="Times New Roman"/>
          <w:highlight w:val="lightGray"/>
          <w:lang w:eastAsia="it-IT"/>
        </w:rPr>
      </w:pPr>
    </w:p>
    <w:p w14:paraId="48715A4E" w14:textId="77777777" w:rsidR="00AC6BE3" w:rsidRPr="00E93946" w:rsidRDefault="00AC6BE3" w:rsidP="00AC6BE3">
      <w:pPr>
        <w:suppressAutoHyphens w:val="0"/>
        <w:overflowPunct/>
        <w:spacing w:after="120"/>
        <w:jc w:val="both"/>
        <w:rPr>
          <w:rFonts w:eastAsia="Times New Roman"/>
        </w:rPr>
      </w:pPr>
      <w:r w:rsidRPr="00E93946">
        <w:rPr>
          <w:b/>
        </w:rPr>
        <w:t>19.2 Alternatiivsed meetodid ohutute vahekauguste määramiseks.</w:t>
      </w:r>
    </w:p>
    <w:p w14:paraId="3FA23B34" w14:textId="77777777" w:rsidR="00AC6BE3" w:rsidRPr="00E93946" w:rsidRDefault="00AC6BE3" w:rsidP="00AC6BE3">
      <w:pPr>
        <w:suppressAutoHyphens w:val="0"/>
        <w:overflowPunct/>
        <w:jc w:val="both"/>
        <w:rPr>
          <w:rFonts w:eastAsia="Times New Roman"/>
        </w:rPr>
      </w:pPr>
      <w:r w:rsidRPr="00E93946">
        <w:t>Käesolevas jaos nimetatud kaugustest erinevad ohutud vahekaugused võib kindlaks määrata tuleohutuse inseneriteaduste meetoditega, mis on kehtestatud siseministri 9. mai 2007. aasta dekreediga.</w:t>
      </w:r>
    </w:p>
    <w:p w14:paraId="4DC5FDB3" w14:textId="77777777" w:rsidR="00AC6BE3" w:rsidRPr="00E93946" w:rsidRDefault="00AC6BE3" w:rsidP="00AC6BE3">
      <w:pPr>
        <w:suppressAutoHyphens w:val="0"/>
        <w:overflowPunct/>
        <w:jc w:val="both"/>
        <w:rPr>
          <w:rFonts w:eastAsia="Times New Roman"/>
        </w:rPr>
      </w:pPr>
      <w:bookmarkStart w:id="0" w:name="_gjdgxs"/>
      <w:bookmarkEnd w:id="0"/>
      <w:r w:rsidRPr="00E93946">
        <w:t>Kui ohtlikud elemendid ületavad punktis 19.1 esitatud tabelis esitatud rõhuväärtusi, määratakse ohutud vahekaugused kindlaks ministri 9. mai 2007. aasta dekreedis osutatud tehnilise lähenemisviisi abil tuleohutusele.</w:t>
      </w:r>
    </w:p>
    <w:p w14:paraId="3FA2A4A1" w14:textId="77777777" w:rsidR="00AC6BE3" w:rsidRPr="00E93946" w:rsidRDefault="00AC6BE3" w:rsidP="00AC6BE3">
      <w:pPr>
        <w:suppressAutoHyphens w:val="0"/>
        <w:overflowPunct/>
        <w:jc w:val="both"/>
        <w:rPr>
          <w:rFonts w:eastAsia="Times New Roman"/>
          <w:lang w:eastAsia="it-IT"/>
        </w:rPr>
      </w:pPr>
    </w:p>
    <w:p w14:paraId="5D927DD7" w14:textId="77777777" w:rsidR="00AC6BE3" w:rsidRPr="00E93946" w:rsidRDefault="00AC6BE3" w:rsidP="00AC6BE3">
      <w:pPr>
        <w:suppressAutoHyphens w:val="0"/>
        <w:overflowPunct/>
        <w:jc w:val="both"/>
        <w:rPr>
          <w:rFonts w:eastAsia="Times New Roman"/>
          <w:lang w:eastAsia="it-IT"/>
        </w:rPr>
      </w:pPr>
    </w:p>
    <w:p w14:paraId="57F29AA3" w14:textId="77777777" w:rsidR="00AC6BE3" w:rsidRPr="00E93946" w:rsidRDefault="00AC6BE3" w:rsidP="00AC6BE3">
      <w:pPr>
        <w:suppressAutoHyphens w:val="0"/>
        <w:overflowPunct/>
        <w:jc w:val="both"/>
        <w:rPr>
          <w:rFonts w:eastAsia="Times New Roman"/>
          <w:lang w:eastAsia="it-IT"/>
        </w:rPr>
      </w:pPr>
    </w:p>
    <w:p w14:paraId="112350E2" w14:textId="77777777" w:rsidR="00AC6BE3" w:rsidRPr="00E93946" w:rsidRDefault="00AC6BE3" w:rsidP="00AC6BE3">
      <w:pPr>
        <w:suppressAutoHyphens w:val="0"/>
        <w:overflowPunct/>
        <w:jc w:val="center"/>
        <w:rPr>
          <w:rFonts w:eastAsia="Times New Roman"/>
        </w:rPr>
      </w:pPr>
      <w:r w:rsidRPr="00E93946">
        <w:rPr>
          <w:b/>
        </w:rPr>
        <w:t>V jaotis – Käitamiseeskirjad</w:t>
      </w:r>
    </w:p>
    <w:p w14:paraId="12E2B6A3" w14:textId="77777777" w:rsidR="00AC6BE3" w:rsidRPr="00E93946" w:rsidRDefault="00AC6BE3" w:rsidP="00AC6BE3">
      <w:pPr>
        <w:suppressAutoHyphens w:val="0"/>
        <w:overflowPunct/>
        <w:jc w:val="both"/>
        <w:rPr>
          <w:rFonts w:eastAsia="Times New Roman"/>
          <w:lang w:eastAsia="it-IT"/>
        </w:rPr>
      </w:pPr>
    </w:p>
    <w:p w14:paraId="1E853819" w14:textId="77777777" w:rsidR="00AC6BE3" w:rsidRPr="00E93946" w:rsidRDefault="00AC6BE3" w:rsidP="00AC6BE3">
      <w:pPr>
        <w:suppressAutoHyphens w:val="0"/>
        <w:overflowPunct/>
        <w:spacing w:after="120"/>
        <w:jc w:val="both"/>
        <w:rPr>
          <w:rFonts w:eastAsia="Times New Roman"/>
        </w:rPr>
      </w:pPr>
      <w:r w:rsidRPr="00E93946">
        <w:rPr>
          <w:b/>
        </w:rPr>
        <w:t>20.1. Ülevaade.</w:t>
      </w:r>
    </w:p>
    <w:p w14:paraId="77C5E95A" w14:textId="77777777" w:rsidR="00AC6BE3" w:rsidRPr="00E93946" w:rsidRDefault="00AC6BE3" w:rsidP="00AC6BE3">
      <w:pPr>
        <w:suppressAutoHyphens w:val="0"/>
        <w:overflowPunct/>
        <w:jc w:val="both"/>
        <w:rPr>
          <w:rFonts w:eastAsia="Times New Roman"/>
        </w:rPr>
      </w:pPr>
      <w:r w:rsidRPr="00E93946">
        <w:t xml:space="preserve">Lisaks presidendi 1. augusti 2011. aasta dekreedi nr 151 artiklis 6 sätestatud kohustustele ning siseministri 1. septembri 2021. aasta, 2. septembri 2021. aasta ja 3. septembri 2021. aasta määruste sätetele peavad vesiniku tootmisjaamade käitamisel olema täidetud järgmistes punktides sätestatud nõuded. </w:t>
      </w:r>
    </w:p>
    <w:p w14:paraId="7E960C77" w14:textId="77777777" w:rsidR="00AC6BE3" w:rsidRPr="00E93946" w:rsidRDefault="00AC6BE3" w:rsidP="00AC6BE3">
      <w:pPr>
        <w:suppressAutoHyphens w:val="0"/>
        <w:overflowPunct/>
        <w:jc w:val="both"/>
        <w:rPr>
          <w:rFonts w:eastAsia="Times New Roman"/>
        </w:rPr>
      </w:pPr>
      <w:r w:rsidRPr="00E93946">
        <w:t xml:space="preserve">Tegevuse juht tagab jaama hooldamise kooskõlas parimate tavadega. </w:t>
      </w:r>
    </w:p>
    <w:p w14:paraId="5D692B4A" w14:textId="77777777" w:rsidR="00AC6BE3" w:rsidRPr="00E93946" w:rsidRDefault="00AC6BE3" w:rsidP="00AC6BE3">
      <w:pPr>
        <w:suppressAutoHyphens w:val="0"/>
        <w:overflowPunct/>
        <w:jc w:val="both"/>
        <w:rPr>
          <w:rFonts w:eastAsia="Times New Roman"/>
          <w:highlight w:val="lightGray"/>
          <w:lang w:eastAsia="it-IT"/>
        </w:rPr>
      </w:pPr>
    </w:p>
    <w:p w14:paraId="26AE8BAD" w14:textId="77777777" w:rsidR="00AC6BE3" w:rsidRPr="00E93946" w:rsidRDefault="00AC6BE3" w:rsidP="00AC6BE3">
      <w:pPr>
        <w:suppressAutoHyphens w:val="0"/>
        <w:overflowPunct/>
        <w:spacing w:after="120"/>
        <w:jc w:val="both"/>
        <w:rPr>
          <w:rFonts w:eastAsia="Times New Roman"/>
        </w:rPr>
      </w:pPr>
      <w:r w:rsidRPr="00E93946">
        <w:rPr>
          <w:b/>
        </w:rPr>
        <w:t>20.2. Jaama töö.</w:t>
      </w:r>
    </w:p>
    <w:p w14:paraId="113144DE" w14:textId="77777777" w:rsidR="00AC6BE3" w:rsidRPr="00E93946" w:rsidRDefault="00AC6BE3" w:rsidP="00AC6BE3">
      <w:pPr>
        <w:suppressAutoHyphens w:val="0"/>
        <w:overflowPunct/>
        <w:jc w:val="both"/>
        <w:rPr>
          <w:rFonts w:eastAsia="Times New Roman"/>
        </w:rPr>
      </w:pPr>
      <w:r w:rsidRPr="00E93946">
        <w:t xml:space="preserve">Tegevus on lubatud üksnes tegevusjuhi või tema poolt ametlikult määratud ühe või mitme isiku järelevalve all, isegi kui see on kaugosaluse teel. Tegevuse eest vastutav isik ja määratud personal peavad läbima erikoolituse, mis käsitleb jaama tööd, kasutatud või ladustatud toodetest tuleneda võivaid ohte ja puudusi ning õnnetuse korral võetavaid ohutusmeetmeid. See koolitus laieneb ka hooldustöötajatele. </w:t>
      </w:r>
    </w:p>
    <w:p w14:paraId="2A2BA409" w14:textId="77777777" w:rsidR="00AC6BE3" w:rsidRPr="00E93946" w:rsidRDefault="00AC6BE3" w:rsidP="00AC6BE3">
      <w:pPr>
        <w:suppressAutoHyphens w:val="0"/>
        <w:overflowPunct/>
        <w:jc w:val="both"/>
        <w:rPr>
          <w:rFonts w:eastAsia="Times New Roman"/>
        </w:rPr>
      </w:pPr>
      <w:r w:rsidRPr="00E93946">
        <w:t>Jaama aladel ja eelkõige kastides on tuleohtlike või põlevate materjalide ladustamine keelatud, välja arvatud jaama tööks vajalike tuleohtlike materjalide või kütuste puhul.</w:t>
      </w:r>
    </w:p>
    <w:p w14:paraId="6740A743" w14:textId="77777777" w:rsidR="00AC6BE3" w:rsidRPr="00E93946" w:rsidRDefault="00AC6BE3" w:rsidP="00AC6BE3">
      <w:pPr>
        <w:suppressAutoHyphens w:val="0"/>
        <w:overflowPunct/>
        <w:jc w:val="both"/>
        <w:rPr>
          <w:rFonts w:eastAsia="Times New Roman"/>
          <w:highlight w:val="lightGray"/>
          <w:lang w:eastAsia="it-IT"/>
        </w:rPr>
      </w:pPr>
    </w:p>
    <w:p w14:paraId="365DA5CF" w14:textId="77777777" w:rsidR="00AC6BE3" w:rsidRPr="00E93946" w:rsidRDefault="00AC6BE3" w:rsidP="00AC6BE3">
      <w:pPr>
        <w:suppressAutoHyphens w:val="0"/>
        <w:overflowPunct/>
        <w:spacing w:after="120"/>
        <w:jc w:val="both"/>
        <w:rPr>
          <w:rFonts w:eastAsia="Times New Roman"/>
        </w:rPr>
      </w:pPr>
      <w:r w:rsidRPr="00E93946">
        <w:rPr>
          <w:b/>
        </w:rPr>
        <w:t>20.3. Balloonvagunite peale- ja mahalaadimine.</w:t>
      </w:r>
    </w:p>
    <w:p w14:paraId="41AEC254" w14:textId="77777777" w:rsidR="00AC6BE3" w:rsidRPr="00E93946" w:rsidRDefault="00AC6BE3" w:rsidP="00AC6BE3">
      <w:pPr>
        <w:suppressAutoHyphens w:val="0"/>
        <w:overflowPunct/>
        <w:spacing w:after="120"/>
        <w:jc w:val="both"/>
        <w:rPr>
          <w:rFonts w:eastAsia="Times New Roman"/>
        </w:rPr>
      </w:pPr>
      <w:r w:rsidRPr="00E93946">
        <w:t xml:space="preserve">Balloonvagunite peale- ja mahalaadimisel ning jaama tavapärase käitamise ajal peavad asjaomased töötajad järgima ja tagama, et täidetud on järgmised nõuded: </w:t>
      </w:r>
    </w:p>
    <w:p w14:paraId="6861D8F8" w14:textId="77777777" w:rsidR="00AC6BE3" w:rsidRPr="00E93946" w:rsidRDefault="00AC6BE3" w:rsidP="00AC6BE3">
      <w:pPr>
        <w:numPr>
          <w:ilvl w:val="0"/>
          <w:numId w:val="30"/>
        </w:numPr>
        <w:suppressAutoHyphens w:val="0"/>
        <w:overflowPunct/>
        <w:ind w:left="426" w:hanging="426"/>
        <w:jc w:val="both"/>
        <w:rPr>
          <w:rFonts w:eastAsia="Times New Roman"/>
          <w:sz w:val="20"/>
          <w:szCs w:val="20"/>
        </w:rPr>
      </w:pPr>
      <w:r w:rsidRPr="00E93946">
        <w:t xml:space="preserve">vähemalt üks süsteemi paigaldatud tulekustuti, mis on kasutusvalmis, paigutatakse asjaomase laadimiskoha lähedusse; </w:t>
      </w:r>
    </w:p>
    <w:p w14:paraId="0CCD94BD" w14:textId="77777777" w:rsidR="00AC6BE3" w:rsidRPr="00E93946" w:rsidRDefault="00AC6BE3" w:rsidP="00AC6BE3">
      <w:pPr>
        <w:numPr>
          <w:ilvl w:val="0"/>
          <w:numId w:val="30"/>
        </w:numPr>
        <w:suppressAutoHyphens w:val="0"/>
        <w:overflowPunct/>
        <w:ind w:left="426" w:hanging="426"/>
        <w:jc w:val="both"/>
        <w:rPr>
          <w:rFonts w:eastAsia="Times New Roman"/>
          <w:sz w:val="20"/>
          <w:szCs w:val="20"/>
        </w:rPr>
      </w:pPr>
      <w:r w:rsidRPr="00E93946">
        <w:t xml:space="preserve">balloonvaguneid vedavate sõidukite mootorid on välja lülitatud ja nende väljalülitamisest enne peale- ja mahalaadimist on lubatud vähemalt 15 minutit; </w:t>
      </w:r>
    </w:p>
    <w:p w14:paraId="45CFC6B0" w14:textId="77777777" w:rsidR="00AC6BE3" w:rsidRPr="00E93946" w:rsidRDefault="00AC6BE3" w:rsidP="00AC6BE3">
      <w:pPr>
        <w:numPr>
          <w:ilvl w:val="0"/>
          <w:numId w:val="30"/>
        </w:numPr>
        <w:suppressAutoHyphens w:val="0"/>
        <w:overflowPunct/>
        <w:ind w:left="426" w:hanging="426"/>
        <w:jc w:val="both"/>
        <w:rPr>
          <w:rFonts w:eastAsia="Times New Roman"/>
          <w:sz w:val="20"/>
          <w:szCs w:val="20"/>
        </w:rPr>
      </w:pPr>
      <w:r w:rsidRPr="00E93946">
        <w:t>peale- ja mahalaadimise ajal tuleb järgida ja jõustada suitsetamiskeeldu, sealhulgas sõidukis, ning igal juhul tuleb vältida lahtiste leekide põlemist või ringlemist laadimiskoha perimeetrist vähemalt 6 m raadiuses; samuti tuleb järgida mobiiltelefonide või muude WiFi-süsteemide süütamise ja kasutamise keeldu, sealhulgas sõidukis ja laadimiskoha perimeetrist vähemalt 2 m raadiuses;</w:t>
      </w:r>
    </w:p>
    <w:p w14:paraId="4F063856" w14:textId="77777777" w:rsidR="00AC6BE3" w:rsidRPr="00E93946" w:rsidRDefault="00AC6BE3" w:rsidP="00AC6BE3">
      <w:pPr>
        <w:numPr>
          <w:ilvl w:val="0"/>
          <w:numId w:val="30"/>
        </w:numPr>
        <w:suppressAutoHyphens w:val="0"/>
        <w:overflowPunct/>
        <w:spacing w:after="120"/>
        <w:ind w:left="426" w:hanging="426"/>
        <w:jc w:val="both"/>
        <w:rPr>
          <w:rFonts w:eastAsia="Times New Roman"/>
          <w:sz w:val="20"/>
          <w:szCs w:val="20"/>
        </w:rPr>
      </w:pPr>
      <w:r w:rsidRPr="00E93946">
        <w:t>ühendus balloonvaguni ja paagi vahel peab olema paigaldatud nii, et oleks tagatud elektriline järjepidevus; täitmistoimingute kohas tuleb paigaldada pistikupesa paakauto ja statsionaarse jaama vaheliseks varustuse ühendamiseks.</w:t>
      </w:r>
    </w:p>
    <w:p w14:paraId="3CAC1262" w14:textId="77777777" w:rsidR="00AC6BE3" w:rsidRPr="00E93946" w:rsidRDefault="00AC6BE3" w:rsidP="00AC6BE3">
      <w:pPr>
        <w:suppressAutoHyphens w:val="0"/>
        <w:overflowPunct/>
        <w:jc w:val="both"/>
        <w:rPr>
          <w:rFonts w:eastAsia="Times New Roman"/>
        </w:rPr>
      </w:pPr>
      <w:r w:rsidRPr="00E93946">
        <w:t>Töötajad peavad olema peale- ja mahalaadimise ajal kohal.</w:t>
      </w:r>
    </w:p>
    <w:p w14:paraId="304A1CF5" w14:textId="77777777" w:rsidR="00AC6BE3" w:rsidRPr="00E93946" w:rsidRDefault="00AC6BE3" w:rsidP="00AC6BE3">
      <w:pPr>
        <w:suppressAutoHyphens w:val="0"/>
        <w:overflowPunct/>
        <w:jc w:val="both"/>
        <w:rPr>
          <w:rFonts w:eastAsia="Times New Roman"/>
          <w:highlight w:val="lightGray"/>
          <w:lang w:eastAsia="it-IT"/>
        </w:rPr>
      </w:pPr>
    </w:p>
    <w:p w14:paraId="2645B74D" w14:textId="77777777" w:rsidR="00AC6BE3" w:rsidRPr="00E93946" w:rsidRDefault="00AC6BE3" w:rsidP="00AC6BE3">
      <w:pPr>
        <w:suppressAutoHyphens w:val="0"/>
        <w:overflowPunct/>
        <w:spacing w:after="120"/>
        <w:jc w:val="both"/>
        <w:rPr>
          <w:rFonts w:eastAsia="Times New Roman"/>
        </w:rPr>
      </w:pPr>
      <w:r w:rsidRPr="00E93946">
        <w:rPr>
          <w:b/>
        </w:rPr>
        <w:t>20.4. Üldised nõuded avarii puhul.</w:t>
      </w:r>
    </w:p>
    <w:p w14:paraId="5B95C5B6" w14:textId="77777777" w:rsidR="00AC6BE3" w:rsidRPr="00E93946" w:rsidRDefault="00AC6BE3" w:rsidP="00AC6BE3">
      <w:pPr>
        <w:suppressAutoHyphens w:val="0"/>
        <w:overflowPunct/>
        <w:spacing w:after="120"/>
        <w:jc w:val="both"/>
        <w:rPr>
          <w:rFonts w:eastAsia="Times New Roman"/>
        </w:rPr>
      </w:pPr>
      <w:r w:rsidRPr="00E93946">
        <w:t xml:space="preserve">Volitatud töötajad peavad: </w:t>
      </w:r>
    </w:p>
    <w:p w14:paraId="1BCEAE90" w14:textId="77777777" w:rsidR="00AC6BE3" w:rsidRPr="00E93946" w:rsidRDefault="00AC6BE3" w:rsidP="00AC6BE3">
      <w:pPr>
        <w:numPr>
          <w:ilvl w:val="0"/>
          <w:numId w:val="23"/>
        </w:numPr>
        <w:suppressAutoHyphens w:val="0"/>
        <w:overflowPunct/>
        <w:jc w:val="both"/>
        <w:rPr>
          <w:rFonts w:eastAsia="Times New Roman"/>
          <w:sz w:val="20"/>
          <w:szCs w:val="20"/>
        </w:rPr>
      </w:pPr>
      <w:r w:rsidRPr="00E93946">
        <w:t>olema teadlikud käesolevas lisas sisalduvates reeglitest, siseturvaeeskirjadest ja kehtestatud avariiplaanist;</w:t>
      </w:r>
    </w:p>
    <w:p w14:paraId="630B7CD0" w14:textId="77777777" w:rsidR="00AC6BE3" w:rsidRPr="00E93946" w:rsidRDefault="00AC6BE3" w:rsidP="00AC6BE3">
      <w:pPr>
        <w:numPr>
          <w:ilvl w:val="0"/>
          <w:numId w:val="23"/>
        </w:numPr>
        <w:suppressAutoHyphens w:val="0"/>
        <w:overflowPunct/>
        <w:jc w:val="both"/>
        <w:rPr>
          <w:rFonts w:eastAsia="Times New Roman"/>
          <w:sz w:val="20"/>
          <w:szCs w:val="20"/>
        </w:rPr>
      </w:pPr>
      <w:r w:rsidRPr="00E93946">
        <w:t>sekkuma viivitamata tulekahju või ohu korral jaama tarnitavate seadmete ja avariivarustuse abil ning takistama hoiatuste, tõkete ja muude sobivate vahendite abil teiste sõidukite või inimeste juurdepääsu süsteemile;</w:t>
      </w:r>
    </w:p>
    <w:p w14:paraId="4AC021BC" w14:textId="77777777" w:rsidR="00AC6BE3" w:rsidRPr="00E93946" w:rsidRDefault="00AC6BE3" w:rsidP="00AC6BE3">
      <w:pPr>
        <w:numPr>
          <w:ilvl w:val="0"/>
          <w:numId w:val="23"/>
        </w:numPr>
        <w:suppressAutoHyphens w:val="0"/>
        <w:overflowPunct/>
        <w:jc w:val="both"/>
        <w:rPr>
          <w:rFonts w:eastAsia="Times New Roman"/>
          <w:sz w:val="20"/>
          <w:szCs w:val="20"/>
        </w:rPr>
      </w:pPr>
      <w:r w:rsidRPr="00E93946">
        <w:t>hoiatama päästeteenistusi.</w:t>
      </w:r>
    </w:p>
    <w:p w14:paraId="47DB11E6" w14:textId="77777777" w:rsidR="00AC6BE3" w:rsidRPr="00E93946" w:rsidRDefault="00AC6BE3" w:rsidP="00AC6BE3">
      <w:pPr>
        <w:suppressAutoHyphens w:val="0"/>
        <w:overflowPunct/>
        <w:jc w:val="both"/>
        <w:rPr>
          <w:rFonts w:eastAsia="Times New Roman"/>
          <w:lang w:eastAsia="it-IT"/>
        </w:rPr>
      </w:pPr>
    </w:p>
    <w:p w14:paraId="3A4A6DE9" w14:textId="77777777" w:rsidR="00AC6BE3" w:rsidRPr="00E93946" w:rsidRDefault="00AC6BE3" w:rsidP="00AC6BE3">
      <w:pPr>
        <w:suppressAutoHyphens w:val="0"/>
        <w:overflowPunct/>
        <w:spacing w:after="120"/>
        <w:jc w:val="both"/>
        <w:rPr>
          <w:rFonts w:eastAsia="Times New Roman"/>
        </w:rPr>
      </w:pPr>
      <w:r w:rsidRPr="00E93946">
        <w:rPr>
          <w:b/>
        </w:rPr>
        <w:t>20.5. Tehnilised dokumendid.</w:t>
      </w:r>
    </w:p>
    <w:p w14:paraId="546756D0" w14:textId="77777777" w:rsidR="00AC6BE3" w:rsidRPr="00E93946" w:rsidRDefault="00AC6BE3" w:rsidP="00AC6BE3">
      <w:pPr>
        <w:suppressAutoHyphens w:val="0"/>
        <w:overflowPunct/>
        <w:spacing w:after="120"/>
        <w:jc w:val="both"/>
        <w:rPr>
          <w:rFonts w:eastAsia="Times New Roman"/>
        </w:rPr>
      </w:pPr>
      <w:r w:rsidRPr="00E93946">
        <w:t xml:space="preserve">Jaamas peavad olema kättesaadavad järgmised dokumendid: </w:t>
      </w:r>
    </w:p>
    <w:p w14:paraId="1B7A5B3B" w14:textId="77777777" w:rsidR="00AC6BE3" w:rsidRPr="00E93946" w:rsidRDefault="00AC6BE3" w:rsidP="00AC6BE3">
      <w:pPr>
        <w:numPr>
          <w:ilvl w:val="0"/>
          <w:numId w:val="36"/>
        </w:numPr>
        <w:suppressAutoHyphens w:val="0"/>
        <w:overflowPunct/>
        <w:ind w:left="709"/>
        <w:jc w:val="both"/>
        <w:rPr>
          <w:rFonts w:eastAsia="Times New Roman"/>
          <w:sz w:val="20"/>
          <w:szCs w:val="20"/>
        </w:rPr>
      </w:pPr>
      <w:r w:rsidRPr="00E93946">
        <w:t xml:space="preserve">kasutusjuhend, mis sisaldab juhiseid jaama käitamiseks; </w:t>
      </w:r>
    </w:p>
    <w:p w14:paraId="400AAEF7" w14:textId="77777777" w:rsidR="00AC6BE3" w:rsidRPr="00E93946" w:rsidRDefault="00AC6BE3" w:rsidP="00AC6BE3">
      <w:pPr>
        <w:numPr>
          <w:ilvl w:val="0"/>
          <w:numId w:val="36"/>
        </w:numPr>
        <w:suppressAutoHyphens w:val="0"/>
        <w:overflowPunct/>
        <w:ind w:left="709"/>
        <w:jc w:val="both"/>
        <w:rPr>
          <w:rFonts w:eastAsia="Times New Roman"/>
          <w:sz w:val="20"/>
          <w:szCs w:val="20"/>
        </w:rPr>
      </w:pPr>
      <w:r w:rsidRPr="00E93946">
        <w:t xml:space="preserve">hädaolukorra lahendamise plaan, mis sisaldab jaama kindlustamise protseduure: </w:t>
      </w:r>
    </w:p>
    <w:p w14:paraId="74E70CF9" w14:textId="77777777" w:rsidR="00AC6BE3" w:rsidRPr="00E93946" w:rsidRDefault="00AC6BE3" w:rsidP="00AC6BE3">
      <w:pPr>
        <w:numPr>
          <w:ilvl w:val="0"/>
          <w:numId w:val="36"/>
        </w:numPr>
        <w:suppressAutoHyphens w:val="0"/>
        <w:overflowPunct/>
        <w:ind w:left="709"/>
        <w:jc w:val="both"/>
        <w:rPr>
          <w:rFonts w:eastAsia="Times New Roman"/>
          <w:sz w:val="20"/>
          <w:szCs w:val="20"/>
        </w:rPr>
      </w:pPr>
      <w:r w:rsidRPr="00E93946">
        <w:t xml:space="preserve">vesiniku hoiustamis-, tootmis-, mõõtmis-, pakkimis- ja jaotusjaamade lihtsustatud vooskeem; </w:t>
      </w:r>
    </w:p>
    <w:p w14:paraId="5EE9A517" w14:textId="77777777" w:rsidR="00AC6BE3" w:rsidRPr="00E93946" w:rsidRDefault="00AC6BE3" w:rsidP="00AC6BE3">
      <w:pPr>
        <w:numPr>
          <w:ilvl w:val="0"/>
          <w:numId w:val="36"/>
        </w:numPr>
        <w:suppressAutoHyphens w:val="0"/>
        <w:overflowPunct/>
        <w:ind w:left="709"/>
        <w:jc w:val="both"/>
        <w:rPr>
          <w:rFonts w:eastAsia="Times New Roman"/>
          <w:sz w:val="20"/>
          <w:szCs w:val="20"/>
        </w:rPr>
      </w:pPr>
      <w:r w:rsidRPr="00E93946">
        <w:t xml:space="preserve">kava, milles on näidatud tuletõrjesüsteemide ja -varustuse asukoht ning üksikute tuletõrjesüsteemidega kaitstud alad; </w:t>
      </w:r>
    </w:p>
    <w:p w14:paraId="446F4E47" w14:textId="77777777" w:rsidR="00AC6BE3" w:rsidRPr="00E93946" w:rsidRDefault="00AC6BE3" w:rsidP="00AC6BE3">
      <w:pPr>
        <w:numPr>
          <w:ilvl w:val="0"/>
          <w:numId w:val="36"/>
        </w:numPr>
        <w:suppressAutoHyphens w:val="0"/>
        <w:overflowPunct/>
        <w:ind w:left="709"/>
        <w:jc w:val="both"/>
        <w:rPr>
          <w:rFonts w:eastAsia="Times New Roman"/>
          <w:sz w:val="20"/>
          <w:szCs w:val="20"/>
        </w:rPr>
      </w:pPr>
      <w:r w:rsidRPr="00E93946">
        <w:t xml:space="preserve">elektri-, signalisatsiooni- ja häiresüsteemide skeemid; </w:t>
      </w:r>
    </w:p>
    <w:p w14:paraId="7D1ADB59" w14:textId="77777777" w:rsidR="00AC6BE3" w:rsidRPr="00E93946" w:rsidRDefault="00AC6BE3" w:rsidP="00AC6BE3">
      <w:pPr>
        <w:numPr>
          <w:ilvl w:val="0"/>
          <w:numId w:val="36"/>
        </w:numPr>
        <w:suppressAutoHyphens w:val="0"/>
        <w:overflowPunct/>
        <w:ind w:left="709"/>
        <w:jc w:val="both"/>
        <w:rPr>
          <w:rFonts w:eastAsia="Times New Roman"/>
          <w:sz w:val="20"/>
          <w:szCs w:val="20"/>
        </w:rPr>
      </w:pPr>
      <w:r w:rsidRPr="00E93946">
        <w:t xml:space="preserve">jaama hoolduspäevik, kus on näidatud kavandatud hooldussagedus ja tehtud toimingud. </w:t>
      </w:r>
    </w:p>
    <w:p w14:paraId="0A5DD235" w14:textId="77777777" w:rsidR="00AC6BE3" w:rsidRPr="00E93946" w:rsidRDefault="00AC6BE3" w:rsidP="00AC6BE3">
      <w:pPr>
        <w:suppressAutoHyphens w:val="0"/>
        <w:overflowPunct/>
        <w:jc w:val="both"/>
        <w:rPr>
          <w:rFonts w:eastAsia="Times New Roman"/>
          <w:lang w:eastAsia="it-IT"/>
        </w:rPr>
      </w:pPr>
    </w:p>
    <w:p w14:paraId="4C55EBE2" w14:textId="77777777" w:rsidR="00AC6BE3" w:rsidRPr="00E93946" w:rsidRDefault="00AC6BE3" w:rsidP="00AC6BE3">
      <w:pPr>
        <w:suppressAutoHyphens w:val="0"/>
        <w:overflowPunct/>
        <w:spacing w:after="120"/>
        <w:jc w:val="both"/>
        <w:rPr>
          <w:rFonts w:eastAsia="Times New Roman"/>
        </w:rPr>
      </w:pPr>
      <w:r w:rsidRPr="00E93946">
        <w:rPr>
          <w:b/>
        </w:rPr>
        <w:t>20.6. Ohutustähised.</w:t>
      </w:r>
    </w:p>
    <w:p w14:paraId="17471286" w14:textId="77777777" w:rsidR="00AC6BE3" w:rsidRPr="00E93946" w:rsidRDefault="00AC6BE3" w:rsidP="00AC6BE3">
      <w:pPr>
        <w:suppressAutoHyphens w:val="0"/>
        <w:overflowPunct/>
        <w:jc w:val="both"/>
        <w:rPr>
          <w:rFonts w:eastAsia="Times New Roman"/>
        </w:rPr>
      </w:pPr>
      <w:r w:rsidRPr="00E93946">
        <w:t xml:space="preserve">Muu hulgas tuleb järgida 9. aprilli 2008. aasta seadusandliku dekreedi nr 81 sätteid ohutusmärkide kohta. Peale selle peavad sobivad märgid olema selgelt nähtavas asendis, mis sisaldab jaama vooskeemi, millel on näidatud ventiilid, seadmed ja salvestusseadmed, et neid oleks lihtne tuvastada. </w:t>
      </w:r>
    </w:p>
    <w:p w14:paraId="1C9E54DB" w14:textId="77777777" w:rsidR="00AC6BE3" w:rsidRPr="00E93946" w:rsidRDefault="00AC6BE3" w:rsidP="00AC6BE3">
      <w:pPr>
        <w:suppressAutoHyphens w:val="0"/>
        <w:overflowPunct/>
        <w:jc w:val="both"/>
        <w:rPr>
          <w:rFonts w:eastAsia="Times New Roman"/>
        </w:rPr>
      </w:pPr>
      <w:r w:rsidRPr="00E93946">
        <w:t xml:space="preserve">Jaama plaan peab olema nähtav ja asjaomastele töötajatele lisatud juhised järgneva kohta: </w:t>
      </w:r>
    </w:p>
    <w:p w14:paraId="012A158D" w14:textId="77777777" w:rsidR="00AC6BE3" w:rsidRPr="00E93946" w:rsidRDefault="00AC6BE3" w:rsidP="00AC6BE3">
      <w:pPr>
        <w:numPr>
          <w:ilvl w:val="0"/>
          <w:numId w:val="29"/>
        </w:numPr>
        <w:suppressAutoHyphens w:val="0"/>
        <w:overflowPunct/>
        <w:jc w:val="both"/>
        <w:rPr>
          <w:rFonts w:eastAsia="Times New Roman"/>
          <w:sz w:val="20"/>
          <w:szCs w:val="20"/>
        </w:rPr>
      </w:pPr>
      <w:r w:rsidRPr="00E93946">
        <w:t xml:space="preserve">käitumine hädaolukorras; </w:t>
      </w:r>
    </w:p>
    <w:p w14:paraId="46897A58" w14:textId="77777777" w:rsidR="00AC6BE3" w:rsidRPr="00E93946" w:rsidRDefault="00AC6BE3" w:rsidP="00AC6BE3">
      <w:pPr>
        <w:numPr>
          <w:ilvl w:val="0"/>
          <w:numId w:val="29"/>
        </w:numPr>
        <w:suppressAutoHyphens w:val="0"/>
        <w:overflowPunct/>
        <w:jc w:val="both"/>
        <w:rPr>
          <w:rFonts w:eastAsia="Times New Roman"/>
          <w:sz w:val="20"/>
          <w:szCs w:val="20"/>
        </w:rPr>
      </w:pPr>
      <w:r w:rsidRPr="00E93946">
        <w:t xml:space="preserve">ohutusseadiste asukoht; </w:t>
      </w:r>
    </w:p>
    <w:p w14:paraId="23275DAF" w14:textId="77777777" w:rsidR="00AC6BE3" w:rsidRPr="00E93946" w:rsidRDefault="00AC6BE3" w:rsidP="00AC6BE3">
      <w:pPr>
        <w:numPr>
          <w:ilvl w:val="0"/>
          <w:numId w:val="29"/>
        </w:numPr>
        <w:suppressAutoHyphens w:val="0"/>
        <w:overflowPunct/>
        <w:jc w:val="both"/>
        <w:rPr>
          <w:rFonts w:eastAsia="Times New Roman"/>
          <w:sz w:val="20"/>
          <w:szCs w:val="20"/>
        </w:rPr>
      </w:pPr>
      <w:r w:rsidRPr="00E93946">
        <w:t xml:space="preserve">jaama turvalisuse tagamiseks tehtavad manöövrid (nt avariinuppude aktiveerimine, tuletõrjeseadmete käitamine). </w:t>
      </w:r>
    </w:p>
    <w:p w14:paraId="6803E630" w14:textId="77777777" w:rsidR="00EC2FBC" w:rsidRDefault="00EC2FBC">
      <w:pPr>
        <w:jc w:val="both"/>
      </w:pPr>
    </w:p>
    <w:sectPr w:rsidR="00EC2FBC" w:rsidSect="00AC6BE3">
      <w:headerReference w:type="default" r:id="rId8"/>
      <w:footerReference w:type="default" r:id="rId9"/>
      <w:pgSz w:w="11906" w:h="16838"/>
      <w:pgMar w:top="1417" w:right="1134" w:bottom="1134" w:left="1134" w:header="45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40AE7" w14:textId="77777777" w:rsidR="009F5CD3" w:rsidRDefault="009F5CD3">
      <w:r>
        <w:separator/>
      </w:r>
    </w:p>
  </w:endnote>
  <w:endnote w:type="continuationSeparator" w:id="0">
    <w:p w14:paraId="1644A0ED" w14:textId="77777777" w:rsidR="009F5CD3" w:rsidRDefault="009F5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charset w:val="00"/>
    <w:family w:val="roman"/>
    <w:pitch w:val="variable"/>
    <w:sig w:usb0="E0000AFF" w:usb1="500078FF" w:usb2="00000021" w:usb3="00000000" w:csb0="000001BF" w:csb1="00000000"/>
  </w:font>
  <w:font w:name="Liberation Sans">
    <w:charset w:val="00"/>
    <w:family w:val="swiss"/>
    <w:pitch w:val="variable"/>
    <w:sig w:usb0="E0000AFF" w:usb1="500078FF" w:usb2="00000021" w:usb3="00000000" w:csb0="000001BF" w:csb1="00000000"/>
  </w:font>
  <w:font w:name="Lohit Devanagari">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po di carattere testo asiati">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977EA" w14:textId="77777777" w:rsidR="00EC2FBC" w:rsidRDefault="00EC2FBC">
    <w:pPr>
      <w:pStyle w:val="Footer"/>
      <w:jc w:val="center"/>
    </w:pPr>
  </w:p>
  <w:p w14:paraId="51A9F12C" w14:textId="77777777" w:rsidR="00EC2FBC" w:rsidRDefault="00EC2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01447" w14:textId="77777777" w:rsidR="009F5CD3" w:rsidRDefault="009F5CD3">
      <w:r>
        <w:separator/>
      </w:r>
    </w:p>
  </w:footnote>
  <w:footnote w:type="continuationSeparator" w:id="0">
    <w:p w14:paraId="05A9FC91" w14:textId="77777777" w:rsidR="009F5CD3" w:rsidRDefault="009F5C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97EA1" w14:textId="77777777" w:rsidR="00EC2FBC" w:rsidRDefault="00EC2FBC">
    <w:pPr>
      <w:jc w:val="center"/>
      <w:rPr>
        <w:b/>
        <w:bCs/>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87E72"/>
    <w:multiLevelType w:val="hybridMultilevel"/>
    <w:tmpl w:val="5644E3E2"/>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15:restartNumberingAfterBreak="0">
    <w:nsid w:val="052A452C"/>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 w15:restartNumberingAfterBreak="0">
    <w:nsid w:val="07020CF6"/>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 w15:restartNumberingAfterBreak="0">
    <w:nsid w:val="093A28EC"/>
    <w:multiLevelType w:val="multilevel"/>
    <w:tmpl w:val="FFFFFFFF"/>
    <w:lvl w:ilvl="0">
      <w:start w:val="1"/>
      <w:numFmt w:val="lowerLetter"/>
      <w:lvlText w:val="%1)"/>
      <w:lvlJc w:val="left"/>
      <w:pPr>
        <w:ind w:left="1287" w:hanging="360"/>
      </w:pPr>
      <w:rPr>
        <w:rFonts w:cs="Times New Roman"/>
        <w:sz w:val="20"/>
        <w:szCs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4" w15:restartNumberingAfterBreak="0">
    <w:nsid w:val="0BE4573F"/>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5" w15:restartNumberingAfterBreak="0">
    <w:nsid w:val="12447E75"/>
    <w:multiLevelType w:val="multilevel"/>
    <w:tmpl w:val="4A4E1030"/>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6" w15:restartNumberingAfterBreak="0">
    <w:nsid w:val="19D24128"/>
    <w:multiLevelType w:val="multilevel"/>
    <w:tmpl w:val="BC348B88"/>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7" w15:restartNumberingAfterBreak="0">
    <w:nsid w:val="1C801D3A"/>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8" w15:restartNumberingAfterBreak="0">
    <w:nsid w:val="1DDF37B5"/>
    <w:multiLevelType w:val="multilevel"/>
    <w:tmpl w:val="FFFFFFFF"/>
    <w:lvl w:ilvl="0">
      <w:start w:val="1"/>
      <w:numFmt w:val="lowerLetter"/>
      <w:lvlText w:val="%1)"/>
      <w:lvlJc w:val="left"/>
      <w:pPr>
        <w:ind w:left="720" w:hanging="360"/>
      </w:pPr>
      <w:rPr>
        <w:rFonts w:ascii="Times New Roman" w:eastAsia="Times New Roman" w:hAnsi="Times New Roman" w:cs="Times New Roman"/>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9" w15:restartNumberingAfterBreak="0">
    <w:nsid w:val="222656B2"/>
    <w:multiLevelType w:val="multilevel"/>
    <w:tmpl w:val="90081286"/>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0" w15:restartNumberingAfterBreak="0">
    <w:nsid w:val="25282402"/>
    <w:multiLevelType w:val="hybridMultilevel"/>
    <w:tmpl w:val="227C734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7A77819"/>
    <w:multiLevelType w:val="hybridMultilevel"/>
    <w:tmpl w:val="F1FAB05A"/>
    <w:lvl w:ilvl="0" w:tplc="87A2D73E">
      <w:start w:val="3"/>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7D843CD"/>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13" w15:restartNumberingAfterBreak="0">
    <w:nsid w:val="2BE771E2"/>
    <w:multiLevelType w:val="hybridMultilevel"/>
    <w:tmpl w:val="CB5E8F3E"/>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4" w15:restartNumberingAfterBreak="0">
    <w:nsid w:val="2C167079"/>
    <w:multiLevelType w:val="hybridMultilevel"/>
    <w:tmpl w:val="3B5A6AC6"/>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5" w15:restartNumberingAfterBreak="0">
    <w:nsid w:val="2F1627DB"/>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16" w15:restartNumberingAfterBreak="0">
    <w:nsid w:val="33712C1A"/>
    <w:multiLevelType w:val="hybridMultilevel"/>
    <w:tmpl w:val="38CA015E"/>
    <w:lvl w:ilvl="0" w:tplc="0410000F">
      <w:start w:val="1"/>
      <w:numFmt w:val="decimal"/>
      <w:lvlText w:val="%1."/>
      <w:lvlJc w:val="left"/>
      <w:pPr>
        <w:ind w:left="360" w:hanging="360"/>
      </w:pPr>
      <w:rPr>
        <w:rFonts w:cs="Times New Roman"/>
      </w:rPr>
    </w:lvl>
    <w:lvl w:ilvl="1" w:tplc="9F62E79A">
      <w:start w:val="1"/>
      <w:numFmt w:val="lowerLetter"/>
      <w:lvlText w:val="%2)"/>
      <w:lvlJc w:val="left"/>
      <w:pPr>
        <w:ind w:left="1080" w:hanging="360"/>
      </w:pPr>
      <w:rPr>
        <w:rFonts w:ascii="Times New Roman" w:hAnsi="Times New Roman" w:cs="Times New Roman" w:hint="default"/>
        <w:sz w:val="22"/>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7" w15:restartNumberingAfterBreak="0">
    <w:nsid w:val="346829EA"/>
    <w:multiLevelType w:val="hybridMultilevel"/>
    <w:tmpl w:val="9134EA68"/>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8" w15:restartNumberingAfterBreak="0">
    <w:nsid w:val="34EE5199"/>
    <w:multiLevelType w:val="multilevel"/>
    <w:tmpl w:val="5A26E32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9" w15:restartNumberingAfterBreak="0">
    <w:nsid w:val="3EA75445"/>
    <w:multiLevelType w:val="multilevel"/>
    <w:tmpl w:val="268C43E6"/>
    <w:lvl w:ilvl="0">
      <w:start w:val="1"/>
      <w:numFmt w:val="bullet"/>
      <w:lvlText w:val="●"/>
      <w:lvlJc w:val="left"/>
      <w:pPr>
        <w:ind w:left="720" w:hanging="360"/>
      </w:pPr>
      <w:rPr>
        <w:rFonts w:ascii="Noto Sans Symbols" w:eastAsia="Times New Roman" w:hAnsi="Noto Sans Symbols"/>
        <w:sz w:val="20"/>
        <w:vertAlign w:val="baseline"/>
      </w:rPr>
    </w:lvl>
    <w:lvl w:ilvl="1">
      <w:start w:val="1"/>
      <w:numFmt w:val="decimal"/>
      <w:lvlText w:val="%2."/>
      <w:lvlJc w:val="left"/>
      <w:pPr>
        <w:ind w:left="1440" w:hanging="360"/>
      </w:pPr>
      <w:rPr>
        <w:rFonts w:cs="Times New Roman"/>
        <w:b w:val="0"/>
        <w:i w:val="0"/>
        <w:color w:val="auto"/>
        <w:sz w:val="20"/>
        <w:szCs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0" w15:restartNumberingAfterBreak="0">
    <w:nsid w:val="451042C1"/>
    <w:multiLevelType w:val="hybridMultilevel"/>
    <w:tmpl w:val="43A47402"/>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21" w15:restartNumberingAfterBreak="0">
    <w:nsid w:val="454365C1"/>
    <w:multiLevelType w:val="hybridMultilevel"/>
    <w:tmpl w:val="CA00F080"/>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15:restartNumberingAfterBreak="0">
    <w:nsid w:val="4615507A"/>
    <w:multiLevelType w:val="multilevel"/>
    <w:tmpl w:val="CA40A8BA"/>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3" w15:restartNumberingAfterBreak="0">
    <w:nsid w:val="46F156F0"/>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24" w15:restartNumberingAfterBreak="0">
    <w:nsid w:val="4FF402F5"/>
    <w:multiLevelType w:val="hybridMultilevel"/>
    <w:tmpl w:val="39861A4C"/>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5" w15:restartNumberingAfterBreak="0">
    <w:nsid w:val="50E0625C"/>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6" w15:restartNumberingAfterBreak="0">
    <w:nsid w:val="564902A6"/>
    <w:multiLevelType w:val="hybridMultilevel"/>
    <w:tmpl w:val="24D09492"/>
    <w:lvl w:ilvl="0" w:tplc="04100017">
      <w:start w:val="1"/>
      <w:numFmt w:val="lowerLetter"/>
      <w:lvlText w:val="%1)"/>
      <w:lvlJc w:val="left"/>
      <w:pPr>
        <w:ind w:left="720" w:hanging="360"/>
      </w:pPr>
      <w:rPr>
        <w:rFonts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6BF1AF0"/>
    <w:multiLevelType w:val="multilevel"/>
    <w:tmpl w:val="32FAE6DC"/>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8" w15:restartNumberingAfterBreak="0">
    <w:nsid w:val="57EC4355"/>
    <w:multiLevelType w:val="multilevel"/>
    <w:tmpl w:val="B25E2CA0"/>
    <w:lvl w:ilvl="0">
      <w:start w:val="1"/>
      <w:numFmt w:val="lowerLetter"/>
      <w:lvlText w:val="%1)"/>
      <w:lvlJc w:val="left"/>
      <w:pPr>
        <w:ind w:left="720"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29" w15:restartNumberingAfterBreak="0">
    <w:nsid w:val="5B6D1C47"/>
    <w:multiLevelType w:val="multilevel"/>
    <w:tmpl w:val="FFFFFFFF"/>
    <w:lvl w:ilvl="0">
      <w:start w:val="1"/>
      <w:numFmt w:val="bullet"/>
      <w:lvlText w:val="-"/>
      <w:lvlJc w:val="left"/>
      <w:pPr>
        <w:ind w:left="720" w:hanging="360"/>
      </w:pPr>
      <w:rPr>
        <w:rFonts w:ascii="Times New Roman" w:eastAsia="Times New Roman" w:hAnsi="Times New Roman"/>
        <w:sz w:val="20"/>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0" w15:restartNumberingAfterBreak="0">
    <w:nsid w:val="664B2A9A"/>
    <w:multiLevelType w:val="multilevel"/>
    <w:tmpl w:val="FFFFFFFF"/>
    <w:lvl w:ilvl="0">
      <w:start w:val="1"/>
      <w:numFmt w:val="upp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1" w15:restartNumberingAfterBreak="0">
    <w:nsid w:val="6DE4135D"/>
    <w:multiLevelType w:val="multilevel"/>
    <w:tmpl w:val="1AC41C6E"/>
    <w:lvl w:ilvl="0">
      <w:start w:val="1"/>
      <w:numFmt w:val="decimal"/>
      <w:lvlText w:val="%1."/>
      <w:lvlJc w:val="left"/>
      <w:pPr>
        <w:tabs>
          <w:tab w:val="num" w:pos="1091"/>
        </w:tabs>
        <w:ind w:left="2160" w:hanging="360"/>
      </w:pPr>
      <w:rPr>
        <w:rFonts w:cs="Times New Roman"/>
      </w:rPr>
    </w:lvl>
    <w:lvl w:ilvl="1">
      <w:start w:val="1"/>
      <w:numFmt w:val="lowerLetter"/>
      <w:lvlText w:val="%2."/>
      <w:lvlJc w:val="left"/>
      <w:pPr>
        <w:tabs>
          <w:tab w:val="num" w:pos="0"/>
        </w:tabs>
        <w:ind w:left="1789" w:hanging="360"/>
      </w:pPr>
      <w:rPr>
        <w:rFonts w:cs="Times New Roman"/>
      </w:rPr>
    </w:lvl>
    <w:lvl w:ilvl="2">
      <w:start w:val="1"/>
      <w:numFmt w:val="lowerRoman"/>
      <w:lvlText w:val="%3."/>
      <w:lvlJc w:val="right"/>
      <w:pPr>
        <w:tabs>
          <w:tab w:val="num" w:pos="0"/>
        </w:tabs>
        <w:ind w:left="2509" w:hanging="180"/>
      </w:pPr>
      <w:rPr>
        <w:rFonts w:cs="Times New Roman"/>
      </w:rPr>
    </w:lvl>
    <w:lvl w:ilvl="3">
      <w:start w:val="1"/>
      <w:numFmt w:val="decimal"/>
      <w:lvlText w:val="%4."/>
      <w:lvlJc w:val="left"/>
      <w:pPr>
        <w:tabs>
          <w:tab w:val="num" w:pos="0"/>
        </w:tabs>
        <w:ind w:left="3229" w:hanging="360"/>
      </w:pPr>
      <w:rPr>
        <w:rFonts w:cs="Times New Roman"/>
      </w:rPr>
    </w:lvl>
    <w:lvl w:ilvl="4">
      <w:start w:val="1"/>
      <w:numFmt w:val="lowerLetter"/>
      <w:lvlText w:val="%5."/>
      <w:lvlJc w:val="left"/>
      <w:pPr>
        <w:tabs>
          <w:tab w:val="num" w:pos="0"/>
        </w:tabs>
        <w:ind w:left="3949" w:hanging="360"/>
      </w:pPr>
      <w:rPr>
        <w:rFonts w:cs="Times New Roman"/>
      </w:rPr>
    </w:lvl>
    <w:lvl w:ilvl="5">
      <w:start w:val="1"/>
      <w:numFmt w:val="lowerRoman"/>
      <w:lvlText w:val="%6."/>
      <w:lvlJc w:val="right"/>
      <w:pPr>
        <w:tabs>
          <w:tab w:val="num" w:pos="0"/>
        </w:tabs>
        <w:ind w:left="4669" w:hanging="180"/>
      </w:pPr>
      <w:rPr>
        <w:rFonts w:cs="Times New Roman"/>
      </w:rPr>
    </w:lvl>
    <w:lvl w:ilvl="6">
      <w:start w:val="1"/>
      <w:numFmt w:val="decimal"/>
      <w:lvlText w:val="%7."/>
      <w:lvlJc w:val="left"/>
      <w:pPr>
        <w:tabs>
          <w:tab w:val="num" w:pos="0"/>
        </w:tabs>
        <w:ind w:left="5389" w:hanging="360"/>
      </w:pPr>
      <w:rPr>
        <w:rFonts w:cs="Times New Roman"/>
      </w:rPr>
    </w:lvl>
    <w:lvl w:ilvl="7">
      <w:start w:val="1"/>
      <w:numFmt w:val="lowerLetter"/>
      <w:lvlText w:val="%8."/>
      <w:lvlJc w:val="left"/>
      <w:pPr>
        <w:tabs>
          <w:tab w:val="num" w:pos="0"/>
        </w:tabs>
        <w:ind w:left="6109" w:hanging="360"/>
      </w:pPr>
      <w:rPr>
        <w:rFonts w:cs="Times New Roman"/>
      </w:rPr>
    </w:lvl>
    <w:lvl w:ilvl="8">
      <w:start w:val="1"/>
      <w:numFmt w:val="lowerRoman"/>
      <w:lvlText w:val="%9."/>
      <w:lvlJc w:val="right"/>
      <w:pPr>
        <w:tabs>
          <w:tab w:val="num" w:pos="0"/>
        </w:tabs>
        <w:ind w:left="6829" w:hanging="180"/>
      </w:pPr>
      <w:rPr>
        <w:rFonts w:cs="Times New Roman"/>
      </w:rPr>
    </w:lvl>
  </w:abstractNum>
  <w:abstractNum w:abstractNumId="32" w15:restartNumberingAfterBreak="0">
    <w:nsid w:val="73985C1B"/>
    <w:multiLevelType w:val="multilevel"/>
    <w:tmpl w:val="13282484"/>
    <w:lvl w:ilvl="0">
      <w:start w:val="1"/>
      <w:numFmt w:val="lowerLetter"/>
      <w:lvlText w:val="%1)"/>
      <w:lvlJc w:val="left"/>
      <w:pPr>
        <w:tabs>
          <w:tab w:val="num" w:pos="928"/>
        </w:tabs>
        <w:ind w:left="928" w:hanging="360"/>
      </w:pPr>
      <w:rPr>
        <w:rFonts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284C6A"/>
    <w:multiLevelType w:val="hybridMultilevel"/>
    <w:tmpl w:val="52948A8A"/>
    <w:lvl w:ilvl="0" w:tplc="0410000F">
      <w:start w:val="1"/>
      <w:numFmt w:val="decimal"/>
      <w:lvlText w:val="%1."/>
      <w:lvlJc w:val="left"/>
      <w:pPr>
        <w:ind w:left="360" w:hanging="360"/>
      </w:pPr>
      <w:rPr>
        <w:rFonts w:cs="Times New Roman"/>
      </w:rPr>
    </w:lvl>
    <w:lvl w:ilvl="1" w:tplc="04100019" w:tentative="1">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34" w15:restartNumberingAfterBreak="0">
    <w:nsid w:val="76266456"/>
    <w:multiLevelType w:val="multilevel"/>
    <w:tmpl w:val="60366884"/>
    <w:lvl w:ilvl="0">
      <w:start w:val="1"/>
      <w:numFmt w:val="lowerLetter"/>
      <w:lvlText w:val="%1)"/>
      <w:lvlJc w:val="left"/>
      <w:pPr>
        <w:ind w:left="1287" w:hanging="360"/>
      </w:pPr>
      <w:rPr>
        <w:rFonts w:ascii="Times New Roman" w:eastAsia="Times New Roman" w:hAnsi="Times New Roman" w:cs="Times New Roman"/>
        <w:color w:val="auto"/>
        <w:sz w:val="22"/>
        <w:szCs w:val="22"/>
        <w:vertAlign w:val="baseline"/>
      </w:rPr>
    </w:lvl>
    <w:lvl w:ilvl="1">
      <w:start w:val="1"/>
      <w:numFmt w:val="bullet"/>
      <w:lvlText w:val="o"/>
      <w:lvlJc w:val="left"/>
      <w:pPr>
        <w:ind w:left="1440" w:hanging="360"/>
      </w:pPr>
      <w:rPr>
        <w:rFonts w:ascii="Courier New" w:eastAsia="Times New Roman" w:hAnsi="Courier New"/>
        <w:sz w:val="20"/>
        <w:vertAlign w:val="baseline"/>
      </w:rPr>
    </w:lvl>
    <w:lvl w:ilvl="2">
      <w:start w:val="1"/>
      <w:numFmt w:val="bullet"/>
      <w:lvlText w:val="▪"/>
      <w:lvlJc w:val="left"/>
      <w:pPr>
        <w:ind w:left="2160" w:hanging="360"/>
      </w:pPr>
      <w:rPr>
        <w:rFonts w:ascii="Noto Sans Symbols" w:eastAsia="Times New Roman" w:hAnsi="Noto Sans Symbols"/>
        <w:sz w:val="20"/>
        <w:vertAlign w:val="baseline"/>
      </w:rPr>
    </w:lvl>
    <w:lvl w:ilvl="3">
      <w:start w:val="1"/>
      <w:numFmt w:val="bullet"/>
      <w:lvlText w:val="●"/>
      <w:lvlJc w:val="left"/>
      <w:pPr>
        <w:ind w:left="2880" w:hanging="360"/>
      </w:pPr>
      <w:rPr>
        <w:rFonts w:ascii="Noto Sans Symbols" w:eastAsia="Times New Roman" w:hAnsi="Noto Sans Symbols"/>
        <w:sz w:val="20"/>
        <w:vertAlign w:val="baseline"/>
      </w:rPr>
    </w:lvl>
    <w:lvl w:ilvl="4">
      <w:start w:val="1"/>
      <w:numFmt w:val="bullet"/>
      <w:lvlText w:val="o"/>
      <w:lvlJc w:val="left"/>
      <w:pPr>
        <w:ind w:left="3600" w:hanging="360"/>
      </w:pPr>
      <w:rPr>
        <w:rFonts w:ascii="Courier New" w:eastAsia="Times New Roman" w:hAnsi="Courier New"/>
        <w:sz w:val="20"/>
        <w:vertAlign w:val="baseline"/>
      </w:rPr>
    </w:lvl>
    <w:lvl w:ilvl="5">
      <w:start w:val="1"/>
      <w:numFmt w:val="bullet"/>
      <w:lvlText w:val="▪"/>
      <w:lvlJc w:val="left"/>
      <w:pPr>
        <w:ind w:left="4320" w:hanging="360"/>
      </w:pPr>
      <w:rPr>
        <w:rFonts w:ascii="Noto Sans Symbols" w:eastAsia="Times New Roman" w:hAnsi="Noto Sans Symbols"/>
        <w:sz w:val="20"/>
        <w:vertAlign w:val="baseline"/>
      </w:rPr>
    </w:lvl>
    <w:lvl w:ilvl="6">
      <w:start w:val="1"/>
      <w:numFmt w:val="bullet"/>
      <w:lvlText w:val="●"/>
      <w:lvlJc w:val="left"/>
      <w:pPr>
        <w:ind w:left="5040" w:hanging="360"/>
      </w:pPr>
      <w:rPr>
        <w:rFonts w:ascii="Noto Sans Symbols" w:eastAsia="Times New Roman" w:hAnsi="Noto Sans Symbols"/>
        <w:sz w:val="20"/>
        <w:vertAlign w:val="baseline"/>
      </w:rPr>
    </w:lvl>
    <w:lvl w:ilvl="7">
      <w:start w:val="1"/>
      <w:numFmt w:val="bullet"/>
      <w:lvlText w:val="o"/>
      <w:lvlJc w:val="left"/>
      <w:pPr>
        <w:ind w:left="5760" w:hanging="360"/>
      </w:pPr>
      <w:rPr>
        <w:rFonts w:ascii="Courier New" w:eastAsia="Times New Roman" w:hAnsi="Courier New"/>
        <w:sz w:val="20"/>
        <w:vertAlign w:val="baseline"/>
      </w:rPr>
    </w:lvl>
    <w:lvl w:ilvl="8">
      <w:start w:val="1"/>
      <w:numFmt w:val="bullet"/>
      <w:lvlText w:val="▪"/>
      <w:lvlJc w:val="left"/>
      <w:pPr>
        <w:ind w:left="6480" w:hanging="360"/>
      </w:pPr>
      <w:rPr>
        <w:rFonts w:ascii="Noto Sans Symbols" w:eastAsia="Times New Roman" w:hAnsi="Noto Sans Symbols"/>
        <w:sz w:val="20"/>
        <w:vertAlign w:val="baseline"/>
      </w:rPr>
    </w:lvl>
  </w:abstractNum>
  <w:abstractNum w:abstractNumId="35" w15:restartNumberingAfterBreak="0">
    <w:nsid w:val="77665F7E"/>
    <w:multiLevelType w:val="multilevel"/>
    <w:tmpl w:val="55DC3C82"/>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6" w15:restartNumberingAfterBreak="0">
    <w:nsid w:val="777042AE"/>
    <w:multiLevelType w:val="multilevel"/>
    <w:tmpl w:val="90C20E5A"/>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080" w:hanging="360"/>
      </w:pPr>
      <w:rPr>
        <w:rFonts w:ascii="Times New Roman" w:hAnsi="Times New Roman" w:cs="Times New Roman" w:hint="default"/>
        <w:sz w:val="22"/>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37" w15:restartNumberingAfterBreak="0">
    <w:nsid w:val="794174C7"/>
    <w:multiLevelType w:val="multilevel"/>
    <w:tmpl w:val="FFFFFFFF"/>
    <w:lvl w:ilvl="0">
      <w:start w:val="1"/>
      <w:numFmt w:val="lowerLetter"/>
      <w:lvlText w:val="%1)"/>
      <w:lvlJc w:val="left"/>
      <w:pPr>
        <w:ind w:left="720" w:hanging="360"/>
      </w:pPr>
      <w:rPr>
        <w:rFonts w:cs="Times New Roman"/>
        <w:sz w:val="20"/>
        <w:szCs w:val="20"/>
        <w:vertAlign w:val="baseline"/>
      </w:rPr>
    </w:lvl>
    <w:lvl w:ilvl="1">
      <w:start w:val="1"/>
      <w:numFmt w:val="lowerLetter"/>
      <w:lvlText w:val="%2."/>
      <w:lvlJc w:val="left"/>
      <w:pPr>
        <w:ind w:left="1440" w:hanging="360"/>
      </w:pPr>
      <w:rPr>
        <w:rFonts w:cs="Times New Roman"/>
        <w:sz w:val="20"/>
        <w:szCs w:val="20"/>
        <w:vertAlign w:val="baseline"/>
      </w:rPr>
    </w:lvl>
    <w:lvl w:ilvl="2">
      <w:start w:val="1"/>
      <w:numFmt w:val="lowerRoman"/>
      <w:lvlText w:val="%3."/>
      <w:lvlJc w:val="right"/>
      <w:pPr>
        <w:ind w:left="2160" w:hanging="180"/>
      </w:pPr>
      <w:rPr>
        <w:rFonts w:cs="Times New Roman"/>
        <w:sz w:val="20"/>
        <w:szCs w:val="20"/>
        <w:vertAlign w:val="baseline"/>
      </w:rPr>
    </w:lvl>
    <w:lvl w:ilvl="3">
      <w:start w:val="1"/>
      <w:numFmt w:val="decimal"/>
      <w:lvlText w:val="%4."/>
      <w:lvlJc w:val="left"/>
      <w:pPr>
        <w:ind w:left="2880" w:hanging="360"/>
      </w:pPr>
      <w:rPr>
        <w:rFonts w:cs="Times New Roman"/>
        <w:sz w:val="20"/>
        <w:szCs w:val="20"/>
        <w:vertAlign w:val="baseline"/>
      </w:rPr>
    </w:lvl>
    <w:lvl w:ilvl="4">
      <w:start w:val="1"/>
      <w:numFmt w:val="lowerLetter"/>
      <w:lvlText w:val="%5."/>
      <w:lvlJc w:val="left"/>
      <w:pPr>
        <w:ind w:left="3600" w:hanging="360"/>
      </w:pPr>
      <w:rPr>
        <w:rFonts w:cs="Times New Roman"/>
        <w:sz w:val="20"/>
        <w:szCs w:val="20"/>
        <w:vertAlign w:val="baseline"/>
      </w:rPr>
    </w:lvl>
    <w:lvl w:ilvl="5">
      <w:start w:val="1"/>
      <w:numFmt w:val="lowerRoman"/>
      <w:lvlText w:val="%6."/>
      <w:lvlJc w:val="right"/>
      <w:pPr>
        <w:ind w:left="4320" w:hanging="180"/>
      </w:pPr>
      <w:rPr>
        <w:rFonts w:cs="Times New Roman"/>
        <w:sz w:val="20"/>
        <w:szCs w:val="20"/>
        <w:vertAlign w:val="baseline"/>
      </w:rPr>
    </w:lvl>
    <w:lvl w:ilvl="6">
      <w:start w:val="1"/>
      <w:numFmt w:val="decimal"/>
      <w:lvlText w:val="%7."/>
      <w:lvlJc w:val="left"/>
      <w:pPr>
        <w:ind w:left="5040" w:hanging="360"/>
      </w:pPr>
      <w:rPr>
        <w:rFonts w:cs="Times New Roman"/>
        <w:sz w:val="20"/>
        <w:szCs w:val="20"/>
        <w:vertAlign w:val="baseline"/>
      </w:rPr>
    </w:lvl>
    <w:lvl w:ilvl="7">
      <w:start w:val="1"/>
      <w:numFmt w:val="lowerLetter"/>
      <w:lvlText w:val="%8."/>
      <w:lvlJc w:val="left"/>
      <w:pPr>
        <w:ind w:left="5760" w:hanging="360"/>
      </w:pPr>
      <w:rPr>
        <w:rFonts w:cs="Times New Roman"/>
        <w:sz w:val="20"/>
        <w:szCs w:val="20"/>
        <w:vertAlign w:val="baseline"/>
      </w:rPr>
    </w:lvl>
    <w:lvl w:ilvl="8">
      <w:start w:val="1"/>
      <w:numFmt w:val="lowerRoman"/>
      <w:lvlText w:val="%9."/>
      <w:lvlJc w:val="right"/>
      <w:pPr>
        <w:ind w:left="6480" w:hanging="180"/>
      </w:pPr>
      <w:rPr>
        <w:rFonts w:cs="Times New Roman"/>
        <w:sz w:val="20"/>
        <w:szCs w:val="20"/>
        <w:vertAlign w:val="baseline"/>
      </w:rPr>
    </w:lvl>
  </w:abstractNum>
  <w:abstractNum w:abstractNumId="38" w15:restartNumberingAfterBreak="0">
    <w:nsid w:val="7AF014F4"/>
    <w:multiLevelType w:val="hybridMultilevel"/>
    <w:tmpl w:val="173A496E"/>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9" w15:restartNumberingAfterBreak="0">
    <w:nsid w:val="7D88277C"/>
    <w:multiLevelType w:val="hybridMultilevel"/>
    <w:tmpl w:val="9134EA68"/>
    <w:lvl w:ilvl="0" w:tplc="0410000F">
      <w:start w:val="1"/>
      <w:numFmt w:val="decimal"/>
      <w:lvlText w:val="%1."/>
      <w:lvlJc w:val="left"/>
      <w:pPr>
        <w:ind w:left="360" w:hanging="360"/>
      </w:pPr>
      <w:rPr>
        <w:rFonts w:cs="Times New Roman"/>
      </w:rPr>
    </w:lvl>
    <w:lvl w:ilvl="1" w:tplc="04100019">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num w:numId="1" w16cid:durableId="1214729954">
    <w:abstractNumId w:val="18"/>
  </w:num>
  <w:num w:numId="2" w16cid:durableId="367072890">
    <w:abstractNumId w:val="35"/>
  </w:num>
  <w:num w:numId="3" w16cid:durableId="873494418">
    <w:abstractNumId w:val="31"/>
  </w:num>
  <w:num w:numId="4" w16cid:durableId="157890172">
    <w:abstractNumId w:val="5"/>
  </w:num>
  <w:num w:numId="5" w16cid:durableId="2090613374">
    <w:abstractNumId w:val="38"/>
  </w:num>
  <w:num w:numId="6" w16cid:durableId="1722824862">
    <w:abstractNumId w:val="0"/>
  </w:num>
  <w:num w:numId="7" w16cid:durableId="313418261">
    <w:abstractNumId w:val="32"/>
  </w:num>
  <w:num w:numId="8" w16cid:durableId="1219509952">
    <w:abstractNumId w:val="24"/>
  </w:num>
  <w:num w:numId="9" w16cid:durableId="46877806">
    <w:abstractNumId w:val="17"/>
  </w:num>
  <w:num w:numId="10" w16cid:durableId="752551019">
    <w:abstractNumId w:val="39"/>
  </w:num>
  <w:num w:numId="11" w16cid:durableId="761994196">
    <w:abstractNumId w:val="13"/>
  </w:num>
  <w:num w:numId="12" w16cid:durableId="165445493">
    <w:abstractNumId w:val="26"/>
  </w:num>
  <w:num w:numId="13" w16cid:durableId="531963612">
    <w:abstractNumId w:val="21"/>
  </w:num>
  <w:num w:numId="14" w16cid:durableId="428934124">
    <w:abstractNumId w:val="1"/>
  </w:num>
  <w:num w:numId="15" w16cid:durableId="305162691">
    <w:abstractNumId w:val="10"/>
  </w:num>
  <w:num w:numId="16" w16cid:durableId="1183399519">
    <w:abstractNumId w:val="20"/>
  </w:num>
  <w:num w:numId="17" w16cid:durableId="39676439">
    <w:abstractNumId w:val="33"/>
  </w:num>
  <w:num w:numId="18" w16cid:durableId="1428892341">
    <w:abstractNumId w:val="36"/>
  </w:num>
  <w:num w:numId="19" w16cid:durableId="937446448">
    <w:abstractNumId w:val="16"/>
  </w:num>
  <w:num w:numId="20" w16cid:durableId="1049450985">
    <w:abstractNumId w:val="14"/>
  </w:num>
  <w:num w:numId="21" w16cid:durableId="25831837">
    <w:abstractNumId w:val="4"/>
  </w:num>
  <w:num w:numId="22" w16cid:durableId="485168316">
    <w:abstractNumId w:val="29"/>
  </w:num>
  <w:num w:numId="23" w16cid:durableId="554632468">
    <w:abstractNumId w:val="37"/>
  </w:num>
  <w:num w:numId="24" w16cid:durableId="163135575">
    <w:abstractNumId w:val="25"/>
  </w:num>
  <w:num w:numId="25" w16cid:durableId="358166571">
    <w:abstractNumId w:val="8"/>
  </w:num>
  <w:num w:numId="26" w16cid:durableId="300576470">
    <w:abstractNumId w:val="27"/>
  </w:num>
  <w:num w:numId="27" w16cid:durableId="1497841285">
    <w:abstractNumId w:val="15"/>
  </w:num>
  <w:num w:numId="28" w16cid:durableId="908006113">
    <w:abstractNumId w:val="23"/>
  </w:num>
  <w:num w:numId="29" w16cid:durableId="1732577814">
    <w:abstractNumId w:val="2"/>
  </w:num>
  <w:num w:numId="30" w16cid:durableId="228461312">
    <w:abstractNumId w:val="34"/>
  </w:num>
  <w:num w:numId="31" w16cid:durableId="544947581">
    <w:abstractNumId w:val="3"/>
  </w:num>
  <w:num w:numId="32" w16cid:durableId="384060304">
    <w:abstractNumId w:val="9"/>
  </w:num>
  <w:num w:numId="33" w16cid:durableId="587157654">
    <w:abstractNumId w:val="19"/>
  </w:num>
  <w:num w:numId="34" w16cid:durableId="1445076600">
    <w:abstractNumId w:val="7"/>
  </w:num>
  <w:num w:numId="35" w16cid:durableId="622276041">
    <w:abstractNumId w:val="30"/>
  </w:num>
  <w:num w:numId="36" w16cid:durableId="577859720">
    <w:abstractNumId w:val="6"/>
  </w:num>
  <w:num w:numId="37" w16cid:durableId="1316715304">
    <w:abstractNumId w:val="28"/>
  </w:num>
  <w:num w:numId="38" w16cid:durableId="2076734827">
    <w:abstractNumId w:val="22"/>
  </w:num>
  <w:num w:numId="39" w16cid:durableId="1801073431">
    <w:abstractNumId w:val="12"/>
  </w:num>
  <w:num w:numId="40" w16cid:durableId="7944929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proofState w:spelling="clean" w:grammar="clean"/>
  <w:defaultTabStop w:val="720"/>
  <w:autoHyphenation/>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83B"/>
    <w:rsid w:val="00075042"/>
    <w:rsid w:val="00076B7A"/>
    <w:rsid w:val="00076EB7"/>
    <w:rsid w:val="00091A62"/>
    <w:rsid w:val="000C22F0"/>
    <w:rsid w:val="000D49A8"/>
    <w:rsid w:val="000D6ACA"/>
    <w:rsid w:val="000E182F"/>
    <w:rsid w:val="00104AE2"/>
    <w:rsid w:val="0014745D"/>
    <w:rsid w:val="00164C3C"/>
    <w:rsid w:val="001C6B78"/>
    <w:rsid w:val="001F18CB"/>
    <w:rsid w:val="001F5470"/>
    <w:rsid w:val="0021790A"/>
    <w:rsid w:val="00222B11"/>
    <w:rsid w:val="00237AAE"/>
    <w:rsid w:val="002470F2"/>
    <w:rsid w:val="00271317"/>
    <w:rsid w:val="002761B0"/>
    <w:rsid w:val="002769D9"/>
    <w:rsid w:val="00293BC8"/>
    <w:rsid w:val="002C0E45"/>
    <w:rsid w:val="002C2F98"/>
    <w:rsid w:val="002E43F9"/>
    <w:rsid w:val="002E714F"/>
    <w:rsid w:val="00330283"/>
    <w:rsid w:val="003509DA"/>
    <w:rsid w:val="00351380"/>
    <w:rsid w:val="00354183"/>
    <w:rsid w:val="00367478"/>
    <w:rsid w:val="003A6971"/>
    <w:rsid w:val="003C119A"/>
    <w:rsid w:val="003C7B62"/>
    <w:rsid w:val="003F0D11"/>
    <w:rsid w:val="00404253"/>
    <w:rsid w:val="00414BA8"/>
    <w:rsid w:val="0043633B"/>
    <w:rsid w:val="00453AD6"/>
    <w:rsid w:val="00473A37"/>
    <w:rsid w:val="00517F56"/>
    <w:rsid w:val="0052676D"/>
    <w:rsid w:val="00552508"/>
    <w:rsid w:val="00553ADF"/>
    <w:rsid w:val="005550FE"/>
    <w:rsid w:val="005D0A5A"/>
    <w:rsid w:val="00600631"/>
    <w:rsid w:val="00600889"/>
    <w:rsid w:val="0060191D"/>
    <w:rsid w:val="00604781"/>
    <w:rsid w:val="006057E7"/>
    <w:rsid w:val="00611A18"/>
    <w:rsid w:val="006123F9"/>
    <w:rsid w:val="00673F64"/>
    <w:rsid w:val="00675523"/>
    <w:rsid w:val="0067756B"/>
    <w:rsid w:val="006B7138"/>
    <w:rsid w:val="006C7262"/>
    <w:rsid w:val="006D75F8"/>
    <w:rsid w:val="006F0988"/>
    <w:rsid w:val="00755044"/>
    <w:rsid w:val="00755F8D"/>
    <w:rsid w:val="00770A4C"/>
    <w:rsid w:val="00794A48"/>
    <w:rsid w:val="007A5C01"/>
    <w:rsid w:val="007C1763"/>
    <w:rsid w:val="00811C52"/>
    <w:rsid w:val="008228AC"/>
    <w:rsid w:val="0082683B"/>
    <w:rsid w:val="008420EE"/>
    <w:rsid w:val="00842AA2"/>
    <w:rsid w:val="008558ED"/>
    <w:rsid w:val="00855B3D"/>
    <w:rsid w:val="008620F3"/>
    <w:rsid w:val="0088403B"/>
    <w:rsid w:val="008929B1"/>
    <w:rsid w:val="008A5862"/>
    <w:rsid w:val="008B1537"/>
    <w:rsid w:val="008D00CA"/>
    <w:rsid w:val="008F1206"/>
    <w:rsid w:val="008F18F4"/>
    <w:rsid w:val="008F1F60"/>
    <w:rsid w:val="009070DD"/>
    <w:rsid w:val="00907C41"/>
    <w:rsid w:val="00917F49"/>
    <w:rsid w:val="0096540D"/>
    <w:rsid w:val="009739D0"/>
    <w:rsid w:val="00997805"/>
    <w:rsid w:val="009B4049"/>
    <w:rsid w:val="009D706D"/>
    <w:rsid w:val="009E5B71"/>
    <w:rsid w:val="009F5CD3"/>
    <w:rsid w:val="00A03B64"/>
    <w:rsid w:val="00A14312"/>
    <w:rsid w:val="00A2403B"/>
    <w:rsid w:val="00A27A68"/>
    <w:rsid w:val="00A40847"/>
    <w:rsid w:val="00A44558"/>
    <w:rsid w:val="00A44C73"/>
    <w:rsid w:val="00AB15DE"/>
    <w:rsid w:val="00AC6BE3"/>
    <w:rsid w:val="00AE67E1"/>
    <w:rsid w:val="00B01A58"/>
    <w:rsid w:val="00B20AF1"/>
    <w:rsid w:val="00B47C40"/>
    <w:rsid w:val="00B514F4"/>
    <w:rsid w:val="00B63A70"/>
    <w:rsid w:val="00BB7F1D"/>
    <w:rsid w:val="00BE22D8"/>
    <w:rsid w:val="00BF59C6"/>
    <w:rsid w:val="00C152C1"/>
    <w:rsid w:val="00C15ED3"/>
    <w:rsid w:val="00C24CB9"/>
    <w:rsid w:val="00C657D2"/>
    <w:rsid w:val="00C75E41"/>
    <w:rsid w:val="00CD6F38"/>
    <w:rsid w:val="00D02F70"/>
    <w:rsid w:val="00D1657D"/>
    <w:rsid w:val="00D21110"/>
    <w:rsid w:val="00D43730"/>
    <w:rsid w:val="00D60D9D"/>
    <w:rsid w:val="00D653BE"/>
    <w:rsid w:val="00D852BA"/>
    <w:rsid w:val="00D870D1"/>
    <w:rsid w:val="00DA5484"/>
    <w:rsid w:val="00DB2A45"/>
    <w:rsid w:val="00DB2E37"/>
    <w:rsid w:val="00DC749B"/>
    <w:rsid w:val="00DD19F6"/>
    <w:rsid w:val="00DE2FCF"/>
    <w:rsid w:val="00DF1975"/>
    <w:rsid w:val="00DF6DA9"/>
    <w:rsid w:val="00DF7DF1"/>
    <w:rsid w:val="00E1475D"/>
    <w:rsid w:val="00E71C3B"/>
    <w:rsid w:val="00E755A8"/>
    <w:rsid w:val="00E93946"/>
    <w:rsid w:val="00EB20B5"/>
    <w:rsid w:val="00EC1CC4"/>
    <w:rsid w:val="00EC2FBC"/>
    <w:rsid w:val="00EE6144"/>
    <w:rsid w:val="00EF0782"/>
    <w:rsid w:val="00F11CD5"/>
    <w:rsid w:val="00F31F21"/>
    <w:rsid w:val="00F37A7A"/>
    <w:rsid w:val="00F54106"/>
    <w:rsid w:val="00F7436D"/>
    <w:rsid w:val="00F76633"/>
    <w:rsid w:val="00F76B4D"/>
    <w:rsid w:val="00F82282"/>
    <w:rsid w:val="00F857A2"/>
    <w:rsid w:val="00FA5203"/>
    <w:rsid w:val="00FD47AB"/>
    <w:rsid w:val="00FF5C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C31103"/>
  <w15:docId w15:val="{35D873CD-A7F3-4C0B-8772-2A2A33EC5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sz w:val="22"/>
        <w:szCs w:val="22"/>
        <w:lang w:val="et-EE"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B71"/>
    <w:pPr>
      <w:suppressAutoHyphens/>
      <w:overflowPunct w:val="0"/>
    </w:pPr>
    <w:rPr>
      <w:sz w:val="24"/>
      <w:szCs w:val="24"/>
      <w:lang w:eastAsia="ja-JP"/>
    </w:rPr>
  </w:style>
  <w:style w:type="paragraph" w:styleId="Heading3">
    <w:name w:val="heading 3"/>
    <w:basedOn w:val="Normal"/>
    <w:link w:val="Heading3Char"/>
    <w:uiPriority w:val="99"/>
    <w:qFormat/>
    <w:rsid w:val="009E5B71"/>
    <w:pPr>
      <w:spacing w:before="280" w:after="280"/>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9E5B71"/>
    <w:rPr>
      <w:rFonts w:eastAsia="Times New Roman" w:cs="Times New Roman"/>
      <w:b/>
      <w:sz w:val="27"/>
    </w:rPr>
  </w:style>
  <w:style w:type="character" w:customStyle="1" w:styleId="HeaderChar">
    <w:name w:val="Header Char"/>
    <w:basedOn w:val="DefaultParagraphFont"/>
    <w:uiPriority w:val="99"/>
    <w:rsid w:val="009E5B71"/>
    <w:rPr>
      <w:rFonts w:cs="Times New Roman"/>
      <w:sz w:val="24"/>
      <w:lang w:eastAsia="ja-JP"/>
    </w:rPr>
  </w:style>
  <w:style w:type="character" w:customStyle="1" w:styleId="FooterChar">
    <w:name w:val="Footer Char"/>
    <w:basedOn w:val="DefaultParagraphFont"/>
    <w:uiPriority w:val="99"/>
    <w:rsid w:val="009E5B71"/>
    <w:rPr>
      <w:rFonts w:cs="Times New Roman"/>
      <w:sz w:val="24"/>
      <w:lang w:eastAsia="ja-JP"/>
    </w:rPr>
  </w:style>
  <w:style w:type="character" w:styleId="CommentReference">
    <w:name w:val="annotation reference"/>
    <w:basedOn w:val="DefaultParagraphFont"/>
    <w:uiPriority w:val="99"/>
    <w:rsid w:val="009E5B71"/>
    <w:rPr>
      <w:rFonts w:cs="Times New Roman"/>
      <w:sz w:val="16"/>
    </w:rPr>
  </w:style>
  <w:style w:type="character" w:customStyle="1" w:styleId="CommentTextChar">
    <w:name w:val="Comment Text Char"/>
    <w:basedOn w:val="DefaultParagraphFont"/>
    <w:uiPriority w:val="99"/>
    <w:rsid w:val="009E5B71"/>
    <w:rPr>
      <w:rFonts w:ascii="Calibri" w:hAnsi="Calibri" w:cs="Times New Roman"/>
      <w:lang w:val="et-EE" w:eastAsia="en-US"/>
    </w:rPr>
  </w:style>
  <w:style w:type="character" w:customStyle="1" w:styleId="BalloonTextChar">
    <w:name w:val="Balloon Text Char"/>
    <w:basedOn w:val="DefaultParagraphFont"/>
    <w:uiPriority w:val="99"/>
    <w:rsid w:val="009E5B71"/>
    <w:rPr>
      <w:rFonts w:cs="Times New Roman"/>
      <w:sz w:val="2"/>
      <w:lang w:eastAsia="ja-JP"/>
    </w:rPr>
  </w:style>
  <w:style w:type="character" w:customStyle="1" w:styleId="Enfasi">
    <w:name w:val="Enfasi"/>
    <w:basedOn w:val="DefaultParagraphFont"/>
    <w:uiPriority w:val="99"/>
    <w:rsid w:val="009E5B71"/>
    <w:rPr>
      <w:rFonts w:cs="Times New Roman"/>
      <w:i/>
    </w:rPr>
  </w:style>
  <w:style w:type="character" w:customStyle="1" w:styleId="CommentSubjectChar">
    <w:name w:val="Comment Subject Char"/>
    <w:basedOn w:val="CommentTextChar"/>
    <w:uiPriority w:val="99"/>
    <w:rsid w:val="009E5B71"/>
    <w:rPr>
      <w:rFonts w:ascii="Calibri" w:hAnsi="Calibri" w:cs="Times New Roman"/>
      <w:b/>
      <w:sz w:val="20"/>
      <w:lang w:val="et-EE" w:eastAsia="ja-JP"/>
    </w:rPr>
  </w:style>
  <w:style w:type="character" w:customStyle="1" w:styleId="BodyTextChar">
    <w:name w:val="Body Text Char"/>
    <w:basedOn w:val="DefaultParagraphFont"/>
    <w:uiPriority w:val="99"/>
    <w:rsid w:val="009E5B71"/>
    <w:rPr>
      <w:rFonts w:ascii="Liberation Serif" w:hAnsi="Liberation Serif" w:cs="Times New Roman"/>
      <w:sz w:val="22"/>
      <w:lang w:val="et-EE" w:eastAsia="en-US"/>
    </w:rPr>
  </w:style>
  <w:style w:type="character" w:customStyle="1" w:styleId="linkgazzetta">
    <w:name w:val="link_gazzetta"/>
    <w:uiPriority w:val="99"/>
    <w:rsid w:val="009E5B71"/>
  </w:style>
  <w:style w:type="character" w:customStyle="1" w:styleId="CollegamentoInternet">
    <w:name w:val="Collegamento Internet"/>
    <w:basedOn w:val="DefaultParagraphFont"/>
    <w:uiPriority w:val="99"/>
    <w:rsid w:val="009E5B71"/>
    <w:rPr>
      <w:rFonts w:cs="Times New Roman"/>
      <w:color w:val="0000FF"/>
      <w:u w:val="single"/>
    </w:rPr>
  </w:style>
  <w:style w:type="character" w:customStyle="1" w:styleId="Caratteridinumerazione">
    <w:name w:val="Caratteri di numerazione"/>
    <w:uiPriority w:val="99"/>
    <w:rsid w:val="009E5B71"/>
  </w:style>
  <w:style w:type="paragraph" w:styleId="Title">
    <w:name w:val="Title"/>
    <w:basedOn w:val="Normal"/>
    <w:next w:val="BodyText"/>
    <w:link w:val="TitleChar"/>
    <w:uiPriority w:val="99"/>
    <w:qFormat/>
    <w:rsid w:val="009E5B71"/>
    <w:pPr>
      <w:keepNext/>
      <w:spacing w:before="240" w:after="120"/>
    </w:pPr>
    <w:rPr>
      <w:rFonts w:ascii="Liberation Sans" w:hAnsi="Liberation Sans" w:cs="Lohit Devanagari"/>
      <w:sz w:val="28"/>
      <w:szCs w:val="28"/>
    </w:rPr>
  </w:style>
  <w:style w:type="character" w:customStyle="1" w:styleId="TitleChar">
    <w:name w:val="Title Char"/>
    <w:basedOn w:val="DefaultParagraphFont"/>
    <w:link w:val="Title"/>
    <w:uiPriority w:val="99"/>
    <w:locked/>
    <w:rsid w:val="009D706D"/>
    <w:rPr>
      <w:rFonts w:ascii="Cambria" w:hAnsi="Cambria" w:cs="Times New Roman"/>
      <w:b/>
      <w:bCs/>
      <w:kern w:val="28"/>
      <w:sz w:val="32"/>
      <w:szCs w:val="32"/>
      <w:lang w:eastAsia="ja-JP"/>
    </w:rPr>
  </w:style>
  <w:style w:type="paragraph" w:styleId="BodyText">
    <w:name w:val="Body Text"/>
    <w:basedOn w:val="Normal"/>
    <w:link w:val="BodyTextChar1"/>
    <w:uiPriority w:val="99"/>
    <w:rsid w:val="009E5B71"/>
    <w:pPr>
      <w:widowControl w:val="0"/>
      <w:spacing w:before="56"/>
      <w:ind w:left="1357" w:hanging="396"/>
    </w:pPr>
    <w:rPr>
      <w:rFonts w:ascii="Liberation Serif" w:hAnsi="Liberation Serif"/>
      <w:sz w:val="22"/>
      <w:szCs w:val="22"/>
      <w:lang w:eastAsia="en-US"/>
    </w:rPr>
  </w:style>
  <w:style w:type="character" w:customStyle="1" w:styleId="BodyTextChar1">
    <w:name w:val="Body Text Char1"/>
    <w:basedOn w:val="DefaultParagraphFont"/>
    <w:link w:val="BodyText"/>
    <w:uiPriority w:val="99"/>
    <w:semiHidden/>
    <w:locked/>
    <w:rsid w:val="009D706D"/>
    <w:rPr>
      <w:rFonts w:cs="Times New Roman"/>
      <w:sz w:val="24"/>
      <w:szCs w:val="24"/>
      <w:lang w:eastAsia="ja-JP"/>
    </w:rPr>
  </w:style>
  <w:style w:type="paragraph" w:styleId="List">
    <w:name w:val="List"/>
    <w:basedOn w:val="BodyText"/>
    <w:uiPriority w:val="99"/>
    <w:rsid w:val="009E5B71"/>
    <w:rPr>
      <w:rFonts w:cs="Lohit Devanagari"/>
    </w:rPr>
  </w:style>
  <w:style w:type="paragraph" w:styleId="Caption">
    <w:name w:val="caption"/>
    <w:basedOn w:val="Normal"/>
    <w:uiPriority w:val="99"/>
    <w:qFormat/>
    <w:rsid w:val="009E5B71"/>
    <w:pPr>
      <w:suppressLineNumbers/>
      <w:spacing w:before="120" w:after="120"/>
    </w:pPr>
    <w:rPr>
      <w:rFonts w:cs="Lohit Devanagari"/>
      <w:i/>
      <w:iCs/>
    </w:rPr>
  </w:style>
  <w:style w:type="paragraph" w:customStyle="1" w:styleId="Indice">
    <w:name w:val="Indice"/>
    <w:basedOn w:val="Normal"/>
    <w:uiPriority w:val="99"/>
    <w:rsid w:val="009E5B71"/>
    <w:pPr>
      <w:suppressLineNumbers/>
    </w:pPr>
    <w:rPr>
      <w:rFonts w:cs="Lohit Devanagari"/>
    </w:rPr>
  </w:style>
  <w:style w:type="paragraph" w:customStyle="1" w:styleId="Intestazioneepidipagina">
    <w:name w:val="Intestazione e piè di pagina"/>
    <w:basedOn w:val="Normal"/>
    <w:uiPriority w:val="99"/>
    <w:rsid w:val="009E5B71"/>
  </w:style>
  <w:style w:type="paragraph" w:styleId="Header">
    <w:name w:val="header"/>
    <w:basedOn w:val="Normal"/>
    <w:link w:val="HeaderChar1"/>
    <w:uiPriority w:val="99"/>
    <w:rsid w:val="009E5B71"/>
    <w:pPr>
      <w:tabs>
        <w:tab w:val="center" w:pos="4819"/>
        <w:tab w:val="right" w:pos="9638"/>
      </w:tabs>
    </w:pPr>
    <w:rPr>
      <w:szCs w:val="20"/>
    </w:rPr>
  </w:style>
  <w:style w:type="character" w:customStyle="1" w:styleId="HeaderChar1">
    <w:name w:val="Header Char1"/>
    <w:basedOn w:val="DefaultParagraphFont"/>
    <w:link w:val="Header"/>
    <w:uiPriority w:val="99"/>
    <w:semiHidden/>
    <w:locked/>
    <w:rsid w:val="009D706D"/>
    <w:rPr>
      <w:rFonts w:cs="Times New Roman"/>
      <w:sz w:val="24"/>
      <w:szCs w:val="24"/>
      <w:lang w:eastAsia="ja-JP"/>
    </w:rPr>
  </w:style>
  <w:style w:type="paragraph" w:styleId="Footer">
    <w:name w:val="footer"/>
    <w:basedOn w:val="Normal"/>
    <w:link w:val="FooterChar1"/>
    <w:uiPriority w:val="99"/>
    <w:rsid w:val="009E5B71"/>
    <w:pPr>
      <w:tabs>
        <w:tab w:val="center" w:pos="4819"/>
        <w:tab w:val="right" w:pos="9638"/>
      </w:tabs>
    </w:pPr>
    <w:rPr>
      <w:szCs w:val="20"/>
    </w:rPr>
  </w:style>
  <w:style w:type="character" w:customStyle="1" w:styleId="FooterChar1">
    <w:name w:val="Footer Char1"/>
    <w:basedOn w:val="DefaultParagraphFont"/>
    <w:link w:val="Footer"/>
    <w:uiPriority w:val="99"/>
    <w:semiHidden/>
    <w:locked/>
    <w:rsid w:val="009D706D"/>
    <w:rPr>
      <w:rFonts w:cs="Times New Roman"/>
      <w:sz w:val="24"/>
      <w:szCs w:val="24"/>
      <w:lang w:eastAsia="ja-JP"/>
    </w:rPr>
  </w:style>
  <w:style w:type="paragraph" w:styleId="CommentText">
    <w:name w:val="annotation text"/>
    <w:basedOn w:val="Normal"/>
    <w:link w:val="CommentTextChar1"/>
    <w:uiPriority w:val="99"/>
    <w:rsid w:val="009E5B71"/>
    <w:pPr>
      <w:spacing w:after="160" w:line="259" w:lineRule="auto"/>
    </w:pPr>
    <w:rPr>
      <w:rFonts w:ascii="Calibri" w:hAnsi="Calibri"/>
      <w:sz w:val="20"/>
      <w:szCs w:val="20"/>
      <w:lang w:eastAsia="en-US"/>
    </w:rPr>
  </w:style>
  <w:style w:type="character" w:customStyle="1" w:styleId="CommentTextChar1">
    <w:name w:val="Comment Text Char1"/>
    <w:basedOn w:val="DefaultParagraphFont"/>
    <w:link w:val="CommentText"/>
    <w:uiPriority w:val="99"/>
    <w:semiHidden/>
    <w:locked/>
    <w:rsid w:val="009D706D"/>
    <w:rPr>
      <w:rFonts w:cs="Times New Roman"/>
      <w:sz w:val="20"/>
      <w:szCs w:val="20"/>
      <w:lang w:eastAsia="ja-JP"/>
    </w:rPr>
  </w:style>
  <w:style w:type="paragraph" w:styleId="BalloonText">
    <w:name w:val="Balloon Text"/>
    <w:basedOn w:val="Normal"/>
    <w:link w:val="BalloonTextChar1"/>
    <w:uiPriority w:val="99"/>
    <w:rsid w:val="009E5B71"/>
    <w:rPr>
      <w:sz w:val="2"/>
      <w:szCs w:val="20"/>
    </w:rPr>
  </w:style>
  <w:style w:type="character" w:customStyle="1" w:styleId="BalloonTextChar1">
    <w:name w:val="Balloon Text Char1"/>
    <w:basedOn w:val="DefaultParagraphFont"/>
    <w:link w:val="BalloonText"/>
    <w:uiPriority w:val="99"/>
    <w:semiHidden/>
    <w:locked/>
    <w:rsid w:val="009D706D"/>
    <w:rPr>
      <w:rFonts w:cs="Times New Roman"/>
      <w:sz w:val="2"/>
      <w:lang w:eastAsia="ja-JP"/>
    </w:rPr>
  </w:style>
  <w:style w:type="paragraph" w:customStyle="1" w:styleId="Default">
    <w:name w:val="Default"/>
    <w:uiPriority w:val="99"/>
    <w:rsid w:val="009E5B71"/>
    <w:pPr>
      <w:suppressAutoHyphens/>
      <w:overflowPunct w:val="0"/>
    </w:pPr>
    <w:rPr>
      <w:color w:val="000000"/>
      <w:sz w:val="24"/>
      <w:szCs w:val="24"/>
    </w:rPr>
  </w:style>
  <w:style w:type="paragraph" w:styleId="ListParagraph">
    <w:name w:val="List Paragraph"/>
    <w:basedOn w:val="Normal"/>
    <w:uiPriority w:val="99"/>
    <w:qFormat/>
    <w:rsid w:val="009E5B71"/>
    <w:pPr>
      <w:ind w:left="720"/>
      <w:contextualSpacing/>
    </w:pPr>
  </w:style>
  <w:style w:type="paragraph" w:styleId="CommentSubject">
    <w:name w:val="annotation subject"/>
    <w:basedOn w:val="CommentText"/>
    <w:next w:val="CommentText"/>
    <w:link w:val="CommentSubjectChar1"/>
    <w:uiPriority w:val="99"/>
    <w:rsid w:val="009E5B71"/>
    <w:pPr>
      <w:spacing w:after="0" w:line="240" w:lineRule="auto"/>
    </w:pPr>
    <w:rPr>
      <w:b/>
      <w:bCs/>
      <w:lang w:eastAsia="ja-JP"/>
    </w:rPr>
  </w:style>
  <w:style w:type="character" w:customStyle="1" w:styleId="CommentSubjectChar1">
    <w:name w:val="Comment Subject Char1"/>
    <w:basedOn w:val="CommentTextChar1"/>
    <w:link w:val="CommentSubject"/>
    <w:uiPriority w:val="99"/>
    <w:semiHidden/>
    <w:locked/>
    <w:rsid w:val="009D706D"/>
    <w:rPr>
      <w:rFonts w:cs="Times New Roman"/>
      <w:b/>
      <w:bCs/>
      <w:sz w:val="20"/>
      <w:szCs w:val="20"/>
      <w:lang w:eastAsia="ja-JP"/>
    </w:rPr>
  </w:style>
  <w:style w:type="paragraph" w:styleId="Revision">
    <w:name w:val="Revision"/>
    <w:uiPriority w:val="99"/>
    <w:rsid w:val="009E5B71"/>
    <w:pPr>
      <w:suppressAutoHyphens/>
      <w:overflowPunct w:val="0"/>
    </w:pPr>
    <w:rPr>
      <w:sz w:val="24"/>
      <w:szCs w:val="24"/>
      <w:lang w:eastAsia="ja-JP"/>
    </w:rPr>
  </w:style>
  <w:style w:type="paragraph" w:styleId="NormalWeb">
    <w:name w:val="Normal (Web)"/>
    <w:basedOn w:val="Normal"/>
    <w:uiPriority w:val="99"/>
    <w:rsid w:val="009E5B71"/>
    <w:pPr>
      <w:spacing w:before="280" w:after="280"/>
    </w:pPr>
    <w:rPr>
      <w:rFonts w:ascii="Arial Unicode MS" w:eastAsia="Arial Unicode MS" w:hAnsi="Arial Unicode MS" w:cs="Arial Unicode MS"/>
      <w:lang w:eastAsia="it-IT"/>
    </w:rPr>
  </w:style>
  <w:style w:type="paragraph" w:customStyle="1" w:styleId="Style1">
    <w:name w:val="Style1"/>
    <w:basedOn w:val="Normal"/>
    <w:uiPriority w:val="99"/>
    <w:rsid w:val="009E5B71"/>
    <w:pPr>
      <w:widowControl w:val="0"/>
      <w:spacing w:line="288" w:lineRule="exact"/>
      <w:ind w:firstLine="709"/>
      <w:jc w:val="both"/>
    </w:pPr>
    <w:rPr>
      <w:lang w:eastAsia="zh-CN"/>
    </w:rPr>
  </w:style>
  <w:style w:type="paragraph" w:customStyle="1" w:styleId="Contenutocornice">
    <w:name w:val="Contenuto cornice"/>
    <w:basedOn w:val="Normal"/>
    <w:uiPriority w:val="99"/>
    <w:rsid w:val="009E5B71"/>
  </w:style>
  <w:style w:type="paragraph" w:customStyle="1" w:styleId="Contenutotabella">
    <w:name w:val="Contenuto tabella"/>
    <w:basedOn w:val="Normal"/>
    <w:uiPriority w:val="99"/>
    <w:rsid w:val="009E5B71"/>
    <w:pPr>
      <w:suppressLineNumbers/>
    </w:pPr>
  </w:style>
  <w:style w:type="character" w:styleId="Strong">
    <w:name w:val="Strong"/>
    <w:basedOn w:val="DefaultParagraphFont"/>
    <w:uiPriority w:val="99"/>
    <w:qFormat/>
    <w:locked/>
    <w:rsid w:val="00553ADF"/>
    <w:rPr>
      <w:rFonts w:cs="Times New Roman"/>
      <w:b/>
      <w:bCs/>
    </w:rPr>
  </w:style>
  <w:style w:type="paragraph" w:styleId="HTMLPreformatted">
    <w:name w:val="HTML Preformatted"/>
    <w:basedOn w:val="Normal"/>
    <w:link w:val="HTMLPreformattedChar"/>
    <w:uiPriority w:val="99"/>
    <w:semiHidden/>
    <w:rsid w:val="002C0E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pPr>
    <w:rPr>
      <w:rFonts w:ascii="Courier New" w:hAnsi="Courier New" w:cs="Courier New"/>
      <w:sz w:val="20"/>
      <w:szCs w:val="20"/>
      <w:lang w:eastAsia="it-IT"/>
    </w:rPr>
  </w:style>
  <w:style w:type="character" w:customStyle="1" w:styleId="HTMLPreformattedChar">
    <w:name w:val="HTML Preformatted Char"/>
    <w:basedOn w:val="DefaultParagraphFont"/>
    <w:link w:val="HTMLPreformatted"/>
    <w:uiPriority w:val="99"/>
    <w:semiHidden/>
    <w:locked/>
    <w:rsid w:val="002C0E45"/>
    <w:rPr>
      <w:rFonts w:ascii="Courier New" w:hAnsi="Courier New" w:cs="Courier New"/>
      <w:sz w:val="20"/>
      <w:szCs w:val="20"/>
    </w:rPr>
  </w:style>
  <w:style w:type="table" w:styleId="TableGrid">
    <w:name w:val="Table Grid"/>
    <w:basedOn w:val="TableNormal"/>
    <w:locked/>
    <w:rsid w:val="00F76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808498">
      <w:marLeft w:val="0"/>
      <w:marRight w:val="0"/>
      <w:marTop w:val="0"/>
      <w:marBottom w:val="0"/>
      <w:divBdr>
        <w:top w:val="none" w:sz="0" w:space="0" w:color="auto"/>
        <w:left w:val="none" w:sz="0" w:space="0" w:color="auto"/>
        <w:bottom w:val="none" w:sz="0" w:space="0" w:color="auto"/>
        <w:right w:val="none" w:sz="0" w:space="0" w:color="auto"/>
      </w:divBdr>
    </w:div>
    <w:div w:id="1376808499">
      <w:marLeft w:val="0"/>
      <w:marRight w:val="0"/>
      <w:marTop w:val="0"/>
      <w:marBottom w:val="0"/>
      <w:divBdr>
        <w:top w:val="none" w:sz="0" w:space="0" w:color="auto"/>
        <w:left w:val="none" w:sz="0" w:space="0" w:color="auto"/>
        <w:bottom w:val="none" w:sz="0" w:space="0" w:color="auto"/>
        <w:right w:val="none" w:sz="0" w:space="0" w:color="auto"/>
      </w:divBdr>
    </w:div>
    <w:div w:id="1376808500">
      <w:marLeft w:val="0"/>
      <w:marRight w:val="0"/>
      <w:marTop w:val="0"/>
      <w:marBottom w:val="0"/>
      <w:divBdr>
        <w:top w:val="none" w:sz="0" w:space="0" w:color="auto"/>
        <w:left w:val="none" w:sz="0" w:space="0" w:color="auto"/>
        <w:bottom w:val="none" w:sz="0" w:space="0" w:color="auto"/>
        <w:right w:val="none" w:sz="0" w:space="0" w:color="auto"/>
      </w:divBdr>
    </w:div>
    <w:div w:id="1376808501">
      <w:marLeft w:val="0"/>
      <w:marRight w:val="0"/>
      <w:marTop w:val="0"/>
      <w:marBottom w:val="0"/>
      <w:divBdr>
        <w:top w:val="none" w:sz="0" w:space="0" w:color="auto"/>
        <w:left w:val="none" w:sz="0" w:space="0" w:color="auto"/>
        <w:bottom w:val="none" w:sz="0" w:space="0" w:color="auto"/>
        <w:right w:val="none" w:sz="0" w:space="0" w:color="auto"/>
      </w:divBdr>
    </w:div>
    <w:div w:id="1376808502">
      <w:marLeft w:val="0"/>
      <w:marRight w:val="0"/>
      <w:marTop w:val="0"/>
      <w:marBottom w:val="0"/>
      <w:divBdr>
        <w:top w:val="none" w:sz="0" w:space="0" w:color="auto"/>
        <w:left w:val="none" w:sz="0" w:space="0" w:color="auto"/>
        <w:bottom w:val="none" w:sz="0" w:space="0" w:color="auto"/>
        <w:right w:val="none" w:sz="0" w:space="0" w:color="auto"/>
      </w:divBdr>
    </w:div>
    <w:div w:id="1376808503">
      <w:marLeft w:val="0"/>
      <w:marRight w:val="0"/>
      <w:marTop w:val="0"/>
      <w:marBottom w:val="0"/>
      <w:divBdr>
        <w:top w:val="none" w:sz="0" w:space="0" w:color="auto"/>
        <w:left w:val="none" w:sz="0" w:space="0" w:color="auto"/>
        <w:bottom w:val="none" w:sz="0" w:space="0" w:color="auto"/>
        <w:right w:val="none" w:sz="0" w:space="0" w:color="auto"/>
      </w:divBdr>
    </w:div>
    <w:div w:id="1376808504">
      <w:marLeft w:val="0"/>
      <w:marRight w:val="0"/>
      <w:marTop w:val="0"/>
      <w:marBottom w:val="0"/>
      <w:divBdr>
        <w:top w:val="none" w:sz="0" w:space="0" w:color="auto"/>
        <w:left w:val="none" w:sz="0" w:space="0" w:color="auto"/>
        <w:bottom w:val="none" w:sz="0" w:space="0" w:color="auto"/>
        <w:right w:val="none" w:sz="0" w:space="0" w:color="auto"/>
      </w:divBdr>
    </w:div>
    <w:div w:id="1376808505">
      <w:marLeft w:val="0"/>
      <w:marRight w:val="0"/>
      <w:marTop w:val="0"/>
      <w:marBottom w:val="0"/>
      <w:divBdr>
        <w:top w:val="none" w:sz="0" w:space="0" w:color="auto"/>
        <w:left w:val="none" w:sz="0" w:space="0" w:color="auto"/>
        <w:bottom w:val="none" w:sz="0" w:space="0" w:color="auto"/>
        <w:right w:val="none" w:sz="0" w:space="0" w:color="auto"/>
      </w:divBdr>
    </w:div>
    <w:div w:id="1376808506">
      <w:marLeft w:val="0"/>
      <w:marRight w:val="0"/>
      <w:marTop w:val="0"/>
      <w:marBottom w:val="0"/>
      <w:divBdr>
        <w:top w:val="none" w:sz="0" w:space="0" w:color="auto"/>
        <w:left w:val="none" w:sz="0" w:space="0" w:color="auto"/>
        <w:bottom w:val="none" w:sz="0" w:space="0" w:color="auto"/>
        <w:right w:val="none" w:sz="0" w:space="0" w:color="auto"/>
      </w:divBdr>
    </w:div>
    <w:div w:id="1376808507">
      <w:marLeft w:val="0"/>
      <w:marRight w:val="0"/>
      <w:marTop w:val="0"/>
      <w:marBottom w:val="0"/>
      <w:divBdr>
        <w:top w:val="none" w:sz="0" w:space="0" w:color="auto"/>
        <w:left w:val="none" w:sz="0" w:space="0" w:color="auto"/>
        <w:bottom w:val="none" w:sz="0" w:space="0" w:color="auto"/>
        <w:right w:val="none" w:sz="0" w:space="0" w:color="auto"/>
      </w:divBdr>
    </w:div>
    <w:div w:id="1376808508">
      <w:marLeft w:val="0"/>
      <w:marRight w:val="0"/>
      <w:marTop w:val="0"/>
      <w:marBottom w:val="0"/>
      <w:divBdr>
        <w:top w:val="none" w:sz="0" w:space="0" w:color="auto"/>
        <w:left w:val="none" w:sz="0" w:space="0" w:color="auto"/>
        <w:bottom w:val="none" w:sz="0" w:space="0" w:color="auto"/>
        <w:right w:val="none" w:sz="0" w:space="0" w:color="auto"/>
      </w:divBdr>
    </w:div>
    <w:div w:id="1376808509">
      <w:marLeft w:val="0"/>
      <w:marRight w:val="0"/>
      <w:marTop w:val="0"/>
      <w:marBottom w:val="0"/>
      <w:divBdr>
        <w:top w:val="none" w:sz="0" w:space="0" w:color="auto"/>
        <w:left w:val="none" w:sz="0" w:space="0" w:color="auto"/>
        <w:bottom w:val="none" w:sz="0" w:space="0" w:color="auto"/>
        <w:right w:val="none" w:sz="0" w:space="0" w:color="auto"/>
      </w:divBdr>
    </w:div>
    <w:div w:id="1376808510">
      <w:marLeft w:val="0"/>
      <w:marRight w:val="0"/>
      <w:marTop w:val="0"/>
      <w:marBottom w:val="0"/>
      <w:divBdr>
        <w:top w:val="none" w:sz="0" w:space="0" w:color="auto"/>
        <w:left w:val="none" w:sz="0" w:space="0" w:color="auto"/>
        <w:bottom w:val="none" w:sz="0" w:space="0" w:color="auto"/>
        <w:right w:val="none" w:sz="0" w:space="0" w:color="auto"/>
      </w:divBdr>
    </w:div>
    <w:div w:id="1376808511">
      <w:marLeft w:val="0"/>
      <w:marRight w:val="0"/>
      <w:marTop w:val="0"/>
      <w:marBottom w:val="0"/>
      <w:divBdr>
        <w:top w:val="none" w:sz="0" w:space="0" w:color="auto"/>
        <w:left w:val="none" w:sz="0" w:space="0" w:color="auto"/>
        <w:bottom w:val="none" w:sz="0" w:space="0" w:color="auto"/>
        <w:right w:val="none" w:sz="0" w:space="0" w:color="auto"/>
      </w:divBdr>
    </w:div>
    <w:div w:id="1376808512">
      <w:marLeft w:val="0"/>
      <w:marRight w:val="0"/>
      <w:marTop w:val="0"/>
      <w:marBottom w:val="0"/>
      <w:divBdr>
        <w:top w:val="none" w:sz="0" w:space="0" w:color="auto"/>
        <w:left w:val="none" w:sz="0" w:space="0" w:color="auto"/>
        <w:bottom w:val="none" w:sz="0" w:space="0" w:color="auto"/>
        <w:right w:val="none" w:sz="0" w:space="0" w:color="auto"/>
      </w:divBdr>
    </w:div>
    <w:div w:id="1376808513">
      <w:marLeft w:val="0"/>
      <w:marRight w:val="0"/>
      <w:marTop w:val="0"/>
      <w:marBottom w:val="0"/>
      <w:divBdr>
        <w:top w:val="none" w:sz="0" w:space="0" w:color="auto"/>
        <w:left w:val="none" w:sz="0" w:space="0" w:color="auto"/>
        <w:bottom w:val="none" w:sz="0" w:space="0" w:color="auto"/>
        <w:right w:val="none" w:sz="0" w:space="0" w:color="auto"/>
      </w:divBdr>
    </w:div>
    <w:div w:id="1376808514">
      <w:marLeft w:val="0"/>
      <w:marRight w:val="0"/>
      <w:marTop w:val="0"/>
      <w:marBottom w:val="0"/>
      <w:divBdr>
        <w:top w:val="none" w:sz="0" w:space="0" w:color="auto"/>
        <w:left w:val="none" w:sz="0" w:space="0" w:color="auto"/>
        <w:bottom w:val="none" w:sz="0" w:space="0" w:color="auto"/>
        <w:right w:val="none" w:sz="0" w:space="0" w:color="auto"/>
      </w:divBdr>
    </w:div>
    <w:div w:id="1376808515">
      <w:marLeft w:val="0"/>
      <w:marRight w:val="0"/>
      <w:marTop w:val="0"/>
      <w:marBottom w:val="0"/>
      <w:divBdr>
        <w:top w:val="none" w:sz="0" w:space="0" w:color="auto"/>
        <w:left w:val="none" w:sz="0" w:space="0" w:color="auto"/>
        <w:bottom w:val="none" w:sz="0" w:space="0" w:color="auto"/>
        <w:right w:val="none" w:sz="0" w:space="0" w:color="auto"/>
      </w:divBdr>
    </w:div>
    <w:div w:id="137680851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21</Pages>
  <Words>7642</Words>
  <Characters>43565</Characters>
  <Application>Microsoft Office Word</Application>
  <DocSecurity>0</DocSecurity>
  <Lines>363</Lines>
  <Paragraphs>102</Paragraphs>
  <ScaleCrop>false</ScaleCrop>
  <HeadingPairs>
    <vt:vector size="2" baseType="variant">
      <vt:variant>
        <vt:lpstr>Titolo</vt:lpstr>
      </vt:variant>
      <vt:variant>
        <vt:i4>1</vt:i4>
      </vt:variant>
    </vt:vector>
  </HeadingPairs>
  <TitlesOfParts>
    <vt:vector size="1" baseType="lpstr">
      <vt:lpstr>Modello decreto Ministro dell'Interno</vt:lpstr>
    </vt:vector>
  </TitlesOfParts>
  <Company>cnvvf</Company>
  <LinksUpToDate>false</LinksUpToDate>
  <CharactersWithSpaces>51105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decreto Ministro dell'Interno</dc:title>
  <dc:creator>D'ELIA PIERGIORGIO</dc:creator>
  <cp:lastModifiedBy>Dimitris Dimitriadis</cp:lastModifiedBy>
  <cp:revision>9</cp:revision>
  <cp:lastPrinted>2023-02-02T17:07:00Z</cp:lastPrinted>
  <dcterms:created xsi:type="dcterms:W3CDTF">2023-02-10T08:15:00Z</dcterms:created>
  <dcterms:modified xsi:type="dcterms:W3CDTF">2023-03-07T14:55:00Z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cnvvf</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