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488"/>
        <w:gridCol w:w="4774"/>
        <w:gridCol w:w="7"/>
      </w:tblGrid>
      <w:tr w:rsidR="0079460A" w:rsidRPr="00EF633E" w14:paraId="558C7C32" w14:textId="77777777" w:rsidTr="00EB6A7E">
        <w:trPr>
          <w:gridAfter w:val="1"/>
          <w:wAfter w:w="7" w:type="dxa"/>
        </w:trPr>
        <w:tc>
          <w:tcPr>
            <w:tcW w:w="279" w:type="dxa"/>
          </w:tcPr>
          <w:p w14:paraId="5738B468" w14:textId="4D642070" w:rsidR="00C8547B" w:rsidRPr="00EF633E" w:rsidRDefault="00C8547B" w:rsidP="00996E0F">
            <w:pPr>
              <w:jc w:val="center"/>
            </w:pPr>
            <w:bookmarkStart w:id="0" w:name="_Hlk63519242"/>
          </w:p>
        </w:tc>
        <w:tc>
          <w:tcPr>
            <w:tcW w:w="9267" w:type="dxa"/>
            <w:gridSpan w:val="2"/>
          </w:tcPr>
          <w:p w14:paraId="356DEF92" w14:textId="0AEFFAC8" w:rsidR="00996E0F" w:rsidRPr="00EF633E" w:rsidRDefault="00C8547B" w:rsidP="00C8547B">
            <w:pPr>
              <w:jc w:val="center"/>
              <w:rPr>
                <w:rFonts w:ascii="Arial" w:hAnsi="Arial" w:cs="Arial"/>
                <w:b/>
              </w:rPr>
            </w:pPr>
            <w:r w:rsidRPr="00EF633E">
              <w:rPr>
                <w:rFonts w:ascii="Arial" w:hAnsi="Arial"/>
                <w:b/>
              </w:rPr>
              <w:t>REINO DE BÉLGICA</w:t>
            </w:r>
          </w:p>
        </w:tc>
      </w:tr>
      <w:tr w:rsidR="0079460A" w:rsidRPr="00EF633E" w14:paraId="42DCD924" w14:textId="77777777" w:rsidTr="00EB6A7E">
        <w:trPr>
          <w:gridAfter w:val="1"/>
          <w:wAfter w:w="7" w:type="dxa"/>
        </w:trPr>
        <w:tc>
          <w:tcPr>
            <w:tcW w:w="279" w:type="dxa"/>
          </w:tcPr>
          <w:p w14:paraId="098560EF" w14:textId="77777777" w:rsidR="00996E0F" w:rsidRPr="00EF633E" w:rsidRDefault="00996E0F" w:rsidP="00996E0F"/>
        </w:tc>
        <w:tc>
          <w:tcPr>
            <w:tcW w:w="9267" w:type="dxa"/>
            <w:gridSpan w:val="2"/>
          </w:tcPr>
          <w:p w14:paraId="5CE47156" w14:textId="77777777" w:rsidR="00996E0F" w:rsidRPr="00EF633E" w:rsidRDefault="00996E0F" w:rsidP="00996E0F">
            <w:pPr>
              <w:rPr>
                <w:lang w:val="nl-BE"/>
              </w:rPr>
            </w:pPr>
          </w:p>
        </w:tc>
      </w:tr>
      <w:tr w:rsidR="0079460A" w:rsidRPr="00EF633E" w14:paraId="44978EC4" w14:textId="77777777" w:rsidTr="00EB6A7E">
        <w:trPr>
          <w:gridAfter w:val="1"/>
          <w:wAfter w:w="7" w:type="dxa"/>
        </w:trPr>
        <w:tc>
          <w:tcPr>
            <w:tcW w:w="279" w:type="dxa"/>
          </w:tcPr>
          <w:p w14:paraId="2D831F4F" w14:textId="153D3D22" w:rsidR="00C8547B" w:rsidRPr="00EF633E" w:rsidRDefault="00C8547B" w:rsidP="00996E0F">
            <w:pPr>
              <w:jc w:val="center"/>
              <w:rPr>
                <w:lang w:val="nl-NL"/>
              </w:rPr>
            </w:pPr>
          </w:p>
        </w:tc>
        <w:tc>
          <w:tcPr>
            <w:tcW w:w="9267" w:type="dxa"/>
            <w:gridSpan w:val="2"/>
          </w:tcPr>
          <w:p w14:paraId="5455DA58" w14:textId="77777777" w:rsidR="00C8547B" w:rsidRPr="00EF633E" w:rsidRDefault="00C8547B" w:rsidP="00C8547B">
            <w:pPr>
              <w:jc w:val="center"/>
              <w:rPr>
                <w:rFonts w:ascii="Arial" w:hAnsi="Arial" w:cs="Arial"/>
                <w:b/>
              </w:rPr>
            </w:pPr>
            <w:r w:rsidRPr="00EF633E">
              <w:rPr>
                <w:rFonts w:ascii="Arial" w:hAnsi="Arial"/>
                <w:b/>
              </w:rPr>
              <w:t>SERVICIO PÚBLICO FEDERAL DE ECONOMÍA, PYME, CLASES MEDIAS Y ENERGÍA</w:t>
            </w:r>
          </w:p>
          <w:p w14:paraId="1A54DC63" w14:textId="159C4119" w:rsidR="00996E0F" w:rsidRPr="00EF633E" w:rsidRDefault="00996E0F" w:rsidP="00996E0F">
            <w:pPr>
              <w:tabs>
                <w:tab w:val="left" w:pos="-720"/>
              </w:tabs>
              <w:jc w:val="center"/>
              <w:rPr>
                <w:rFonts w:ascii="Arial" w:hAnsi="Arial" w:cs="Arial"/>
                <w:b/>
                <w:spacing w:val="-3"/>
              </w:rPr>
            </w:pPr>
          </w:p>
        </w:tc>
      </w:tr>
      <w:tr w:rsidR="0079460A" w:rsidRPr="00EF633E" w14:paraId="5BB3B823" w14:textId="77777777" w:rsidTr="00EB6A7E">
        <w:trPr>
          <w:gridAfter w:val="1"/>
          <w:wAfter w:w="7" w:type="dxa"/>
        </w:trPr>
        <w:tc>
          <w:tcPr>
            <w:tcW w:w="279" w:type="dxa"/>
          </w:tcPr>
          <w:p w14:paraId="4F3801D2" w14:textId="695F1006" w:rsidR="00C8547B" w:rsidRPr="00EF633E" w:rsidRDefault="00C8547B" w:rsidP="00047B0F">
            <w:pPr>
              <w:jc w:val="both"/>
            </w:pPr>
          </w:p>
        </w:tc>
        <w:tc>
          <w:tcPr>
            <w:tcW w:w="9267" w:type="dxa"/>
            <w:gridSpan w:val="2"/>
          </w:tcPr>
          <w:p w14:paraId="3E5575EE" w14:textId="1763EE11" w:rsidR="00C8547B" w:rsidRPr="00EF633E" w:rsidRDefault="00BB74F2" w:rsidP="00C8547B">
            <w:pPr>
              <w:jc w:val="both"/>
              <w:rPr>
                <w:rFonts w:ascii="Arial" w:hAnsi="Arial" w:cs="Arial"/>
                <w:b/>
              </w:rPr>
            </w:pPr>
            <w:r w:rsidRPr="00EF633E">
              <w:rPr>
                <w:rFonts w:ascii="Arial" w:hAnsi="Arial"/>
                <w:b/>
              </w:rPr>
              <w:t>10 de julio de 2022 - Proyecto de Real Decreto por el que se inserta el capítulo 7.22. del Libro 1 y se modifican determinadas partes de los Libros 1 y 3, introducido mediante Real Decreto, de 8 de septiembre de 2019, por el que se establecen el Libro 1 sobre instalaciones eléctricas de baja tensión y muy baja tensión, el Libro 2 sobre instalaciones eléctricas de alta tensión y el Libro 3 sobre instalaciones de transmisión y distribución de electricidad.</w:t>
            </w:r>
          </w:p>
          <w:p w14:paraId="32AAC0D0" w14:textId="1284B7FE" w:rsidR="00047B0F" w:rsidRPr="00EF633E" w:rsidRDefault="00047B0F" w:rsidP="00047B0F">
            <w:pPr>
              <w:jc w:val="both"/>
            </w:pPr>
          </w:p>
        </w:tc>
      </w:tr>
      <w:tr w:rsidR="0079460A" w:rsidRPr="00EF633E" w14:paraId="0A3CEFFD" w14:textId="77777777" w:rsidTr="00EB6A7E">
        <w:trPr>
          <w:gridAfter w:val="1"/>
          <w:wAfter w:w="7" w:type="dxa"/>
        </w:trPr>
        <w:tc>
          <w:tcPr>
            <w:tcW w:w="279" w:type="dxa"/>
          </w:tcPr>
          <w:p w14:paraId="0C0F16EC" w14:textId="7EF6ABBD" w:rsidR="001A2519" w:rsidRPr="00EF633E" w:rsidRDefault="001A2519" w:rsidP="001A2519">
            <w:pPr>
              <w:jc w:val="center"/>
            </w:pPr>
          </w:p>
        </w:tc>
        <w:tc>
          <w:tcPr>
            <w:tcW w:w="9267" w:type="dxa"/>
            <w:gridSpan w:val="2"/>
          </w:tcPr>
          <w:p w14:paraId="57E2F727" w14:textId="77777777" w:rsidR="001A2519" w:rsidRPr="00EF633E" w:rsidRDefault="001A2519" w:rsidP="001A2519">
            <w:pPr>
              <w:tabs>
                <w:tab w:val="center" w:pos="2359"/>
              </w:tabs>
              <w:jc w:val="center"/>
              <w:rPr>
                <w:rFonts w:ascii="Arial" w:hAnsi="Arial" w:cs="Arial"/>
                <w:spacing w:val="-3"/>
              </w:rPr>
            </w:pPr>
            <w:r w:rsidRPr="00EF633E">
              <w:rPr>
                <w:rFonts w:ascii="Arial" w:hAnsi="Arial"/>
              </w:rPr>
              <w:t>FELIPE, rey de los belgas,</w:t>
            </w:r>
          </w:p>
          <w:p w14:paraId="393066B7" w14:textId="77777777" w:rsidR="001A2519" w:rsidRPr="00EF633E" w:rsidRDefault="001A2519" w:rsidP="001A2519">
            <w:pPr>
              <w:jc w:val="center"/>
              <w:rPr>
                <w:rFonts w:ascii="Arial" w:hAnsi="Arial" w:cs="Arial"/>
                <w:spacing w:val="-3"/>
              </w:rPr>
            </w:pPr>
            <w:r w:rsidRPr="00EF633E">
              <w:rPr>
                <w:rFonts w:ascii="Arial" w:hAnsi="Arial"/>
              </w:rPr>
              <w:t>A todos los presentes y futuros, saludos.</w:t>
            </w:r>
          </w:p>
          <w:p w14:paraId="26439878" w14:textId="2A2615F2" w:rsidR="00047B0F" w:rsidRPr="00EF633E" w:rsidRDefault="00047B0F" w:rsidP="00047B0F">
            <w:pPr>
              <w:tabs>
                <w:tab w:val="left" w:pos="-720"/>
              </w:tabs>
              <w:jc w:val="center"/>
              <w:rPr>
                <w:rFonts w:ascii="Arial" w:hAnsi="Arial" w:cs="Arial"/>
                <w:b/>
                <w:spacing w:val="-3"/>
              </w:rPr>
            </w:pPr>
          </w:p>
        </w:tc>
      </w:tr>
      <w:tr w:rsidR="0079460A" w:rsidRPr="00EF633E" w14:paraId="090783DE" w14:textId="77777777" w:rsidTr="00EB6A7E">
        <w:trPr>
          <w:gridAfter w:val="1"/>
          <w:wAfter w:w="7" w:type="dxa"/>
        </w:trPr>
        <w:tc>
          <w:tcPr>
            <w:tcW w:w="279" w:type="dxa"/>
          </w:tcPr>
          <w:p w14:paraId="394F0CC4" w14:textId="582771A3" w:rsidR="00047B0F" w:rsidRPr="00EF633E" w:rsidRDefault="00047B0F" w:rsidP="00047B0F">
            <w:pPr>
              <w:jc w:val="both"/>
            </w:pPr>
          </w:p>
        </w:tc>
        <w:tc>
          <w:tcPr>
            <w:tcW w:w="9267" w:type="dxa"/>
            <w:gridSpan w:val="2"/>
          </w:tcPr>
          <w:p w14:paraId="28A97C05" w14:textId="7DA567BF" w:rsidR="00047B0F" w:rsidRPr="00EF633E" w:rsidRDefault="00E82C35" w:rsidP="00047B0F">
            <w:pPr>
              <w:jc w:val="both"/>
            </w:pPr>
            <w:r w:rsidRPr="00EF633E">
              <w:rPr>
                <w:rFonts w:ascii="Arial" w:hAnsi="Arial"/>
              </w:rPr>
              <w:t xml:space="preserve">Vista la Ley, de 10 de marzo de 1925, sobre distribución de energía eléctrica, </w:t>
            </w:r>
            <w:bookmarkStart w:id="1" w:name="hit1"/>
            <w:bookmarkEnd w:id="1"/>
            <w:r w:rsidRPr="00EF633E">
              <w:rPr>
                <w:rFonts w:ascii="Arial" w:hAnsi="Arial"/>
              </w:rPr>
              <w:t>artículo 21, punto 1;</w:t>
            </w:r>
          </w:p>
        </w:tc>
      </w:tr>
      <w:tr w:rsidR="0079460A" w:rsidRPr="00EF633E" w14:paraId="16C56C70" w14:textId="77777777" w:rsidTr="00EB6A7E">
        <w:trPr>
          <w:gridAfter w:val="1"/>
          <w:wAfter w:w="7" w:type="dxa"/>
        </w:trPr>
        <w:tc>
          <w:tcPr>
            <w:tcW w:w="279" w:type="dxa"/>
          </w:tcPr>
          <w:p w14:paraId="005A8A09" w14:textId="1FD00E60" w:rsidR="00047B0F" w:rsidRPr="00EF633E" w:rsidRDefault="00047B0F" w:rsidP="00047B0F"/>
        </w:tc>
        <w:tc>
          <w:tcPr>
            <w:tcW w:w="9267" w:type="dxa"/>
            <w:gridSpan w:val="2"/>
          </w:tcPr>
          <w:p w14:paraId="2C6E1918" w14:textId="77777777" w:rsidR="00047B0F" w:rsidRPr="00EF633E" w:rsidRDefault="00047B0F" w:rsidP="00047B0F"/>
        </w:tc>
      </w:tr>
      <w:tr w:rsidR="0079460A" w:rsidRPr="00EF633E" w14:paraId="13B39B01" w14:textId="77777777" w:rsidTr="00EB6A7E">
        <w:trPr>
          <w:gridAfter w:val="1"/>
          <w:wAfter w:w="7" w:type="dxa"/>
        </w:trPr>
        <w:tc>
          <w:tcPr>
            <w:tcW w:w="279" w:type="dxa"/>
          </w:tcPr>
          <w:p w14:paraId="2EDDC7D3" w14:textId="7C3F5D57" w:rsidR="00047B0F" w:rsidRPr="00EF633E" w:rsidRDefault="00047B0F" w:rsidP="00047B0F">
            <w:pPr>
              <w:jc w:val="both"/>
            </w:pPr>
          </w:p>
        </w:tc>
        <w:tc>
          <w:tcPr>
            <w:tcW w:w="9267" w:type="dxa"/>
            <w:gridSpan w:val="2"/>
          </w:tcPr>
          <w:p w14:paraId="0D47B9E7" w14:textId="34FB87E4" w:rsidR="00047B0F" w:rsidRPr="00EF633E" w:rsidRDefault="00E82C35" w:rsidP="00047B0F">
            <w:pPr>
              <w:jc w:val="both"/>
            </w:pPr>
            <w:r w:rsidRPr="00EF633E">
              <w:rPr>
                <w:rFonts w:ascii="Arial" w:hAnsi="Arial"/>
              </w:rPr>
              <w:t>Vista la Ley, de 4 de agosto de 1996, sobre el bienestar de los trabajadores en el desempeño de su trabajo, artículo 4, apartado 1, párrafo primero, modificada por la Ley de 7 de abril de 1999, y el artículo 5, apartado 3;</w:t>
            </w:r>
          </w:p>
        </w:tc>
      </w:tr>
      <w:tr w:rsidR="0079460A" w:rsidRPr="00EF633E" w14:paraId="7B50A295" w14:textId="77777777" w:rsidTr="00EB6A7E">
        <w:trPr>
          <w:gridAfter w:val="1"/>
          <w:wAfter w:w="7" w:type="dxa"/>
        </w:trPr>
        <w:tc>
          <w:tcPr>
            <w:tcW w:w="279" w:type="dxa"/>
          </w:tcPr>
          <w:p w14:paraId="06DF04A2" w14:textId="6633B159" w:rsidR="00047B0F" w:rsidRPr="00EF633E" w:rsidRDefault="00047B0F" w:rsidP="00047B0F">
            <w:pPr>
              <w:jc w:val="both"/>
            </w:pPr>
          </w:p>
        </w:tc>
        <w:tc>
          <w:tcPr>
            <w:tcW w:w="9267" w:type="dxa"/>
            <w:gridSpan w:val="2"/>
          </w:tcPr>
          <w:p w14:paraId="34C16BC8" w14:textId="475FC890" w:rsidR="00047B0F" w:rsidRPr="00EF633E" w:rsidRDefault="00047B0F" w:rsidP="00047B0F">
            <w:pPr>
              <w:jc w:val="both"/>
            </w:pPr>
          </w:p>
        </w:tc>
      </w:tr>
      <w:tr w:rsidR="0079460A" w:rsidRPr="00EF633E" w14:paraId="4320AA9F" w14:textId="77777777" w:rsidTr="00EB6A7E">
        <w:trPr>
          <w:gridAfter w:val="1"/>
          <w:wAfter w:w="7" w:type="dxa"/>
        </w:trPr>
        <w:tc>
          <w:tcPr>
            <w:tcW w:w="279" w:type="dxa"/>
          </w:tcPr>
          <w:p w14:paraId="688F9937" w14:textId="77777777" w:rsidR="00047B0F" w:rsidRPr="00EF633E" w:rsidRDefault="00047B0F" w:rsidP="00E82C35">
            <w:pPr>
              <w:jc w:val="both"/>
            </w:pPr>
          </w:p>
        </w:tc>
        <w:tc>
          <w:tcPr>
            <w:tcW w:w="9267" w:type="dxa"/>
            <w:gridSpan w:val="2"/>
          </w:tcPr>
          <w:p w14:paraId="58EACF54" w14:textId="7CB491E9" w:rsidR="00207A1A" w:rsidRPr="00EF633E" w:rsidRDefault="00E82C35" w:rsidP="00E82C35">
            <w:pPr>
              <w:jc w:val="both"/>
            </w:pPr>
            <w:r w:rsidRPr="00EF633E">
              <w:rPr>
                <w:rFonts w:ascii="Arial" w:hAnsi="Arial"/>
              </w:rPr>
              <w:t>Visto el Real Decreto, de 8 de septiembre de 2019, por el que se establecen el Libro 1 sobre instalaciones eléctricas de baja tensión y muy baja tensión, el Libro 2 sobre instalaciones eléctricas de alta tensión y el Libro 3 sobre instalaciones de transmisión y distribución de electricidad;</w:t>
            </w:r>
          </w:p>
        </w:tc>
      </w:tr>
      <w:tr w:rsidR="0079460A" w:rsidRPr="00EF633E" w14:paraId="387D9A3A" w14:textId="77777777" w:rsidTr="00EB6A7E">
        <w:trPr>
          <w:gridAfter w:val="1"/>
          <w:wAfter w:w="7" w:type="dxa"/>
        </w:trPr>
        <w:tc>
          <w:tcPr>
            <w:tcW w:w="279" w:type="dxa"/>
          </w:tcPr>
          <w:p w14:paraId="3384E3C9" w14:textId="77777777" w:rsidR="00047B0F" w:rsidRPr="00EF633E" w:rsidRDefault="00047B0F" w:rsidP="00EB6A7E">
            <w:pPr>
              <w:jc w:val="both"/>
            </w:pPr>
          </w:p>
        </w:tc>
        <w:tc>
          <w:tcPr>
            <w:tcW w:w="9267" w:type="dxa"/>
            <w:gridSpan w:val="2"/>
          </w:tcPr>
          <w:p w14:paraId="0B2BBF55" w14:textId="77777777" w:rsidR="00E82C35" w:rsidRPr="00EF633E" w:rsidRDefault="00E82C35" w:rsidP="00E82C35">
            <w:pPr>
              <w:jc w:val="both"/>
              <w:rPr>
                <w:rFonts w:ascii="Arial" w:hAnsi="Arial" w:cs="Arial"/>
              </w:rPr>
            </w:pPr>
            <w:r w:rsidRPr="00EF633E">
              <w:rPr>
                <w:rFonts w:ascii="Arial" w:hAnsi="Arial"/>
              </w:rPr>
              <w:t>Visto el Dictamen del inspector de Hacienda, emitido el 25 de febrero de 2021;</w:t>
            </w:r>
          </w:p>
          <w:p w14:paraId="43E0BB1D" w14:textId="77777777" w:rsidR="00047B0F" w:rsidRPr="00EF633E" w:rsidRDefault="00047B0F" w:rsidP="00047B0F">
            <w:pPr>
              <w:jc w:val="both"/>
              <w:rPr>
                <w:rFonts w:ascii="Arial" w:hAnsi="Arial" w:cs="Arial"/>
              </w:rPr>
            </w:pPr>
          </w:p>
          <w:p w14:paraId="053E9279" w14:textId="447443A8" w:rsidR="00E82C35" w:rsidRPr="00EF633E" w:rsidRDefault="00E82C35" w:rsidP="00047B0F">
            <w:pPr>
              <w:jc w:val="both"/>
              <w:rPr>
                <w:rFonts w:ascii="Arial" w:hAnsi="Arial" w:cs="Arial"/>
              </w:rPr>
            </w:pPr>
            <w:r w:rsidRPr="00EF633E">
              <w:rPr>
                <w:rFonts w:ascii="Arial" w:hAnsi="Arial"/>
              </w:rPr>
              <w:t xml:space="preserve">Visto el Dictamen del Consejo Superior de Prevención y Protección en el Trabajo, emitido el 17 de noviembre de 2021, de conformidad con el artículo 95, párrafo </w:t>
            </w:r>
            <w:r w:rsidRPr="00EF633E">
              <w:rPr>
                <w:rStyle w:val="Emphaseple1"/>
                <w:rFonts w:ascii="Arial" w:hAnsi="Arial"/>
                <w:i w:val="0"/>
                <w:color w:val="auto"/>
              </w:rPr>
              <w:t>primero</w:t>
            </w:r>
            <w:r w:rsidRPr="00EF633E">
              <w:rPr>
                <w:rFonts w:ascii="Arial" w:hAnsi="Arial"/>
              </w:rPr>
              <w:t>, de la Ley, de 4 de agosto de 1996, sobre el bienestar de los trabajadores en el desempeño de sus funciones;</w:t>
            </w:r>
          </w:p>
          <w:p w14:paraId="3B5454BB" w14:textId="21DB4915" w:rsidR="00E82C35" w:rsidRPr="00EF633E" w:rsidRDefault="00E82C35" w:rsidP="00047B0F">
            <w:pPr>
              <w:jc w:val="both"/>
              <w:rPr>
                <w:rFonts w:ascii="Arial" w:hAnsi="Arial" w:cs="Arial"/>
              </w:rPr>
            </w:pPr>
          </w:p>
          <w:p w14:paraId="3E480D8D" w14:textId="77777777" w:rsidR="00E82C35" w:rsidRPr="00EF633E" w:rsidRDefault="00E82C35" w:rsidP="00047B0F">
            <w:pPr>
              <w:jc w:val="both"/>
              <w:rPr>
                <w:rFonts w:ascii="Arial" w:hAnsi="Arial" w:cs="Arial"/>
              </w:rPr>
            </w:pPr>
          </w:p>
          <w:p w14:paraId="28981038" w14:textId="3CC2A681" w:rsidR="00E82C35" w:rsidRPr="00EF633E" w:rsidRDefault="00E82C35" w:rsidP="00E82C35">
            <w:pPr>
              <w:jc w:val="both"/>
              <w:rPr>
                <w:rFonts w:ascii="Arial" w:hAnsi="Arial" w:cs="Arial"/>
              </w:rPr>
            </w:pPr>
            <w:r w:rsidRPr="00EF633E">
              <w:rPr>
                <w:rFonts w:ascii="Arial" w:hAnsi="Arial"/>
              </w:rPr>
              <w:t>Visto el Dictamen del Consejo Superior de Prevención y Protección contra Incendios y Explosiones, emitido el 22 de diciembre de 2021, de conformidad con el artículo 6, apartado 1, párrafo segundo, letra b), de la Ley, de 30 de julio de 1979, sobre prevención de incendios y explosiones y sobre el seguro obligatorio de responsabilidad civil en dichas circunstancias;</w:t>
            </w:r>
          </w:p>
          <w:p w14:paraId="3A3C5B0B" w14:textId="77777777" w:rsidR="00047B0F" w:rsidRPr="00EF633E" w:rsidRDefault="00047B0F" w:rsidP="00E82C35">
            <w:pPr>
              <w:jc w:val="both"/>
            </w:pPr>
          </w:p>
        </w:tc>
      </w:tr>
      <w:tr w:rsidR="007D5658" w:rsidRPr="00EF633E" w14:paraId="10B5E30F" w14:textId="77777777" w:rsidTr="00EB6A7E">
        <w:trPr>
          <w:gridAfter w:val="1"/>
          <w:wAfter w:w="7" w:type="dxa"/>
        </w:trPr>
        <w:tc>
          <w:tcPr>
            <w:tcW w:w="279" w:type="dxa"/>
          </w:tcPr>
          <w:p w14:paraId="532D036D" w14:textId="0B292C76" w:rsidR="007D5658" w:rsidRPr="00EF633E" w:rsidRDefault="007D5658" w:rsidP="007D5658">
            <w:pPr>
              <w:jc w:val="both"/>
              <w:rPr>
                <w:rFonts w:ascii="Arial" w:hAnsi="Arial" w:cs="Arial"/>
              </w:rPr>
            </w:pPr>
          </w:p>
        </w:tc>
        <w:tc>
          <w:tcPr>
            <w:tcW w:w="9267" w:type="dxa"/>
            <w:gridSpan w:val="2"/>
          </w:tcPr>
          <w:p w14:paraId="1BB7DA30" w14:textId="77777777" w:rsidR="007D5658" w:rsidRPr="00EF633E" w:rsidRDefault="007D5658" w:rsidP="007D5658">
            <w:pPr>
              <w:jc w:val="both"/>
              <w:rPr>
                <w:rFonts w:ascii="Arial" w:hAnsi="Arial" w:cs="Arial"/>
              </w:rPr>
            </w:pPr>
            <w:r w:rsidRPr="00EF633E">
              <w:rPr>
                <w:rFonts w:ascii="Arial" w:hAnsi="Arial"/>
              </w:rPr>
              <w:t>Vista la comunicación de la Comisión Europea, emitida el 2 de marzo de 2021, de conformidad con el artículo 5, apartado 1, de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00E94983" w14:textId="24DBB4E7" w:rsidR="007D5658" w:rsidRPr="00EF633E" w:rsidRDefault="007D5658" w:rsidP="007D5658">
            <w:pPr>
              <w:jc w:val="both"/>
              <w:rPr>
                <w:rFonts w:ascii="Arial" w:hAnsi="Arial" w:cs="Arial"/>
              </w:rPr>
            </w:pPr>
          </w:p>
        </w:tc>
      </w:tr>
      <w:tr w:rsidR="0079460A" w:rsidRPr="00EF633E" w14:paraId="3FE9D49A" w14:textId="77777777" w:rsidTr="00EB6A7E">
        <w:trPr>
          <w:gridAfter w:val="1"/>
          <w:wAfter w:w="7" w:type="dxa"/>
        </w:trPr>
        <w:tc>
          <w:tcPr>
            <w:tcW w:w="279" w:type="dxa"/>
          </w:tcPr>
          <w:p w14:paraId="459265C2" w14:textId="459B68C2" w:rsidR="00047B0F" w:rsidRPr="00EF633E" w:rsidRDefault="00047B0F" w:rsidP="00047B0F">
            <w:pPr>
              <w:jc w:val="both"/>
            </w:pPr>
          </w:p>
        </w:tc>
        <w:tc>
          <w:tcPr>
            <w:tcW w:w="9267" w:type="dxa"/>
            <w:gridSpan w:val="2"/>
          </w:tcPr>
          <w:p w14:paraId="1C569048" w14:textId="4C963F22" w:rsidR="00047B0F" w:rsidRPr="00EF633E" w:rsidRDefault="00E82C35" w:rsidP="00047B0F">
            <w:pPr>
              <w:jc w:val="both"/>
            </w:pPr>
            <w:r w:rsidRPr="00EF633E">
              <w:rPr>
                <w:rFonts w:ascii="Arial" w:hAnsi="Arial"/>
              </w:rPr>
              <w:t>Visto el Dictamen del Comité Permanente de Electricidad, emitido el 24 de marzo de 2022, de conformidad con el artículo 22, párrafo quinto, de la Ley, de 10 de marzo de 1925, de distribución de electricidad, modificada por la Ley de 8 de mayo de 2014;</w:t>
            </w:r>
          </w:p>
        </w:tc>
      </w:tr>
      <w:tr w:rsidR="0079460A" w:rsidRPr="00EF633E" w14:paraId="05A3F2A0" w14:textId="77777777" w:rsidTr="00EB6A7E">
        <w:trPr>
          <w:gridAfter w:val="1"/>
          <w:wAfter w:w="7" w:type="dxa"/>
        </w:trPr>
        <w:tc>
          <w:tcPr>
            <w:tcW w:w="279" w:type="dxa"/>
          </w:tcPr>
          <w:p w14:paraId="088DE580" w14:textId="4A862DD9" w:rsidR="00047B0F" w:rsidRPr="00EF633E" w:rsidRDefault="00047B0F" w:rsidP="00047B0F"/>
        </w:tc>
        <w:tc>
          <w:tcPr>
            <w:tcW w:w="9267" w:type="dxa"/>
            <w:gridSpan w:val="2"/>
          </w:tcPr>
          <w:p w14:paraId="46AA12E7" w14:textId="77777777" w:rsidR="00047B0F" w:rsidRPr="00EF633E" w:rsidRDefault="00047B0F" w:rsidP="00047B0F"/>
        </w:tc>
      </w:tr>
      <w:tr w:rsidR="0079460A" w:rsidRPr="00EF633E" w14:paraId="3D487CBF" w14:textId="77777777" w:rsidTr="00EB6A7E">
        <w:trPr>
          <w:gridAfter w:val="1"/>
          <w:wAfter w:w="7" w:type="dxa"/>
        </w:trPr>
        <w:tc>
          <w:tcPr>
            <w:tcW w:w="279" w:type="dxa"/>
          </w:tcPr>
          <w:p w14:paraId="25F7FD0B" w14:textId="760EB5A9" w:rsidR="00C66AB4" w:rsidRPr="00EF633E" w:rsidRDefault="00C66AB4" w:rsidP="00047B0F">
            <w:pPr>
              <w:jc w:val="both"/>
            </w:pPr>
          </w:p>
        </w:tc>
        <w:tc>
          <w:tcPr>
            <w:tcW w:w="9267" w:type="dxa"/>
            <w:gridSpan w:val="2"/>
          </w:tcPr>
          <w:p w14:paraId="184CF3C3" w14:textId="0EDC208F" w:rsidR="00BB6DE6" w:rsidRPr="00EF633E" w:rsidRDefault="00BB6DE6" w:rsidP="00BB6DE6">
            <w:pPr>
              <w:jc w:val="both"/>
              <w:rPr>
                <w:rStyle w:val="Emphaseple1"/>
                <w:rFonts w:ascii="Arial" w:hAnsi="Arial" w:cs="Arial"/>
                <w:i w:val="0"/>
                <w:color w:val="auto"/>
              </w:rPr>
            </w:pPr>
            <w:r w:rsidRPr="00EF633E">
              <w:rPr>
                <w:rStyle w:val="Emphaseple1"/>
                <w:rFonts w:ascii="Arial" w:hAnsi="Arial"/>
                <w:i w:val="0"/>
                <w:color w:val="auto"/>
              </w:rPr>
              <w:t>Visto el Dictamen 71.421/3 del Consejo de Estado, emitido el 25 de mayo de 2022, de conformidad con el artículo 84, apartado 1, párrafo primero, punto 2, de las Leyes sobre el Consejo de Estado, consolidadas el 12 de enero de 1973;</w:t>
            </w:r>
          </w:p>
          <w:p w14:paraId="35B35ECC" w14:textId="12A6A124" w:rsidR="00047B0F" w:rsidRPr="00EF633E" w:rsidRDefault="00047B0F" w:rsidP="00047B0F">
            <w:pPr>
              <w:jc w:val="both"/>
            </w:pPr>
          </w:p>
        </w:tc>
      </w:tr>
      <w:tr w:rsidR="0079460A" w:rsidRPr="00EF633E" w14:paraId="7F76CC5D" w14:textId="77777777" w:rsidTr="00EB6A7E">
        <w:trPr>
          <w:gridAfter w:val="1"/>
          <w:wAfter w:w="7" w:type="dxa"/>
        </w:trPr>
        <w:tc>
          <w:tcPr>
            <w:tcW w:w="279" w:type="dxa"/>
          </w:tcPr>
          <w:p w14:paraId="69756BD7" w14:textId="40817D92" w:rsidR="00047B0F" w:rsidRPr="00EF633E" w:rsidRDefault="00047B0F" w:rsidP="00047B0F">
            <w:pPr>
              <w:jc w:val="both"/>
            </w:pPr>
          </w:p>
        </w:tc>
        <w:tc>
          <w:tcPr>
            <w:tcW w:w="9267" w:type="dxa"/>
            <w:gridSpan w:val="2"/>
          </w:tcPr>
          <w:p w14:paraId="58B6FF8E" w14:textId="42BB1917" w:rsidR="00047B0F" w:rsidRPr="00EF633E" w:rsidRDefault="00BB6DE6" w:rsidP="00047B0F">
            <w:pPr>
              <w:jc w:val="both"/>
            </w:pPr>
            <w:r w:rsidRPr="00EF633E">
              <w:rPr>
                <w:rFonts w:ascii="Arial" w:hAnsi="Arial"/>
              </w:rPr>
              <w:t>A propuesta del Ministro de Trabajo y de la Ministra de Energía,</w:t>
            </w:r>
          </w:p>
        </w:tc>
      </w:tr>
      <w:tr w:rsidR="0079460A" w:rsidRPr="00EF633E" w14:paraId="71626A7C" w14:textId="77777777" w:rsidTr="00EB6A7E">
        <w:trPr>
          <w:gridAfter w:val="1"/>
          <w:wAfter w:w="7" w:type="dxa"/>
        </w:trPr>
        <w:tc>
          <w:tcPr>
            <w:tcW w:w="279" w:type="dxa"/>
          </w:tcPr>
          <w:p w14:paraId="7C646F38" w14:textId="5D5DC5C7" w:rsidR="00BB6DE6" w:rsidRPr="00EF633E" w:rsidRDefault="00BB6DE6" w:rsidP="00047B0F">
            <w:pPr>
              <w:jc w:val="both"/>
            </w:pPr>
          </w:p>
        </w:tc>
        <w:tc>
          <w:tcPr>
            <w:tcW w:w="9267" w:type="dxa"/>
            <w:gridSpan w:val="2"/>
          </w:tcPr>
          <w:p w14:paraId="74FD1284" w14:textId="78874B9A" w:rsidR="0068248D" w:rsidRPr="00EF633E" w:rsidRDefault="0068248D" w:rsidP="00047B0F">
            <w:pPr>
              <w:jc w:val="both"/>
              <w:rPr>
                <w:rFonts w:ascii="Arial" w:hAnsi="Arial" w:cs="Arial"/>
              </w:rPr>
            </w:pPr>
          </w:p>
          <w:p w14:paraId="41946D15" w14:textId="77777777" w:rsidR="00BB6DE6" w:rsidRPr="00EF633E" w:rsidRDefault="00BB6DE6" w:rsidP="00BB6DE6">
            <w:pPr>
              <w:jc w:val="both"/>
              <w:rPr>
                <w:rFonts w:ascii="Arial" w:hAnsi="Arial" w:cs="Arial"/>
              </w:rPr>
            </w:pPr>
            <w:r w:rsidRPr="00EF633E">
              <w:rPr>
                <w:rFonts w:ascii="Arial" w:hAnsi="Arial"/>
              </w:rPr>
              <w:t>HEMOS DECRETADO Y POR LA PRESENTE DECRETAMOS:</w:t>
            </w:r>
          </w:p>
          <w:p w14:paraId="2A28917E" w14:textId="77777777" w:rsidR="00037346" w:rsidRPr="00EF633E" w:rsidRDefault="00037346" w:rsidP="00047B0F">
            <w:pPr>
              <w:jc w:val="both"/>
            </w:pPr>
          </w:p>
        </w:tc>
      </w:tr>
      <w:tr w:rsidR="0079460A" w:rsidRPr="00EF633E" w14:paraId="2A89BFDA" w14:textId="77777777" w:rsidTr="00EB6A7E">
        <w:trPr>
          <w:gridAfter w:val="1"/>
          <w:wAfter w:w="7" w:type="dxa"/>
        </w:trPr>
        <w:tc>
          <w:tcPr>
            <w:tcW w:w="279" w:type="dxa"/>
          </w:tcPr>
          <w:p w14:paraId="2E0B01A6" w14:textId="77777777" w:rsidR="00BB6DE6" w:rsidRPr="00EF633E" w:rsidRDefault="00BB6DE6" w:rsidP="00BB6DE6">
            <w:pPr>
              <w:jc w:val="both"/>
              <w:rPr>
                <w:rFonts w:ascii="Arial" w:hAnsi="Arial" w:cs="Arial"/>
                <w:bCs/>
              </w:rPr>
            </w:pPr>
          </w:p>
          <w:p w14:paraId="41C7C6BB" w14:textId="77777777" w:rsidR="00BB6DE6" w:rsidRPr="00EF633E" w:rsidRDefault="00BB6DE6" w:rsidP="00BB6DE6">
            <w:pPr>
              <w:jc w:val="both"/>
              <w:rPr>
                <w:rFonts w:ascii="Arial" w:hAnsi="Arial" w:cs="Arial"/>
              </w:rPr>
            </w:pPr>
          </w:p>
          <w:p w14:paraId="28941C63" w14:textId="2D5C16C5" w:rsidR="00BB6DE6" w:rsidRPr="00EF633E" w:rsidRDefault="00BB6DE6" w:rsidP="00BB6DE6">
            <w:pPr>
              <w:jc w:val="both"/>
              <w:rPr>
                <w:rFonts w:ascii="Arial" w:hAnsi="Arial" w:cs="Arial"/>
              </w:rPr>
            </w:pPr>
          </w:p>
          <w:p w14:paraId="5511D5CF" w14:textId="77777777" w:rsidR="00BB6DE6" w:rsidRPr="00EF633E" w:rsidRDefault="00BB6DE6" w:rsidP="00BB6DE6">
            <w:pPr>
              <w:jc w:val="both"/>
              <w:rPr>
                <w:rFonts w:ascii="Arial" w:hAnsi="Arial" w:cs="Arial"/>
              </w:rPr>
            </w:pPr>
          </w:p>
          <w:p w14:paraId="0A1E90CB" w14:textId="4776ACD5" w:rsidR="00240FFF" w:rsidRPr="00EF633E" w:rsidRDefault="00240FFF" w:rsidP="00EB6A7E">
            <w:pPr>
              <w:jc w:val="both"/>
              <w:rPr>
                <w:rFonts w:ascii="Arial" w:hAnsi="Arial" w:cs="Arial"/>
              </w:rPr>
            </w:pPr>
          </w:p>
        </w:tc>
        <w:tc>
          <w:tcPr>
            <w:tcW w:w="9267" w:type="dxa"/>
            <w:gridSpan w:val="2"/>
          </w:tcPr>
          <w:p w14:paraId="07073119" w14:textId="77777777" w:rsidR="00BB6DE6" w:rsidRPr="00EF633E" w:rsidRDefault="00BB6DE6" w:rsidP="00BB6DE6">
            <w:pPr>
              <w:jc w:val="both"/>
              <w:rPr>
                <w:rFonts w:ascii="Arial" w:hAnsi="Arial" w:cs="Arial"/>
              </w:rPr>
            </w:pPr>
            <w:r w:rsidRPr="00EF633E">
              <w:rPr>
                <w:rFonts w:ascii="Arial" w:hAnsi="Arial"/>
                <w:b/>
              </w:rPr>
              <w:t>Artículo 2.</w:t>
            </w:r>
            <w:r w:rsidRPr="00EF633E">
              <w:rPr>
                <w:rFonts w:ascii="Arial" w:hAnsi="Arial"/>
              </w:rPr>
              <w:t xml:space="preserve"> Se introducen las siguientes modificaciones en el anexo 1 del mismo Decreto:</w:t>
            </w:r>
          </w:p>
          <w:p w14:paraId="39F34BEC" w14:textId="77777777" w:rsidR="00BB6DE6" w:rsidRPr="00EF633E" w:rsidRDefault="00BB6DE6" w:rsidP="00BB6DE6">
            <w:pPr>
              <w:jc w:val="both"/>
              <w:rPr>
                <w:rFonts w:ascii="Arial" w:hAnsi="Arial" w:cs="Arial"/>
              </w:rPr>
            </w:pPr>
          </w:p>
          <w:p w14:paraId="45B46D48" w14:textId="77777777" w:rsidR="00BB6DE6" w:rsidRPr="00EF633E" w:rsidRDefault="00BB6DE6" w:rsidP="00BB6DE6">
            <w:pPr>
              <w:jc w:val="both"/>
              <w:rPr>
                <w:rFonts w:ascii="Arial" w:hAnsi="Arial" w:cs="Arial"/>
              </w:rPr>
            </w:pPr>
            <w:r w:rsidRPr="00EF633E">
              <w:rPr>
                <w:rFonts w:ascii="Arial" w:hAnsi="Arial"/>
              </w:rPr>
              <w:t>1. En el Libro 1, parte 2, capítulo 2.6., sección 2.6.1., se introduce la siguiente definición entre las definiciones de «circuito elemental» y «circuito»:</w:t>
            </w:r>
          </w:p>
          <w:p w14:paraId="35D1471D" w14:textId="77777777" w:rsidR="00BB6DE6" w:rsidRPr="00EF633E" w:rsidRDefault="00BB6DE6" w:rsidP="00BB6DE6">
            <w:pPr>
              <w:jc w:val="both"/>
              <w:rPr>
                <w:rFonts w:ascii="Arial" w:hAnsi="Arial" w:cs="Arial"/>
              </w:rPr>
            </w:pPr>
          </w:p>
          <w:p w14:paraId="38A1E2DA" w14:textId="77777777" w:rsidR="00BB6DE6" w:rsidRPr="00EF633E" w:rsidRDefault="00BB6DE6" w:rsidP="00BB6DE6">
            <w:pPr>
              <w:jc w:val="both"/>
              <w:rPr>
                <w:rFonts w:ascii="Arial" w:hAnsi="Arial" w:cs="Arial"/>
              </w:rPr>
            </w:pPr>
            <w:r w:rsidRPr="00EF633E">
              <w:rPr>
                <w:rFonts w:ascii="Arial" w:hAnsi="Arial"/>
                <w:b/>
                <w:color w:val="000000" w:themeColor="text1"/>
              </w:rPr>
              <w:t xml:space="preserve">«Circuito exclusivamente dedicado (también denominado en este Libro “circuito dedicado”»): </w:t>
            </w:r>
            <w:r w:rsidRPr="00EF633E">
              <w:rPr>
                <w:rFonts w:ascii="Arial" w:hAnsi="Arial"/>
              </w:rPr>
              <w:t>circuito elemental (circuito principal o circuito terminal) destinado al suministro exclusivo de uno o varios aparatos destinados a un fin específico.».</w:t>
            </w:r>
          </w:p>
          <w:p w14:paraId="5255EFF4" w14:textId="77777777" w:rsidR="00BB6DE6" w:rsidRPr="00EF633E" w:rsidRDefault="00BB6DE6" w:rsidP="00BB6DE6">
            <w:pPr>
              <w:jc w:val="both"/>
              <w:rPr>
                <w:rFonts w:ascii="Arial" w:hAnsi="Arial" w:cs="Arial"/>
              </w:rPr>
            </w:pPr>
          </w:p>
          <w:p w14:paraId="45E346B2" w14:textId="77777777" w:rsidR="00BB6DE6" w:rsidRPr="00EF633E" w:rsidRDefault="00BB6DE6" w:rsidP="00BB6DE6">
            <w:pPr>
              <w:jc w:val="both"/>
              <w:rPr>
                <w:rFonts w:ascii="Arial" w:hAnsi="Arial" w:cs="Arial"/>
                <w:lang w:val="fr-FR"/>
              </w:rPr>
            </w:pPr>
            <w:r w:rsidRPr="00EF633E">
              <w:rPr>
                <w:rFonts w:ascii="Arial" w:hAnsi="Arial"/>
                <w:lang w:val="fr-FR"/>
              </w:rPr>
              <w:t>2. En el texto francés del Libro 1, las palabras «dispositif(s) à courant différentiel résiduel», «dispositif(s) à courant différentiel-résiduel», «dispositif(s) de protection à courant différentiel», «dispositif(s) de protection à courant différentiel résiduel» y «dispositif différentiel» se sustituyen en cada ocasión por las palabras «dispositif(s) de protection à courant différentiel-résiduel».</w:t>
            </w:r>
          </w:p>
          <w:p w14:paraId="3B1BF973" w14:textId="77777777" w:rsidR="00BB6DE6" w:rsidRPr="00EF633E" w:rsidRDefault="00BB6DE6" w:rsidP="00BB6DE6">
            <w:pPr>
              <w:jc w:val="both"/>
              <w:rPr>
                <w:rFonts w:ascii="Arial" w:hAnsi="Arial" w:cs="Arial"/>
                <w:lang w:val="fr-FR"/>
              </w:rPr>
            </w:pPr>
          </w:p>
          <w:p w14:paraId="3B3D8200" w14:textId="77777777" w:rsidR="00BB6DE6" w:rsidRPr="00EF633E" w:rsidRDefault="00BB6DE6" w:rsidP="00BB6DE6">
            <w:pPr>
              <w:jc w:val="both"/>
              <w:rPr>
                <w:rFonts w:ascii="Arial" w:hAnsi="Arial" w:cs="Arial"/>
              </w:rPr>
            </w:pPr>
            <w:r w:rsidRPr="00EF633E">
              <w:rPr>
                <w:rFonts w:ascii="Arial" w:hAnsi="Arial"/>
              </w:rPr>
              <w:t>3. En el texto neerlandés del Libro 1, las palabras «differentieelstroominrichting(en)» se sustituyen en cada ocasión por las palabras «differentieelstroombeschermingsinrichting(en)».</w:t>
            </w:r>
          </w:p>
          <w:p w14:paraId="41B10FF1" w14:textId="77777777" w:rsidR="00BB6DE6" w:rsidRPr="00EF633E" w:rsidRDefault="00BB6DE6" w:rsidP="00BB6DE6">
            <w:pPr>
              <w:jc w:val="both"/>
              <w:rPr>
                <w:rFonts w:ascii="Arial" w:hAnsi="Arial" w:cs="Arial"/>
              </w:rPr>
            </w:pPr>
          </w:p>
          <w:p w14:paraId="7AAB1598" w14:textId="77777777" w:rsidR="00240FFF" w:rsidRPr="00EF633E" w:rsidRDefault="00BB6DE6" w:rsidP="00BB6DE6">
            <w:pPr>
              <w:jc w:val="both"/>
              <w:rPr>
                <w:rFonts w:ascii="Arial" w:hAnsi="Arial" w:cs="Arial"/>
              </w:rPr>
            </w:pPr>
            <w:r w:rsidRPr="00EF633E">
              <w:rPr>
                <w:rFonts w:ascii="Arial" w:hAnsi="Arial"/>
              </w:rPr>
              <w:t>4. En el texto francés del Libro 1, parte 5, capítulo 5.2., sección 5.2.1., subsección 5.2.1.2., párrafo séptimo, las palabras «circuit(s) exclusivement dédié(s)» se sustituyen en cada ocasión por las palabras «circuit(s) dédié(s)».</w:t>
            </w:r>
          </w:p>
          <w:p w14:paraId="4E430787" w14:textId="77777777" w:rsidR="00BB6DE6" w:rsidRPr="00EF633E" w:rsidRDefault="00BB6DE6" w:rsidP="00BB6DE6">
            <w:pPr>
              <w:jc w:val="both"/>
              <w:rPr>
                <w:rFonts w:ascii="Arial" w:hAnsi="Arial" w:cs="Arial"/>
              </w:rPr>
            </w:pPr>
          </w:p>
          <w:p w14:paraId="7C84989C" w14:textId="77777777" w:rsidR="00BB6DE6" w:rsidRPr="00EF633E" w:rsidRDefault="00BB6DE6" w:rsidP="00BB6DE6">
            <w:pPr>
              <w:jc w:val="both"/>
              <w:rPr>
                <w:rFonts w:ascii="Arial" w:hAnsi="Arial" w:cs="Arial"/>
              </w:rPr>
            </w:pPr>
            <w:r w:rsidRPr="00EF633E">
              <w:rPr>
                <w:rFonts w:ascii="Arial" w:hAnsi="Arial"/>
              </w:rPr>
              <w:t>5. En el texto francés del Libro 1, parte 5, capítulo 5.2., sección 5.2.9., subsección 5.2.9.13., puntos b.11 y c.11, las palabras «circuit exclusivement dédié» se sustituyen por las palabras «circuit dédié».</w:t>
            </w:r>
          </w:p>
          <w:p w14:paraId="05DF9F52" w14:textId="77777777" w:rsidR="00BB6DE6" w:rsidRPr="00EF633E" w:rsidRDefault="00BB6DE6" w:rsidP="00BB6DE6">
            <w:pPr>
              <w:jc w:val="both"/>
              <w:rPr>
                <w:rFonts w:ascii="Arial" w:hAnsi="Arial" w:cs="Arial"/>
              </w:rPr>
            </w:pPr>
          </w:p>
          <w:p w14:paraId="6EEFCFFF" w14:textId="77777777" w:rsidR="00BB6DE6" w:rsidRPr="00EF633E" w:rsidRDefault="00BB6DE6" w:rsidP="00BB6DE6">
            <w:pPr>
              <w:jc w:val="both"/>
              <w:rPr>
                <w:rFonts w:ascii="Arial" w:hAnsi="Arial" w:cs="Arial"/>
              </w:rPr>
            </w:pPr>
            <w:r w:rsidRPr="00EF633E">
              <w:rPr>
                <w:rFonts w:ascii="Arial" w:hAnsi="Arial"/>
              </w:rPr>
              <w:t>6. En el texto neerlandés del Libro 1, parte 5, capítulo 5.2., sección 5.2.1., subsección 5.2.1.2., párrafo séptimo, las palabras «exclusief toegekende stroombaan (stroombanen)» se sustituyen por las palabras «toegekende stroombaan (stroombanen)».</w:t>
            </w:r>
          </w:p>
          <w:p w14:paraId="010B6738" w14:textId="77777777" w:rsidR="00BB6DE6" w:rsidRPr="00EF633E" w:rsidRDefault="00BB6DE6" w:rsidP="00BB6DE6">
            <w:pPr>
              <w:jc w:val="both"/>
              <w:rPr>
                <w:rFonts w:ascii="Arial" w:hAnsi="Arial" w:cs="Arial"/>
              </w:rPr>
            </w:pPr>
          </w:p>
          <w:p w14:paraId="2D83934E" w14:textId="77777777" w:rsidR="00BB6DE6" w:rsidRPr="00EF633E" w:rsidRDefault="00BB6DE6" w:rsidP="00BB6DE6">
            <w:pPr>
              <w:jc w:val="both"/>
              <w:rPr>
                <w:rFonts w:ascii="Arial" w:hAnsi="Arial" w:cs="Arial"/>
              </w:rPr>
            </w:pPr>
            <w:r w:rsidRPr="00EF633E">
              <w:rPr>
                <w:rFonts w:ascii="Arial" w:hAnsi="Arial"/>
              </w:rPr>
              <w:t>7. En el texto neerlandés del Libro 1, parte 5, capítulo 5.2., sección 5.2.9., subsección 5.2.9.13., puntos b.11 y c.11, las palabras «gescheiden stroombaan» se sustituyen por las palabras «toegekende stroombaan».</w:t>
            </w:r>
          </w:p>
          <w:p w14:paraId="2BB6E783" w14:textId="77777777" w:rsidR="00BB6DE6" w:rsidRPr="00EF633E" w:rsidRDefault="00BB6DE6" w:rsidP="00BB6DE6">
            <w:pPr>
              <w:jc w:val="both"/>
              <w:rPr>
                <w:rFonts w:ascii="Arial" w:hAnsi="Arial" w:cs="Arial"/>
              </w:rPr>
            </w:pPr>
          </w:p>
          <w:p w14:paraId="22DC5935" w14:textId="77777777" w:rsidR="00BB6DE6" w:rsidRPr="00EF633E" w:rsidRDefault="00BB6DE6" w:rsidP="00BB6DE6">
            <w:pPr>
              <w:jc w:val="both"/>
              <w:rPr>
                <w:rFonts w:ascii="Arial" w:hAnsi="Arial" w:cs="Arial"/>
              </w:rPr>
            </w:pPr>
            <w:r w:rsidRPr="00EF633E">
              <w:rPr>
                <w:rFonts w:ascii="Arial" w:hAnsi="Arial"/>
              </w:rPr>
              <w:t>8. En el texto neerlandés del Libro 1, parte 5, capítulo 5.5., sección 5.5.7., la subsección 5.5.7.2., párrafos quinto y sexto, las palabras «afzonderlijke stroombaan (stroombanen)» se sustituyen por las palabras «toegekende stroombaan (stroombanen)».</w:t>
            </w:r>
          </w:p>
          <w:p w14:paraId="7A570275" w14:textId="77777777" w:rsidR="00BB6DE6" w:rsidRPr="00EF633E" w:rsidRDefault="00BB6DE6" w:rsidP="00BB6DE6">
            <w:pPr>
              <w:jc w:val="both"/>
              <w:rPr>
                <w:rFonts w:ascii="Arial" w:hAnsi="Arial" w:cs="Arial"/>
              </w:rPr>
            </w:pPr>
          </w:p>
          <w:p w14:paraId="6A2BB9F4" w14:textId="77062D89" w:rsidR="00BB6DE6" w:rsidRPr="00EF633E" w:rsidRDefault="00BB6DE6" w:rsidP="00BB6DE6">
            <w:pPr>
              <w:jc w:val="both"/>
              <w:rPr>
                <w:rFonts w:ascii="Arial" w:hAnsi="Arial" w:cs="Arial"/>
              </w:rPr>
            </w:pPr>
            <w:r w:rsidRPr="00EF633E">
              <w:rPr>
                <w:rFonts w:ascii="Arial" w:hAnsi="Arial"/>
              </w:rPr>
              <w:t xml:space="preserve">9. En el texto neerlandés Libro 1, parte 5, capítulo 5.6., sección </w:t>
            </w:r>
            <w:proofErr w:type="gramStart"/>
            <w:r w:rsidRPr="00EF633E">
              <w:rPr>
                <w:rFonts w:ascii="Arial" w:hAnsi="Arial"/>
              </w:rPr>
              <w:t>5.6.2.,subsección</w:t>
            </w:r>
            <w:proofErr w:type="gramEnd"/>
            <w:r w:rsidRPr="00EF633E">
              <w:rPr>
                <w:rFonts w:ascii="Arial" w:hAnsi="Arial"/>
              </w:rPr>
              <w:t xml:space="preserve"> 5.6.2.1., párrafos tercero y cuarto, las palabras «afzonderlijke stroombaan (stroombanen)» se sustituyen por las palabras «afzonderlijke stroombaan (stroombanen)».</w:t>
            </w:r>
          </w:p>
        </w:tc>
      </w:tr>
      <w:tr w:rsidR="0079460A" w:rsidRPr="00EF633E" w14:paraId="6433AE65" w14:textId="77777777" w:rsidTr="00EB6A7E">
        <w:trPr>
          <w:gridAfter w:val="1"/>
          <w:wAfter w:w="7" w:type="dxa"/>
        </w:trPr>
        <w:tc>
          <w:tcPr>
            <w:tcW w:w="279" w:type="dxa"/>
          </w:tcPr>
          <w:p w14:paraId="6E051D29" w14:textId="7A9E3070" w:rsidR="0068248D" w:rsidRPr="00EF633E" w:rsidRDefault="0068248D" w:rsidP="00E3501E">
            <w:pPr>
              <w:jc w:val="both"/>
              <w:rPr>
                <w:rFonts w:ascii="Arial" w:hAnsi="Arial" w:cs="Arial"/>
                <w:b/>
              </w:rPr>
            </w:pPr>
          </w:p>
          <w:p w14:paraId="24A873D7" w14:textId="47EF5DA5" w:rsidR="00A56B0F" w:rsidRPr="00EF633E" w:rsidRDefault="00A56B0F" w:rsidP="00EB6A7E">
            <w:pPr>
              <w:jc w:val="both"/>
            </w:pPr>
          </w:p>
        </w:tc>
        <w:tc>
          <w:tcPr>
            <w:tcW w:w="9267" w:type="dxa"/>
            <w:gridSpan w:val="2"/>
          </w:tcPr>
          <w:p w14:paraId="3B8E48C3" w14:textId="5860A565" w:rsidR="0068248D" w:rsidRPr="00EF633E" w:rsidRDefault="0068248D" w:rsidP="00E3501E">
            <w:pPr>
              <w:jc w:val="both"/>
              <w:rPr>
                <w:rFonts w:ascii="Arial" w:hAnsi="Arial" w:cs="Arial"/>
                <w:b/>
                <w:bCs/>
              </w:rPr>
            </w:pPr>
          </w:p>
          <w:p w14:paraId="44E866E5" w14:textId="77777777" w:rsidR="00BB6DE6" w:rsidRPr="00EF633E" w:rsidRDefault="00BB6DE6" w:rsidP="00BB6DE6">
            <w:pPr>
              <w:jc w:val="both"/>
              <w:rPr>
                <w:rFonts w:ascii="Arial" w:hAnsi="Arial" w:cs="Arial"/>
              </w:rPr>
            </w:pPr>
            <w:r w:rsidRPr="00EF633E">
              <w:rPr>
                <w:rFonts w:ascii="Arial" w:hAnsi="Arial"/>
                <w:b/>
              </w:rPr>
              <w:t>Artículo 3.</w:t>
            </w:r>
            <w:r w:rsidRPr="00EF633E">
              <w:rPr>
                <w:rFonts w:ascii="Arial" w:hAnsi="Arial"/>
              </w:rPr>
              <w:t xml:space="preserve"> Se introducen las siguientes modificaciones en el anexo 3 del mismo Decreto:</w:t>
            </w:r>
          </w:p>
          <w:p w14:paraId="22C044DF" w14:textId="77777777" w:rsidR="00BB6DE6" w:rsidRPr="00EF633E" w:rsidRDefault="00BB6DE6" w:rsidP="00BB6DE6">
            <w:pPr>
              <w:jc w:val="both"/>
              <w:rPr>
                <w:rFonts w:ascii="Arial" w:hAnsi="Arial" w:cs="Arial"/>
              </w:rPr>
            </w:pPr>
          </w:p>
          <w:p w14:paraId="451EE525" w14:textId="77777777" w:rsidR="00BB6DE6" w:rsidRPr="00EF633E" w:rsidRDefault="00BB6DE6" w:rsidP="00BB6DE6">
            <w:pPr>
              <w:jc w:val="both"/>
              <w:rPr>
                <w:rFonts w:ascii="Arial" w:hAnsi="Arial" w:cs="Arial"/>
              </w:rPr>
            </w:pPr>
            <w:r w:rsidRPr="00EF633E">
              <w:rPr>
                <w:rFonts w:ascii="Arial" w:hAnsi="Arial"/>
              </w:rPr>
              <w:t>1. En el Libro 3, parte 2, capítulo 2.6., sección 2.6.1., subsección 2.6.1.1., se inserta la siguiente definición entre las definiciones de «circuito elemental» y «circuito»:</w:t>
            </w:r>
          </w:p>
          <w:p w14:paraId="4D4996E1" w14:textId="77777777" w:rsidR="00BB6DE6" w:rsidRPr="00EF633E" w:rsidRDefault="00BB6DE6" w:rsidP="00BB6DE6">
            <w:pPr>
              <w:jc w:val="both"/>
              <w:rPr>
                <w:rFonts w:ascii="Arial" w:hAnsi="Arial" w:cs="Arial"/>
              </w:rPr>
            </w:pPr>
          </w:p>
          <w:p w14:paraId="1B2E18CC" w14:textId="77777777" w:rsidR="00BB6DE6" w:rsidRPr="00EF633E" w:rsidRDefault="00BB6DE6" w:rsidP="00BB6DE6">
            <w:pPr>
              <w:jc w:val="both"/>
              <w:rPr>
                <w:rFonts w:ascii="Arial" w:hAnsi="Arial" w:cs="Arial"/>
              </w:rPr>
            </w:pPr>
            <w:r w:rsidRPr="00EF633E">
              <w:rPr>
                <w:rFonts w:ascii="Arial" w:hAnsi="Arial"/>
              </w:rPr>
              <w:t>«</w:t>
            </w:r>
            <w:r w:rsidRPr="00EF633E">
              <w:rPr>
                <w:rFonts w:ascii="Arial" w:hAnsi="Arial"/>
                <w:b/>
                <w:color w:val="000000" w:themeColor="text1"/>
              </w:rPr>
              <w:t>Circuito exclusivamente dedicado (también denominado en este Libro “circuito dedicado”»):</w:t>
            </w:r>
            <w:r w:rsidRPr="00EF633E">
              <w:rPr>
                <w:rFonts w:ascii="Arial" w:hAnsi="Arial"/>
              </w:rPr>
              <w:t xml:space="preserve"> circuito elemental (circuito principal o circuito terminal) destinado al suministro exclusivo de uno o varios aparatos destinados a un fin específico.».</w:t>
            </w:r>
          </w:p>
          <w:p w14:paraId="2DBFECA1" w14:textId="77777777" w:rsidR="00BB6DE6" w:rsidRPr="00EF633E" w:rsidRDefault="00BB6DE6" w:rsidP="00BB6DE6">
            <w:pPr>
              <w:jc w:val="both"/>
              <w:rPr>
                <w:rFonts w:ascii="Arial" w:hAnsi="Arial" w:cs="Arial"/>
              </w:rPr>
            </w:pPr>
          </w:p>
          <w:p w14:paraId="36E5B26F" w14:textId="77777777" w:rsidR="00BB6DE6" w:rsidRPr="00EF633E" w:rsidRDefault="00BB6DE6" w:rsidP="00BB6DE6">
            <w:pPr>
              <w:jc w:val="both"/>
              <w:rPr>
                <w:rFonts w:ascii="Arial" w:hAnsi="Arial" w:cs="Arial"/>
                <w:lang w:val="fr-FR"/>
              </w:rPr>
            </w:pPr>
            <w:r w:rsidRPr="00EF633E">
              <w:rPr>
                <w:rFonts w:ascii="Arial" w:hAnsi="Arial"/>
                <w:lang w:val="fr-FR"/>
              </w:rPr>
              <w:t xml:space="preserve">2. En el texto francés del Libro 3, las palabras «dispositif(s) à courant différentiel résiduel», «dispositif(s) à courant différentiel-résiduel», «dispositif(s) de protection à courant différentiel», «dispositif(s) de protection à courant différentiel résiduel» y «dispositif </w:t>
            </w:r>
            <w:r w:rsidRPr="00EF633E">
              <w:rPr>
                <w:rFonts w:ascii="Arial" w:hAnsi="Arial"/>
                <w:lang w:val="fr-FR"/>
              </w:rPr>
              <w:lastRenderedPageBreak/>
              <w:t>différentiel» se sustituyen en cada ocasión por las palabras «dispositif(s) de protection à courant différentiel-résiduel».</w:t>
            </w:r>
          </w:p>
          <w:p w14:paraId="24FB0CEA" w14:textId="77777777" w:rsidR="00BB6DE6" w:rsidRPr="00EF633E" w:rsidRDefault="00BB6DE6" w:rsidP="00BB6DE6">
            <w:pPr>
              <w:jc w:val="both"/>
              <w:rPr>
                <w:rFonts w:ascii="Arial" w:hAnsi="Arial" w:cs="Arial"/>
                <w:lang w:val="fr-FR"/>
              </w:rPr>
            </w:pPr>
          </w:p>
          <w:p w14:paraId="4E2B3683" w14:textId="6A79C071" w:rsidR="00BB6DE6" w:rsidRPr="00EF633E" w:rsidRDefault="00BB6DE6" w:rsidP="00BB6DE6">
            <w:pPr>
              <w:jc w:val="both"/>
              <w:rPr>
                <w:rFonts w:ascii="Arial" w:hAnsi="Arial" w:cs="Arial"/>
              </w:rPr>
            </w:pPr>
            <w:r w:rsidRPr="00EF633E">
              <w:rPr>
                <w:rFonts w:ascii="Arial" w:hAnsi="Arial"/>
              </w:rPr>
              <w:t>3. En el texto neerlandés del Libro 3, las palabras «differentieelstroominrichting(en)» y «diferieelinrichting» se sustituyen en cada ocasión por las palabras «differentieelstroombeschermingsinrichting(en)».</w:t>
            </w:r>
          </w:p>
          <w:p w14:paraId="5A0E3616" w14:textId="77777777" w:rsidR="00BB6DE6" w:rsidRPr="00EF633E" w:rsidRDefault="00BB6DE6" w:rsidP="00BB6DE6">
            <w:pPr>
              <w:jc w:val="both"/>
              <w:rPr>
                <w:rFonts w:ascii="Arial" w:hAnsi="Arial" w:cs="Arial"/>
              </w:rPr>
            </w:pPr>
            <w:r w:rsidRPr="00EF633E">
              <w:rPr>
                <w:rFonts w:ascii="Arial" w:hAnsi="Arial"/>
              </w:rPr>
              <w:t>4. En el texto neerlandés del Libro 3, parte 5, capítulo 5.6., sección 5.6.7., la subsección 5.6.7.2., párrafos quinto y sexto, las palabras «afzonderlijke stroombaan (stroombanen)» se sustituyen por las palabras «toegekende stroombaan (stroombanen)».</w:t>
            </w:r>
          </w:p>
          <w:p w14:paraId="6E3DD9B5" w14:textId="77777777" w:rsidR="00BB6DE6" w:rsidRPr="00EF633E" w:rsidRDefault="00BB6DE6" w:rsidP="00BB6DE6">
            <w:pPr>
              <w:jc w:val="both"/>
              <w:rPr>
                <w:rFonts w:ascii="Arial" w:hAnsi="Arial" w:cs="Arial"/>
              </w:rPr>
            </w:pPr>
          </w:p>
          <w:p w14:paraId="40785A79" w14:textId="55D5EE49" w:rsidR="00D01267" w:rsidRPr="00EF633E" w:rsidRDefault="00BB6DE6" w:rsidP="00BB6DE6">
            <w:pPr>
              <w:jc w:val="both"/>
              <w:rPr>
                <w:rFonts w:ascii="Arial" w:hAnsi="Arial" w:cs="Arial"/>
              </w:rPr>
            </w:pPr>
            <w:r w:rsidRPr="00EF633E">
              <w:rPr>
                <w:rFonts w:ascii="Arial" w:hAnsi="Arial"/>
              </w:rPr>
              <w:t>5. En el texto neerlandés del Libro 3, parte 5, capítulo 5.7., sección 5.7.2., subsección 5.7.2.1., párrafos tercero y cuarto, las palabras «afzonderlijke stroombaan (stroombanen)» se sustituyen por las palabras «toegekende stroombaan (stroombanen)».</w:t>
            </w:r>
          </w:p>
        </w:tc>
      </w:tr>
      <w:tr w:rsidR="0079460A" w:rsidRPr="00EF633E" w14:paraId="77ED93EF" w14:textId="77777777" w:rsidTr="00EB6A7E">
        <w:trPr>
          <w:gridAfter w:val="1"/>
          <w:wAfter w:w="7" w:type="dxa"/>
        </w:trPr>
        <w:tc>
          <w:tcPr>
            <w:tcW w:w="279" w:type="dxa"/>
          </w:tcPr>
          <w:p w14:paraId="10B15663" w14:textId="346F6C7C" w:rsidR="009B74FF" w:rsidRPr="00EF633E" w:rsidRDefault="009B74FF" w:rsidP="00BB6DE6">
            <w:pPr>
              <w:jc w:val="both"/>
            </w:pPr>
          </w:p>
        </w:tc>
        <w:tc>
          <w:tcPr>
            <w:tcW w:w="9267" w:type="dxa"/>
            <w:gridSpan w:val="2"/>
          </w:tcPr>
          <w:p w14:paraId="14BBA6E0" w14:textId="77C1812A" w:rsidR="00BB6DE6" w:rsidRPr="00EF633E" w:rsidRDefault="00BB6DE6" w:rsidP="00BB6DE6">
            <w:pPr>
              <w:jc w:val="both"/>
              <w:rPr>
                <w:rFonts w:ascii="Arial" w:hAnsi="Arial" w:cs="Arial"/>
                <w:color w:val="000000" w:themeColor="text1"/>
              </w:rPr>
            </w:pPr>
            <w:r w:rsidRPr="00EF633E">
              <w:rPr>
                <w:rFonts w:ascii="Arial" w:hAnsi="Arial"/>
                <w:b/>
              </w:rPr>
              <w:t>Artículo 4.</w:t>
            </w:r>
            <w:r w:rsidRPr="00EF633E">
              <w:rPr>
                <w:rFonts w:ascii="Arial" w:hAnsi="Arial"/>
              </w:rPr>
              <w:t xml:space="preserve"> El presente Decreto entrará en vigor el primer día del tercer mes siguiente a su publicación en el Boletín Oficial del Reino de Bélgica.</w:t>
            </w:r>
          </w:p>
          <w:p w14:paraId="3B885339" w14:textId="3C3A1DED" w:rsidR="0068248D" w:rsidRPr="00EF633E" w:rsidRDefault="0068248D" w:rsidP="002530B5">
            <w:pPr>
              <w:jc w:val="both"/>
            </w:pPr>
          </w:p>
        </w:tc>
      </w:tr>
      <w:tr w:rsidR="0079460A" w:rsidRPr="00EF633E" w14:paraId="48A32BDC" w14:textId="77777777" w:rsidTr="00EB6A7E">
        <w:trPr>
          <w:gridAfter w:val="1"/>
          <w:wAfter w:w="7" w:type="dxa"/>
        </w:trPr>
        <w:tc>
          <w:tcPr>
            <w:tcW w:w="279" w:type="dxa"/>
          </w:tcPr>
          <w:p w14:paraId="70513D0B" w14:textId="09DCC399" w:rsidR="002530B5" w:rsidRPr="00EF633E" w:rsidRDefault="002530B5" w:rsidP="002530B5">
            <w:pPr>
              <w:jc w:val="both"/>
              <w:rPr>
                <w:rFonts w:ascii="Arial" w:hAnsi="Arial" w:cs="Arial"/>
                <w:b/>
              </w:rPr>
            </w:pPr>
          </w:p>
        </w:tc>
        <w:tc>
          <w:tcPr>
            <w:tcW w:w="9267" w:type="dxa"/>
            <w:gridSpan w:val="2"/>
          </w:tcPr>
          <w:p w14:paraId="779FCDB2" w14:textId="32EEBE81" w:rsidR="002530B5" w:rsidRPr="00EF633E" w:rsidRDefault="00BB6DE6" w:rsidP="002530B5">
            <w:pPr>
              <w:jc w:val="both"/>
              <w:rPr>
                <w:rFonts w:ascii="Arial" w:hAnsi="Arial" w:cs="Arial"/>
                <w:b/>
              </w:rPr>
            </w:pPr>
            <w:r w:rsidRPr="00EF633E">
              <w:rPr>
                <w:rFonts w:ascii="Arial" w:hAnsi="Arial"/>
                <w:b/>
              </w:rPr>
              <w:t xml:space="preserve">Artículo 5. </w:t>
            </w:r>
            <w:r w:rsidRPr="00EF633E">
              <w:rPr>
                <w:rFonts w:ascii="Arial" w:hAnsi="Arial"/>
              </w:rPr>
              <w:t>El Ministro de Trabajo y la Ministra de Energía serán responsables de la ejecución del presente Decreto, en el ámbito de sus respectivas competencias.</w:t>
            </w:r>
          </w:p>
        </w:tc>
      </w:tr>
      <w:tr w:rsidR="0079460A" w:rsidRPr="00EF633E" w14:paraId="14FC949F" w14:textId="77777777" w:rsidTr="00EB6A7E">
        <w:trPr>
          <w:gridAfter w:val="1"/>
          <w:wAfter w:w="7" w:type="dxa"/>
        </w:trPr>
        <w:tc>
          <w:tcPr>
            <w:tcW w:w="279" w:type="dxa"/>
          </w:tcPr>
          <w:p w14:paraId="221228AA" w14:textId="483307AA" w:rsidR="002530B5" w:rsidRPr="00EF633E" w:rsidRDefault="002530B5" w:rsidP="002530B5">
            <w:pPr>
              <w:jc w:val="both"/>
              <w:rPr>
                <w:rFonts w:ascii="Arial" w:hAnsi="Arial" w:cs="Arial"/>
                <w:b/>
              </w:rPr>
            </w:pPr>
          </w:p>
        </w:tc>
        <w:tc>
          <w:tcPr>
            <w:tcW w:w="9267" w:type="dxa"/>
            <w:gridSpan w:val="2"/>
          </w:tcPr>
          <w:p w14:paraId="25BE6A31" w14:textId="37E4947B" w:rsidR="002530B5" w:rsidRPr="00EF633E" w:rsidRDefault="00BB6DE6" w:rsidP="00BB6DE6">
            <w:pPr>
              <w:rPr>
                <w:rFonts w:ascii="Arial" w:hAnsi="Arial" w:cs="Arial"/>
                <w:b/>
              </w:rPr>
            </w:pPr>
            <w:r w:rsidRPr="00EF633E">
              <w:rPr>
                <w:rFonts w:ascii="Arial" w:hAnsi="Arial"/>
              </w:rPr>
              <w:t>Expedido</w:t>
            </w:r>
          </w:p>
        </w:tc>
      </w:tr>
      <w:tr w:rsidR="0079460A" w:rsidRPr="00EF633E" w14:paraId="163729DC" w14:textId="77777777" w:rsidTr="00EB6A7E">
        <w:trPr>
          <w:gridAfter w:val="1"/>
          <w:wAfter w:w="7" w:type="dxa"/>
        </w:trPr>
        <w:tc>
          <w:tcPr>
            <w:tcW w:w="279" w:type="dxa"/>
          </w:tcPr>
          <w:p w14:paraId="38DE61CB" w14:textId="77777777" w:rsidR="002530B5" w:rsidRPr="00EF633E" w:rsidRDefault="002530B5" w:rsidP="002530B5">
            <w:pPr>
              <w:jc w:val="both"/>
              <w:rPr>
                <w:rFonts w:ascii="Arial" w:hAnsi="Arial" w:cs="Arial"/>
                <w:b/>
                <w:lang w:val="nl-NL"/>
              </w:rPr>
            </w:pPr>
          </w:p>
        </w:tc>
        <w:tc>
          <w:tcPr>
            <w:tcW w:w="9267" w:type="dxa"/>
            <w:gridSpan w:val="2"/>
          </w:tcPr>
          <w:p w14:paraId="465A6DE8" w14:textId="77777777" w:rsidR="002530B5" w:rsidRPr="00EF633E" w:rsidRDefault="002530B5" w:rsidP="002530B5">
            <w:pPr>
              <w:jc w:val="both"/>
              <w:rPr>
                <w:rFonts w:ascii="Arial" w:hAnsi="Arial" w:cs="Arial"/>
                <w:b/>
                <w:lang w:val="nl-BE"/>
              </w:rPr>
            </w:pPr>
          </w:p>
        </w:tc>
      </w:tr>
      <w:tr w:rsidR="0079460A" w:rsidRPr="00EF633E" w14:paraId="031B1352" w14:textId="77777777" w:rsidTr="00EB6A7E">
        <w:trPr>
          <w:gridAfter w:val="1"/>
          <w:wAfter w:w="7" w:type="dxa"/>
        </w:trPr>
        <w:tc>
          <w:tcPr>
            <w:tcW w:w="279" w:type="dxa"/>
          </w:tcPr>
          <w:p w14:paraId="5D4DA8D3" w14:textId="77777777" w:rsidR="002530B5" w:rsidRPr="00EF633E" w:rsidRDefault="002530B5" w:rsidP="002530B5">
            <w:pPr>
              <w:jc w:val="both"/>
              <w:rPr>
                <w:rFonts w:ascii="Arial" w:hAnsi="Arial" w:cs="Arial"/>
                <w:b/>
                <w:lang w:val="nl-NL"/>
              </w:rPr>
            </w:pPr>
          </w:p>
        </w:tc>
        <w:tc>
          <w:tcPr>
            <w:tcW w:w="9267" w:type="dxa"/>
            <w:gridSpan w:val="2"/>
          </w:tcPr>
          <w:p w14:paraId="07528092" w14:textId="77777777" w:rsidR="002530B5" w:rsidRPr="00EF633E" w:rsidRDefault="002530B5" w:rsidP="002530B5">
            <w:pPr>
              <w:jc w:val="both"/>
              <w:rPr>
                <w:rFonts w:ascii="Arial" w:hAnsi="Arial" w:cs="Arial"/>
                <w:b/>
                <w:lang w:val="nl-BE"/>
              </w:rPr>
            </w:pPr>
          </w:p>
        </w:tc>
      </w:tr>
      <w:tr w:rsidR="0079460A" w:rsidRPr="00EF633E" w14:paraId="71C2D5EF" w14:textId="77777777" w:rsidTr="00EB6A7E">
        <w:trPr>
          <w:gridAfter w:val="1"/>
          <w:wAfter w:w="7" w:type="dxa"/>
        </w:trPr>
        <w:tc>
          <w:tcPr>
            <w:tcW w:w="279" w:type="dxa"/>
          </w:tcPr>
          <w:p w14:paraId="40C0DFB2" w14:textId="77777777" w:rsidR="002530B5" w:rsidRPr="00EF633E" w:rsidRDefault="002530B5" w:rsidP="002530B5">
            <w:pPr>
              <w:jc w:val="both"/>
              <w:rPr>
                <w:rFonts w:ascii="Arial" w:hAnsi="Arial" w:cs="Arial"/>
                <w:b/>
                <w:lang w:val="nl-NL"/>
              </w:rPr>
            </w:pPr>
          </w:p>
        </w:tc>
        <w:tc>
          <w:tcPr>
            <w:tcW w:w="9267" w:type="dxa"/>
            <w:gridSpan w:val="2"/>
          </w:tcPr>
          <w:p w14:paraId="42527E44" w14:textId="77777777" w:rsidR="002530B5" w:rsidRPr="00EF633E" w:rsidRDefault="002530B5" w:rsidP="002530B5">
            <w:pPr>
              <w:jc w:val="both"/>
              <w:rPr>
                <w:rFonts w:ascii="Arial" w:hAnsi="Arial" w:cs="Arial"/>
                <w:b/>
                <w:lang w:val="nl-BE"/>
              </w:rPr>
            </w:pPr>
          </w:p>
        </w:tc>
      </w:tr>
      <w:tr w:rsidR="0079460A" w:rsidRPr="00EF633E" w14:paraId="15F534A9" w14:textId="77777777" w:rsidTr="00EB6A7E">
        <w:trPr>
          <w:gridAfter w:val="1"/>
          <w:wAfter w:w="7" w:type="dxa"/>
        </w:trPr>
        <w:tc>
          <w:tcPr>
            <w:tcW w:w="279" w:type="dxa"/>
          </w:tcPr>
          <w:p w14:paraId="5A058918" w14:textId="77777777" w:rsidR="002530B5" w:rsidRPr="00EF633E" w:rsidRDefault="002530B5" w:rsidP="002530B5">
            <w:pPr>
              <w:jc w:val="both"/>
              <w:rPr>
                <w:rFonts w:ascii="Arial" w:hAnsi="Arial" w:cs="Arial"/>
                <w:b/>
                <w:lang w:val="nl-NL"/>
              </w:rPr>
            </w:pPr>
          </w:p>
          <w:p w14:paraId="5BB643EE" w14:textId="4A74A3C4" w:rsidR="009B74FF" w:rsidRPr="00EF633E" w:rsidRDefault="009B74FF" w:rsidP="002530B5">
            <w:pPr>
              <w:jc w:val="both"/>
              <w:rPr>
                <w:rFonts w:ascii="Arial" w:hAnsi="Arial" w:cs="Arial"/>
                <w:b/>
                <w:lang w:val="nl-NL"/>
              </w:rPr>
            </w:pPr>
          </w:p>
          <w:p w14:paraId="77BB6D7E" w14:textId="1F564A43" w:rsidR="00F55AB2" w:rsidRPr="00EF633E" w:rsidRDefault="00F55AB2" w:rsidP="002530B5">
            <w:pPr>
              <w:jc w:val="both"/>
              <w:rPr>
                <w:rFonts w:ascii="Arial" w:hAnsi="Arial" w:cs="Arial"/>
                <w:b/>
                <w:lang w:val="nl-NL"/>
              </w:rPr>
            </w:pPr>
          </w:p>
          <w:p w14:paraId="4C6BB458" w14:textId="5BA1C870" w:rsidR="00F55AB2" w:rsidRPr="00EF633E" w:rsidRDefault="00F55AB2" w:rsidP="002530B5">
            <w:pPr>
              <w:jc w:val="both"/>
              <w:rPr>
                <w:rFonts w:ascii="Arial" w:hAnsi="Arial" w:cs="Arial"/>
                <w:b/>
                <w:lang w:val="nl-NL"/>
              </w:rPr>
            </w:pPr>
          </w:p>
          <w:p w14:paraId="54DE01EF" w14:textId="4D743AAC" w:rsidR="00F55AB2" w:rsidRPr="00EF633E" w:rsidRDefault="00F55AB2" w:rsidP="002530B5">
            <w:pPr>
              <w:jc w:val="both"/>
              <w:rPr>
                <w:rFonts w:ascii="Arial" w:hAnsi="Arial" w:cs="Arial"/>
                <w:b/>
                <w:lang w:val="nl-NL"/>
              </w:rPr>
            </w:pPr>
          </w:p>
          <w:p w14:paraId="5A962CDB" w14:textId="2169322A" w:rsidR="009B74FF" w:rsidRPr="00EF633E" w:rsidRDefault="009B74FF" w:rsidP="002530B5">
            <w:pPr>
              <w:jc w:val="both"/>
              <w:rPr>
                <w:rFonts w:ascii="Arial" w:hAnsi="Arial" w:cs="Arial"/>
                <w:b/>
                <w:lang w:val="nl-NL"/>
              </w:rPr>
            </w:pPr>
          </w:p>
        </w:tc>
        <w:tc>
          <w:tcPr>
            <w:tcW w:w="9267" w:type="dxa"/>
            <w:gridSpan w:val="2"/>
          </w:tcPr>
          <w:p w14:paraId="4E43B14A" w14:textId="77777777" w:rsidR="002530B5" w:rsidRPr="00EF633E" w:rsidRDefault="002530B5" w:rsidP="002530B5">
            <w:pPr>
              <w:jc w:val="both"/>
              <w:rPr>
                <w:rFonts w:ascii="Arial" w:hAnsi="Arial" w:cs="Arial"/>
                <w:b/>
                <w:lang w:val="nl-BE"/>
              </w:rPr>
            </w:pPr>
          </w:p>
        </w:tc>
      </w:tr>
      <w:tr w:rsidR="0079460A" w:rsidRPr="00EF633E" w14:paraId="5831AFF6" w14:textId="77777777" w:rsidTr="00EB6A7E">
        <w:trPr>
          <w:gridAfter w:val="1"/>
          <w:wAfter w:w="7" w:type="dxa"/>
        </w:trPr>
        <w:tc>
          <w:tcPr>
            <w:tcW w:w="279" w:type="dxa"/>
          </w:tcPr>
          <w:p w14:paraId="7AF1E386" w14:textId="77777777" w:rsidR="002530B5" w:rsidRPr="00EF633E" w:rsidRDefault="002530B5" w:rsidP="002530B5">
            <w:pPr>
              <w:jc w:val="both"/>
              <w:rPr>
                <w:rFonts w:ascii="Arial" w:hAnsi="Arial" w:cs="Arial"/>
                <w:b/>
                <w:lang w:val="nl-NL"/>
              </w:rPr>
            </w:pPr>
          </w:p>
          <w:p w14:paraId="7F225597" w14:textId="77777777" w:rsidR="00BA186D" w:rsidRPr="00EF633E" w:rsidRDefault="00BA186D" w:rsidP="002530B5">
            <w:pPr>
              <w:jc w:val="both"/>
              <w:rPr>
                <w:rFonts w:ascii="Arial" w:hAnsi="Arial" w:cs="Arial"/>
                <w:b/>
                <w:lang w:val="nl-NL"/>
              </w:rPr>
            </w:pPr>
          </w:p>
        </w:tc>
        <w:tc>
          <w:tcPr>
            <w:tcW w:w="9267" w:type="dxa"/>
            <w:gridSpan w:val="2"/>
          </w:tcPr>
          <w:p w14:paraId="633A8CA0" w14:textId="77777777" w:rsidR="002530B5" w:rsidRPr="00EF633E" w:rsidRDefault="002530B5" w:rsidP="002530B5">
            <w:pPr>
              <w:jc w:val="both"/>
              <w:rPr>
                <w:rFonts w:ascii="Arial" w:hAnsi="Arial" w:cs="Arial"/>
                <w:b/>
                <w:lang w:val="nl-BE"/>
              </w:rPr>
            </w:pPr>
          </w:p>
        </w:tc>
      </w:tr>
      <w:tr w:rsidR="0079460A" w:rsidRPr="00EF633E" w14:paraId="071A2F21" w14:textId="77777777" w:rsidTr="00EB6A7E">
        <w:trPr>
          <w:gridAfter w:val="1"/>
          <w:wAfter w:w="7" w:type="dxa"/>
        </w:trPr>
        <w:tc>
          <w:tcPr>
            <w:tcW w:w="279" w:type="dxa"/>
          </w:tcPr>
          <w:p w14:paraId="6AEE26F7" w14:textId="2ED14078" w:rsidR="009B74FF" w:rsidRPr="00EF633E" w:rsidRDefault="009B74FF" w:rsidP="000F0B2C">
            <w:pPr>
              <w:jc w:val="center"/>
              <w:rPr>
                <w:rFonts w:ascii="Arial" w:hAnsi="Arial" w:cs="Arial"/>
                <w:lang w:val="nl-NL"/>
              </w:rPr>
            </w:pPr>
          </w:p>
        </w:tc>
        <w:tc>
          <w:tcPr>
            <w:tcW w:w="9267" w:type="dxa"/>
            <w:gridSpan w:val="2"/>
          </w:tcPr>
          <w:p w14:paraId="4D59BFA6" w14:textId="08995E03" w:rsidR="002530B5" w:rsidRPr="00EF633E" w:rsidRDefault="009D3040" w:rsidP="002530B5">
            <w:pPr>
              <w:jc w:val="center"/>
              <w:rPr>
                <w:rFonts w:ascii="Arial" w:hAnsi="Arial" w:cs="Arial"/>
                <w:b/>
              </w:rPr>
            </w:pPr>
            <w:r w:rsidRPr="00EF633E">
              <w:rPr>
                <w:rFonts w:ascii="Arial" w:hAnsi="Arial"/>
              </w:rPr>
              <w:t>Por el Rey:</w:t>
            </w:r>
          </w:p>
        </w:tc>
      </w:tr>
      <w:tr w:rsidR="0079460A" w:rsidRPr="00EF633E" w14:paraId="18BB15EE" w14:textId="77777777" w:rsidTr="00EB6A7E">
        <w:trPr>
          <w:gridAfter w:val="1"/>
          <w:wAfter w:w="7" w:type="dxa"/>
        </w:trPr>
        <w:tc>
          <w:tcPr>
            <w:tcW w:w="279" w:type="dxa"/>
          </w:tcPr>
          <w:p w14:paraId="5449E577" w14:textId="2CA3144F" w:rsidR="002530B5" w:rsidRPr="00EF633E" w:rsidRDefault="002530B5" w:rsidP="002530B5">
            <w:pPr>
              <w:jc w:val="center"/>
              <w:rPr>
                <w:rFonts w:ascii="Arial" w:hAnsi="Arial" w:cs="Arial"/>
                <w:b/>
              </w:rPr>
            </w:pPr>
          </w:p>
        </w:tc>
        <w:tc>
          <w:tcPr>
            <w:tcW w:w="9267" w:type="dxa"/>
            <w:gridSpan w:val="2"/>
          </w:tcPr>
          <w:p w14:paraId="31F4D5CE" w14:textId="4018DAC4" w:rsidR="002530B5" w:rsidRPr="00EF633E" w:rsidRDefault="009D3040" w:rsidP="002530B5">
            <w:pPr>
              <w:jc w:val="center"/>
              <w:rPr>
                <w:rFonts w:ascii="Arial" w:hAnsi="Arial" w:cs="Arial"/>
                <w:b/>
              </w:rPr>
            </w:pPr>
            <w:r w:rsidRPr="00EF633E">
              <w:rPr>
                <w:rFonts w:ascii="Arial" w:hAnsi="Arial"/>
              </w:rPr>
              <w:t>El Ministro de Trabajo,</w:t>
            </w:r>
          </w:p>
        </w:tc>
      </w:tr>
      <w:tr w:rsidR="0079460A" w:rsidRPr="00EF633E" w14:paraId="1E9339D8" w14:textId="77777777" w:rsidTr="00EB6A7E">
        <w:trPr>
          <w:gridAfter w:val="1"/>
          <w:wAfter w:w="7" w:type="dxa"/>
        </w:trPr>
        <w:tc>
          <w:tcPr>
            <w:tcW w:w="279" w:type="dxa"/>
          </w:tcPr>
          <w:p w14:paraId="5C4519FC" w14:textId="77777777" w:rsidR="002530B5" w:rsidRPr="00EF633E" w:rsidRDefault="002530B5" w:rsidP="002530B5">
            <w:pPr>
              <w:jc w:val="both"/>
              <w:rPr>
                <w:rFonts w:ascii="Arial" w:hAnsi="Arial" w:cs="Arial"/>
                <w:b/>
              </w:rPr>
            </w:pPr>
          </w:p>
        </w:tc>
        <w:tc>
          <w:tcPr>
            <w:tcW w:w="9267" w:type="dxa"/>
            <w:gridSpan w:val="2"/>
          </w:tcPr>
          <w:p w14:paraId="6202C02C" w14:textId="77777777" w:rsidR="002530B5" w:rsidRPr="00EF633E" w:rsidRDefault="002530B5" w:rsidP="002530B5">
            <w:pPr>
              <w:jc w:val="both"/>
              <w:rPr>
                <w:rFonts w:ascii="Arial" w:hAnsi="Arial" w:cs="Arial"/>
                <w:b/>
              </w:rPr>
            </w:pPr>
          </w:p>
        </w:tc>
      </w:tr>
      <w:tr w:rsidR="0079460A" w:rsidRPr="00EF633E" w14:paraId="77600055" w14:textId="77777777" w:rsidTr="00EB6A7E">
        <w:trPr>
          <w:gridAfter w:val="1"/>
          <w:wAfter w:w="7" w:type="dxa"/>
        </w:trPr>
        <w:tc>
          <w:tcPr>
            <w:tcW w:w="279" w:type="dxa"/>
          </w:tcPr>
          <w:p w14:paraId="111ECF7D" w14:textId="77777777" w:rsidR="002530B5" w:rsidRPr="00EF633E" w:rsidRDefault="002530B5" w:rsidP="002530B5">
            <w:pPr>
              <w:jc w:val="both"/>
              <w:rPr>
                <w:rFonts w:ascii="Arial" w:hAnsi="Arial" w:cs="Arial"/>
                <w:b/>
              </w:rPr>
            </w:pPr>
          </w:p>
          <w:p w14:paraId="660AB4D7" w14:textId="77777777" w:rsidR="002530B5" w:rsidRPr="00EF633E" w:rsidRDefault="002530B5" w:rsidP="002530B5">
            <w:pPr>
              <w:jc w:val="both"/>
              <w:rPr>
                <w:rFonts w:ascii="Arial" w:hAnsi="Arial" w:cs="Arial"/>
                <w:b/>
              </w:rPr>
            </w:pPr>
          </w:p>
          <w:p w14:paraId="43C8926B" w14:textId="77777777" w:rsidR="002530B5" w:rsidRPr="00EF633E" w:rsidRDefault="002530B5" w:rsidP="002530B5">
            <w:pPr>
              <w:jc w:val="both"/>
              <w:rPr>
                <w:rFonts w:ascii="Arial" w:hAnsi="Arial" w:cs="Arial"/>
                <w:b/>
              </w:rPr>
            </w:pPr>
          </w:p>
        </w:tc>
        <w:tc>
          <w:tcPr>
            <w:tcW w:w="9267" w:type="dxa"/>
            <w:gridSpan w:val="2"/>
          </w:tcPr>
          <w:p w14:paraId="00A5E572" w14:textId="77777777" w:rsidR="002530B5" w:rsidRPr="00EF633E" w:rsidRDefault="002530B5" w:rsidP="002530B5">
            <w:pPr>
              <w:jc w:val="both"/>
              <w:rPr>
                <w:rFonts w:ascii="Arial" w:hAnsi="Arial" w:cs="Arial"/>
                <w:b/>
              </w:rPr>
            </w:pPr>
          </w:p>
        </w:tc>
      </w:tr>
      <w:tr w:rsidR="0079460A" w:rsidRPr="00EF633E" w14:paraId="6A90DA93" w14:textId="77777777" w:rsidTr="00EB6A7E">
        <w:trPr>
          <w:gridAfter w:val="1"/>
          <w:wAfter w:w="7" w:type="dxa"/>
        </w:trPr>
        <w:tc>
          <w:tcPr>
            <w:tcW w:w="279" w:type="dxa"/>
          </w:tcPr>
          <w:p w14:paraId="38F9A661" w14:textId="77777777" w:rsidR="002530B5" w:rsidRPr="00EF633E" w:rsidRDefault="002530B5" w:rsidP="002530B5">
            <w:pPr>
              <w:jc w:val="both"/>
              <w:rPr>
                <w:rFonts w:ascii="Arial" w:hAnsi="Arial" w:cs="Arial"/>
                <w:b/>
              </w:rPr>
            </w:pPr>
          </w:p>
        </w:tc>
        <w:tc>
          <w:tcPr>
            <w:tcW w:w="9267" w:type="dxa"/>
            <w:gridSpan w:val="2"/>
          </w:tcPr>
          <w:p w14:paraId="5C70B306" w14:textId="77777777" w:rsidR="002530B5" w:rsidRPr="00EF633E" w:rsidRDefault="002530B5" w:rsidP="002530B5">
            <w:pPr>
              <w:jc w:val="both"/>
              <w:rPr>
                <w:rFonts w:ascii="Arial" w:hAnsi="Arial" w:cs="Arial"/>
                <w:b/>
              </w:rPr>
            </w:pPr>
          </w:p>
        </w:tc>
      </w:tr>
      <w:tr w:rsidR="0079460A" w:rsidRPr="00EF633E" w14:paraId="2869CB9F" w14:textId="77777777" w:rsidTr="00EB6A7E">
        <w:trPr>
          <w:gridAfter w:val="1"/>
          <w:wAfter w:w="7" w:type="dxa"/>
        </w:trPr>
        <w:tc>
          <w:tcPr>
            <w:tcW w:w="279" w:type="dxa"/>
          </w:tcPr>
          <w:p w14:paraId="521E1ABC" w14:textId="77777777" w:rsidR="002530B5" w:rsidRPr="00EF633E" w:rsidRDefault="002530B5" w:rsidP="002530B5">
            <w:pPr>
              <w:jc w:val="both"/>
              <w:rPr>
                <w:rFonts w:ascii="Arial" w:hAnsi="Arial" w:cs="Arial"/>
                <w:b/>
              </w:rPr>
            </w:pPr>
          </w:p>
        </w:tc>
        <w:tc>
          <w:tcPr>
            <w:tcW w:w="9267" w:type="dxa"/>
            <w:gridSpan w:val="2"/>
          </w:tcPr>
          <w:p w14:paraId="67F47643" w14:textId="77777777" w:rsidR="002530B5" w:rsidRPr="00EF633E" w:rsidRDefault="002530B5" w:rsidP="002530B5">
            <w:pPr>
              <w:jc w:val="both"/>
              <w:rPr>
                <w:rFonts w:ascii="Arial" w:hAnsi="Arial" w:cs="Arial"/>
                <w:b/>
              </w:rPr>
            </w:pPr>
          </w:p>
        </w:tc>
      </w:tr>
      <w:tr w:rsidR="0079460A" w:rsidRPr="00EF633E" w14:paraId="3AE140DC" w14:textId="77777777" w:rsidTr="00EB6A7E">
        <w:trPr>
          <w:gridAfter w:val="1"/>
          <w:wAfter w:w="7" w:type="dxa"/>
        </w:trPr>
        <w:tc>
          <w:tcPr>
            <w:tcW w:w="279" w:type="dxa"/>
          </w:tcPr>
          <w:p w14:paraId="2BBDD9B2" w14:textId="77777777" w:rsidR="002530B5" w:rsidRPr="00EF633E" w:rsidRDefault="002530B5" w:rsidP="002530B5">
            <w:pPr>
              <w:jc w:val="both"/>
              <w:rPr>
                <w:rFonts w:ascii="Arial" w:hAnsi="Arial" w:cs="Arial"/>
                <w:b/>
              </w:rPr>
            </w:pPr>
          </w:p>
        </w:tc>
        <w:tc>
          <w:tcPr>
            <w:tcW w:w="9267" w:type="dxa"/>
            <w:gridSpan w:val="2"/>
          </w:tcPr>
          <w:p w14:paraId="2D554267" w14:textId="77777777" w:rsidR="002530B5" w:rsidRPr="00EF633E" w:rsidRDefault="002530B5" w:rsidP="002530B5">
            <w:pPr>
              <w:jc w:val="both"/>
              <w:rPr>
                <w:rFonts w:ascii="Arial" w:hAnsi="Arial" w:cs="Arial"/>
                <w:b/>
              </w:rPr>
            </w:pPr>
          </w:p>
        </w:tc>
      </w:tr>
      <w:tr w:rsidR="002530B5" w:rsidRPr="00EF633E" w14:paraId="23314A4F" w14:textId="77777777" w:rsidTr="00EB6A7E">
        <w:tc>
          <w:tcPr>
            <w:tcW w:w="9553" w:type="dxa"/>
            <w:gridSpan w:val="4"/>
          </w:tcPr>
          <w:p w14:paraId="71506BA3" w14:textId="1D15271A" w:rsidR="003E3226" w:rsidRPr="00EF633E" w:rsidRDefault="002530B5" w:rsidP="000F0B2C">
            <w:pPr>
              <w:jc w:val="center"/>
              <w:rPr>
                <w:rFonts w:ascii="Arial" w:hAnsi="Arial" w:cs="Arial"/>
                <w:spacing w:val="-3"/>
              </w:rPr>
            </w:pPr>
            <w:r w:rsidRPr="00EF633E">
              <w:rPr>
                <w:rStyle w:val="acopre1"/>
                <w:rFonts w:ascii="Arial" w:hAnsi="Arial"/>
              </w:rPr>
              <w:t>Pierre-Yves Dermagne</w:t>
            </w:r>
          </w:p>
          <w:p w14:paraId="09D749A7" w14:textId="1BD263EE" w:rsidR="003E3226" w:rsidRPr="00EF633E" w:rsidRDefault="003E3226" w:rsidP="003E3226">
            <w:pPr>
              <w:rPr>
                <w:rFonts w:ascii="Arial" w:hAnsi="Arial" w:cs="Arial"/>
                <w:spacing w:val="-3"/>
                <w:lang w:val="nl-BE"/>
              </w:rPr>
            </w:pPr>
          </w:p>
        </w:tc>
      </w:tr>
      <w:tr w:rsidR="0079460A" w:rsidRPr="00EF633E" w14:paraId="0C3D19F4" w14:textId="77777777" w:rsidTr="00EB6A7E">
        <w:trPr>
          <w:gridAfter w:val="1"/>
          <w:wAfter w:w="7" w:type="dxa"/>
        </w:trPr>
        <w:tc>
          <w:tcPr>
            <w:tcW w:w="279" w:type="dxa"/>
          </w:tcPr>
          <w:p w14:paraId="76AE18E2" w14:textId="074EF6F1" w:rsidR="002530B5" w:rsidRPr="00EF633E" w:rsidRDefault="002530B5" w:rsidP="002530B5">
            <w:pPr>
              <w:jc w:val="center"/>
              <w:rPr>
                <w:rFonts w:ascii="Arial" w:hAnsi="Arial" w:cs="Arial"/>
              </w:rPr>
            </w:pPr>
            <w:r w:rsidRPr="00EF633E">
              <w:rPr>
                <w:rFonts w:ascii="Arial" w:hAnsi="Arial"/>
                <w:b/>
              </w:rPr>
              <w:tab/>
            </w:r>
          </w:p>
        </w:tc>
        <w:tc>
          <w:tcPr>
            <w:tcW w:w="9267" w:type="dxa"/>
            <w:gridSpan w:val="2"/>
          </w:tcPr>
          <w:p w14:paraId="0FFD8752" w14:textId="50869938" w:rsidR="002530B5" w:rsidRPr="00EF633E" w:rsidRDefault="009D3040" w:rsidP="00106BDC">
            <w:pPr>
              <w:jc w:val="center"/>
              <w:rPr>
                <w:rFonts w:ascii="Arial" w:hAnsi="Arial" w:cs="Arial"/>
                <w:b/>
              </w:rPr>
            </w:pPr>
            <w:r w:rsidRPr="00EF633E">
              <w:rPr>
                <w:rFonts w:ascii="Arial" w:hAnsi="Arial"/>
              </w:rPr>
              <w:t>La Ministra de Energía,</w:t>
            </w:r>
          </w:p>
        </w:tc>
      </w:tr>
      <w:tr w:rsidR="0079460A" w:rsidRPr="00EF633E" w14:paraId="4C3974C8" w14:textId="77777777" w:rsidTr="00EB6A7E">
        <w:trPr>
          <w:gridAfter w:val="1"/>
          <w:wAfter w:w="7" w:type="dxa"/>
        </w:trPr>
        <w:tc>
          <w:tcPr>
            <w:tcW w:w="279" w:type="dxa"/>
          </w:tcPr>
          <w:p w14:paraId="1F194BDB" w14:textId="77777777" w:rsidR="002530B5" w:rsidRPr="00EF633E" w:rsidRDefault="002530B5" w:rsidP="002530B5">
            <w:pPr>
              <w:jc w:val="both"/>
              <w:rPr>
                <w:rFonts w:ascii="Arial" w:hAnsi="Arial" w:cs="Arial"/>
                <w:b/>
                <w:lang w:val="nl-NL"/>
              </w:rPr>
            </w:pPr>
          </w:p>
        </w:tc>
        <w:tc>
          <w:tcPr>
            <w:tcW w:w="9267" w:type="dxa"/>
            <w:gridSpan w:val="2"/>
          </w:tcPr>
          <w:p w14:paraId="287FDC76" w14:textId="77777777" w:rsidR="002530B5" w:rsidRPr="00EF633E" w:rsidRDefault="002530B5" w:rsidP="002530B5">
            <w:pPr>
              <w:jc w:val="both"/>
              <w:rPr>
                <w:rFonts w:ascii="Arial" w:hAnsi="Arial" w:cs="Arial"/>
                <w:b/>
                <w:lang w:val="nl-BE"/>
              </w:rPr>
            </w:pPr>
          </w:p>
        </w:tc>
      </w:tr>
      <w:tr w:rsidR="0079460A" w:rsidRPr="00EF633E" w14:paraId="66F53B56" w14:textId="77777777" w:rsidTr="00EB6A7E">
        <w:trPr>
          <w:gridAfter w:val="1"/>
          <w:wAfter w:w="7" w:type="dxa"/>
        </w:trPr>
        <w:tc>
          <w:tcPr>
            <w:tcW w:w="279" w:type="dxa"/>
          </w:tcPr>
          <w:p w14:paraId="5341F54C" w14:textId="77777777" w:rsidR="002530B5" w:rsidRPr="00EF633E" w:rsidRDefault="002530B5" w:rsidP="002530B5">
            <w:pPr>
              <w:jc w:val="both"/>
              <w:rPr>
                <w:rFonts w:ascii="Arial" w:hAnsi="Arial" w:cs="Arial"/>
                <w:b/>
                <w:lang w:val="nl-NL"/>
              </w:rPr>
            </w:pPr>
          </w:p>
        </w:tc>
        <w:tc>
          <w:tcPr>
            <w:tcW w:w="9267" w:type="dxa"/>
            <w:gridSpan w:val="2"/>
          </w:tcPr>
          <w:p w14:paraId="246C39E1" w14:textId="77777777" w:rsidR="002530B5" w:rsidRPr="00EF633E" w:rsidRDefault="002530B5" w:rsidP="002530B5">
            <w:pPr>
              <w:jc w:val="both"/>
              <w:rPr>
                <w:rFonts w:ascii="Arial" w:hAnsi="Arial" w:cs="Arial"/>
                <w:b/>
                <w:lang w:val="nl-BE"/>
              </w:rPr>
            </w:pPr>
          </w:p>
        </w:tc>
      </w:tr>
      <w:tr w:rsidR="0079460A" w:rsidRPr="00EF633E" w14:paraId="7FDA9587" w14:textId="77777777" w:rsidTr="00EB6A7E">
        <w:trPr>
          <w:gridAfter w:val="1"/>
          <w:wAfter w:w="7" w:type="dxa"/>
        </w:trPr>
        <w:tc>
          <w:tcPr>
            <w:tcW w:w="279" w:type="dxa"/>
          </w:tcPr>
          <w:p w14:paraId="68F240D6" w14:textId="77777777" w:rsidR="002530B5" w:rsidRPr="00EF633E" w:rsidRDefault="002530B5" w:rsidP="002530B5">
            <w:pPr>
              <w:jc w:val="both"/>
              <w:rPr>
                <w:rFonts w:ascii="Arial" w:hAnsi="Arial" w:cs="Arial"/>
                <w:b/>
                <w:lang w:val="nl-NL"/>
              </w:rPr>
            </w:pPr>
          </w:p>
          <w:p w14:paraId="30AE2F7B" w14:textId="77777777" w:rsidR="002530B5" w:rsidRPr="00EF633E" w:rsidRDefault="002530B5" w:rsidP="002530B5">
            <w:pPr>
              <w:jc w:val="both"/>
              <w:rPr>
                <w:rFonts w:ascii="Arial" w:hAnsi="Arial" w:cs="Arial"/>
                <w:b/>
                <w:lang w:val="nl-NL"/>
              </w:rPr>
            </w:pPr>
          </w:p>
          <w:p w14:paraId="25603E14" w14:textId="77777777" w:rsidR="00BA186D" w:rsidRPr="00EF633E" w:rsidRDefault="00BA186D" w:rsidP="002530B5">
            <w:pPr>
              <w:jc w:val="both"/>
              <w:rPr>
                <w:rFonts w:ascii="Arial" w:hAnsi="Arial" w:cs="Arial"/>
                <w:b/>
                <w:lang w:val="nl-NL"/>
              </w:rPr>
            </w:pPr>
          </w:p>
          <w:p w14:paraId="783A482C" w14:textId="77777777" w:rsidR="002530B5" w:rsidRPr="00EF633E" w:rsidRDefault="002530B5" w:rsidP="002530B5">
            <w:pPr>
              <w:jc w:val="both"/>
              <w:rPr>
                <w:rFonts w:ascii="Arial" w:hAnsi="Arial" w:cs="Arial"/>
                <w:b/>
                <w:lang w:val="nl-NL"/>
              </w:rPr>
            </w:pPr>
          </w:p>
        </w:tc>
        <w:tc>
          <w:tcPr>
            <w:tcW w:w="9267" w:type="dxa"/>
            <w:gridSpan w:val="2"/>
          </w:tcPr>
          <w:p w14:paraId="6EEFC80D" w14:textId="77777777" w:rsidR="002530B5" w:rsidRPr="00EF633E" w:rsidRDefault="002530B5" w:rsidP="002530B5">
            <w:pPr>
              <w:jc w:val="both"/>
              <w:rPr>
                <w:rFonts w:ascii="Arial" w:hAnsi="Arial" w:cs="Arial"/>
                <w:b/>
                <w:lang w:val="nl-BE"/>
              </w:rPr>
            </w:pPr>
          </w:p>
        </w:tc>
      </w:tr>
      <w:tr w:rsidR="0079460A" w:rsidRPr="00EF633E" w14:paraId="53B0D87D" w14:textId="77777777" w:rsidTr="00EB6A7E">
        <w:trPr>
          <w:gridAfter w:val="1"/>
          <w:wAfter w:w="7" w:type="dxa"/>
        </w:trPr>
        <w:tc>
          <w:tcPr>
            <w:tcW w:w="279" w:type="dxa"/>
          </w:tcPr>
          <w:p w14:paraId="169B2C96" w14:textId="77777777" w:rsidR="002530B5" w:rsidRPr="00EF633E" w:rsidRDefault="002530B5" w:rsidP="002530B5">
            <w:pPr>
              <w:jc w:val="both"/>
              <w:rPr>
                <w:rFonts w:ascii="Arial" w:hAnsi="Arial" w:cs="Arial"/>
                <w:b/>
                <w:lang w:val="nl-NL"/>
              </w:rPr>
            </w:pPr>
          </w:p>
        </w:tc>
        <w:tc>
          <w:tcPr>
            <w:tcW w:w="9267" w:type="dxa"/>
            <w:gridSpan w:val="2"/>
          </w:tcPr>
          <w:p w14:paraId="5A0A2EC3" w14:textId="77777777" w:rsidR="002530B5" w:rsidRPr="00EF633E" w:rsidRDefault="002530B5" w:rsidP="002530B5">
            <w:pPr>
              <w:jc w:val="both"/>
              <w:rPr>
                <w:rFonts w:ascii="Arial" w:hAnsi="Arial" w:cs="Arial"/>
                <w:b/>
                <w:lang w:val="nl-BE"/>
              </w:rPr>
            </w:pPr>
          </w:p>
        </w:tc>
      </w:tr>
      <w:tr w:rsidR="0079460A" w:rsidRPr="00EF633E" w14:paraId="5CB931C8" w14:textId="77777777" w:rsidTr="00EB6A7E">
        <w:trPr>
          <w:gridAfter w:val="1"/>
          <w:wAfter w:w="7" w:type="dxa"/>
        </w:trPr>
        <w:tc>
          <w:tcPr>
            <w:tcW w:w="279" w:type="dxa"/>
          </w:tcPr>
          <w:p w14:paraId="426E1198" w14:textId="77777777" w:rsidR="002530B5" w:rsidRPr="00EF633E" w:rsidRDefault="002530B5" w:rsidP="002530B5">
            <w:pPr>
              <w:jc w:val="both"/>
              <w:rPr>
                <w:rFonts w:ascii="Arial" w:hAnsi="Arial" w:cs="Arial"/>
                <w:b/>
                <w:lang w:val="nl-NL"/>
              </w:rPr>
            </w:pPr>
          </w:p>
        </w:tc>
        <w:tc>
          <w:tcPr>
            <w:tcW w:w="9267" w:type="dxa"/>
            <w:gridSpan w:val="2"/>
          </w:tcPr>
          <w:p w14:paraId="13A5DA6D" w14:textId="77777777" w:rsidR="002530B5" w:rsidRPr="00EF633E" w:rsidRDefault="002530B5" w:rsidP="002530B5">
            <w:pPr>
              <w:jc w:val="both"/>
              <w:rPr>
                <w:rFonts w:ascii="Arial" w:hAnsi="Arial" w:cs="Arial"/>
                <w:b/>
                <w:lang w:val="nl-BE"/>
              </w:rPr>
            </w:pPr>
          </w:p>
        </w:tc>
      </w:tr>
      <w:tr w:rsidR="002530B5" w:rsidRPr="00EF633E" w14:paraId="6BF2AB59" w14:textId="77777777" w:rsidTr="00EB6A7E">
        <w:tc>
          <w:tcPr>
            <w:tcW w:w="9553" w:type="dxa"/>
            <w:gridSpan w:val="4"/>
          </w:tcPr>
          <w:p w14:paraId="4C4B4735" w14:textId="62F0E19E" w:rsidR="002530B5" w:rsidRPr="00EF633E" w:rsidRDefault="002530B5" w:rsidP="00A4604E">
            <w:pPr>
              <w:jc w:val="center"/>
              <w:rPr>
                <w:rFonts w:ascii="Arial" w:hAnsi="Arial" w:cs="Arial"/>
              </w:rPr>
            </w:pPr>
            <w:r w:rsidRPr="00EF633E">
              <w:rPr>
                <w:rFonts w:ascii="Arial" w:hAnsi="Arial"/>
              </w:rPr>
              <w:t>Tinne Van der Straeten</w:t>
            </w:r>
          </w:p>
          <w:p w14:paraId="4E0C6521" w14:textId="4C90910F" w:rsidR="00EB6A7E" w:rsidRPr="00EF633E" w:rsidRDefault="00EB6A7E" w:rsidP="00A4604E">
            <w:pPr>
              <w:jc w:val="center"/>
              <w:rPr>
                <w:rFonts w:ascii="Arial" w:hAnsi="Arial" w:cs="Arial"/>
                <w:lang w:val="nl-BE"/>
              </w:rPr>
            </w:pPr>
          </w:p>
          <w:p w14:paraId="6119BFC5" w14:textId="33DEC1CF" w:rsidR="00EB6A7E" w:rsidRPr="00EF633E" w:rsidRDefault="00EB6A7E" w:rsidP="00A4604E">
            <w:pPr>
              <w:jc w:val="center"/>
              <w:rPr>
                <w:rFonts w:ascii="Arial" w:hAnsi="Arial" w:cs="Arial"/>
                <w:lang w:val="nl-BE"/>
              </w:rPr>
            </w:pPr>
          </w:p>
          <w:p w14:paraId="03BDE27E" w14:textId="26A6A968" w:rsidR="00EB6A7E" w:rsidRPr="00EF633E" w:rsidRDefault="00EB6A7E" w:rsidP="00A4604E">
            <w:pPr>
              <w:jc w:val="center"/>
              <w:rPr>
                <w:rFonts w:ascii="Arial" w:hAnsi="Arial" w:cs="Arial"/>
                <w:lang w:val="nl-BE"/>
              </w:rPr>
            </w:pPr>
          </w:p>
          <w:p w14:paraId="62BDC602" w14:textId="256222A7" w:rsidR="00EB6A7E" w:rsidRPr="00EF633E" w:rsidRDefault="00EB6A7E" w:rsidP="00A4604E">
            <w:pPr>
              <w:jc w:val="center"/>
              <w:rPr>
                <w:rFonts w:ascii="Arial" w:hAnsi="Arial" w:cs="Arial"/>
                <w:lang w:val="nl-BE"/>
              </w:rPr>
            </w:pPr>
          </w:p>
          <w:p w14:paraId="40D83809" w14:textId="41EA832B" w:rsidR="00EB6A7E" w:rsidRPr="00EF633E" w:rsidRDefault="00EB6A7E" w:rsidP="00A4604E">
            <w:pPr>
              <w:jc w:val="center"/>
              <w:rPr>
                <w:rFonts w:ascii="Arial" w:hAnsi="Arial" w:cs="Arial"/>
                <w:lang w:val="nl-BE"/>
              </w:rPr>
            </w:pPr>
          </w:p>
          <w:p w14:paraId="5CB6D08D" w14:textId="6C6B9972" w:rsidR="00EB6A7E" w:rsidRPr="00EF633E" w:rsidRDefault="00EB6A7E" w:rsidP="00A4604E">
            <w:pPr>
              <w:jc w:val="center"/>
              <w:rPr>
                <w:rFonts w:ascii="Arial" w:hAnsi="Arial" w:cs="Arial"/>
                <w:lang w:val="nl-BE"/>
              </w:rPr>
            </w:pPr>
          </w:p>
          <w:p w14:paraId="76EA9DA7" w14:textId="21AEF798" w:rsidR="00EB6A7E" w:rsidRPr="00EF633E" w:rsidRDefault="00EB6A7E" w:rsidP="00A4604E">
            <w:pPr>
              <w:jc w:val="center"/>
              <w:rPr>
                <w:rFonts w:ascii="Arial" w:hAnsi="Arial" w:cs="Arial"/>
                <w:lang w:val="nl-BE"/>
              </w:rPr>
            </w:pPr>
          </w:p>
          <w:p w14:paraId="505D59A9" w14:textId="28458143" w:rsidR="00EB6A7E" w:rsidRPr="00EF633E" w:rsidRDefault="00EB6A7E" w:rsidP="00A4604E">
            <w:pPr>
              <w:jc w:val="center"/>
              <w:rPr>
                <w:rFonts w:ascii="Arial" w:hAnsi="Arial" w:cs="Arial"/>
                <w:lang w:val="nl-BE"/>
              </w:rPr>
            </w:pPr>
          </w:p>
          <w:p w14:paraId="0D7CAB27" w14:textId="77777777" w:rsidR="00EB6A7E" w:rsidRPr="00EF633E" w:rsidRDefault="00EB6A7E" w:rsidP="00A4604E">
            <w:pPr>
              <w:jc w:val="center"/>
              <w:rPr>
                <w:rFonts w:ascii="Arial" w:hAnsi="Arial" w:cs="Arial"/>
                <w:lang w:val="nl-BE"/>
              </w:rPr>
            </w:pPr>
          </w:p>
          <w:p w14:paraId="47B7A99C" w14:textId="4CC8BEC4" w:rsidR="00BF274B" w:rsidRPr="00EF633E" w:rsidRDefault="00BF274B" w:rsidP="00A4604E">
            <w:pPr>
              <w:rPr>
                <w:rFonts w:ascii="Arial" w:hAnsi="Arial" w:cs="Arial"/>
                <w:b/>
                <w:lang w:val="nl-BE"/>
              </w:rPr>
            </w:pPr>
          </w:p>
        </w:tc>
      </w:tr>
      <w:tr w:rsidR="00EF338F" w:rsidRPr="00EF633E" w14:paraId="305E35B2" w14:textId="77777777" w:rsidTr="00EB6A7E">
        <w:tc>
          <w:tcPr>
            <w:tcW w:w="279" w:type="dxa"/>
          </w:tcPr>
          <w:p w14:paraId="037F95A1" w14:textId="77777777" w:rsidR="00DD0AA6" w:rsidRPr="00EF633E" w:rsidRDefault="00DD0AA6" w:rsidP="00DD0AA6">
            <w:pPr>
              <w:rPr>
                <w:rFonts w:ascii="Arial" w:hAnsi="Arial" w:cs="Arial"/>
                <w:color w:val="000000" w:themeColor="text1"/>
                <w:lang w:val="nl-BE" w:eastAsia="nl-NL"/>
              </w:rPr>
            </w:pPr>
          </w:p>
          <w:p w14:paraId="264915ED" w14:textId="5CDAF74B" w:rsidR="007D1226" w:rsidRPr="00EF633E" w:rsidRDefault="007D1226" w:rsidP="00C72127">
            <w:pPr>
              <w:jc w:val="both"/>
              <w:rPr>
                <w:rFonts w:ascii="Arial" w:hAnsi="Arial" w:cs="Arial"/>
                <w:color w:val="000000" w:themeColor="text1"/>
                <w:lang w:val="nl-BE"/>
              </w:rPr>
            </w:pPr>
          </w:p>
          <w:p w14:paraId="376CB62C" w14:textId="77777777" w:rsidR="00DD0AA6" w:rsidRPr="00EF633E" w:rsidRDefault="00DD0AA6" w:rsidP="00DD0AA6">
            <w:pPr>
              <w:jc w:val="both"/>
              <w:rPr>
                <w:rFonts w:ascii="Arial" w:hAnsi="Arial" w:cs="Arial"/>
                <w:b/>
                <w:bCs/>
                <w:color w:val="000000" w:themeColor="text1"/>
                <w:lang w:val="nl-BE"/>
              </w:rPr>
            </w:pPr>
          </w:p>
          <w:p w14:paraId="60958B40" w14:textId="77777777" w:rsidR="00DD0AA6" w:rsidRPr="00EF633E" w:rsidRDefault="00DD0AA6" w:rsidP="00DD0AA6">
            <w:pPr>
              <w:jc w:val="both"/>
              <w:rPr>
                <w:rFonts w:ascii="Arial" w:hAnsi="Arial" w:cs="Arial"/>
                <w:b/>
                <w:bCs/>
                <w:color w:val="000000" w:themeColor="text1"/>
                <w:lang w:val="nl-BE"/>
              </w:rPr>
            </w:pPr>
          </w:p>
          <w:p w14:paraId="5DA6CD53" w14:textId="77777777" w:rsidR="007D1226" w:rsidRPr="00EF633E" w:rsidRDefault="007D1226" w:rsidP="00DD0AA6">
            <w:pPr>
              <w:jc w:val="both"/>
              <w:rPr>
                <w:rFonts w:ascii="Arial" w:hAnsi="Arial" w:cs="Arial"/>
                <w:b/>
                <w:bCs/>
                <w:lang w:val="nl-BE"/>
              </w:rPr>
            </w:pPr>
          </w:p>
          <w:p w14:paraId="08EFE2E9" w14:textId="77777777" w:rsidR="00DD0AA6" w:rsidRPr="00EF633E" w:rsidRDefault="00DD0AA6" w:rsidP="00DD0AA6">
            <w:pPr>
              <w:jc w:val="both"/>
              <w:rPr>
                <w:rFonts w:ascii="Arial" w:hAnsi="Arial" w:cs="Arial"/>
                <w:color w:val="000000" w:themeColor="text1"/>
                <w:lang w:val="nl-BE"/>
              </w:rPr>
            </w:pPr>
          </w:p>
          <w:p w14:paraId="748EDC35" w14:textId="77777777" w:rsidR="00DD0AA6" w:rsidRPr="00EF633E" w:rsidRDefault="00DD0AA6" w:rsidP="00BF274B">
            <w:pPr>
              <w:jc w:val="both"/>
              <w:rPr>
                <w:rFonts w:ascii="Arial" w:hAnsi="Arial" w:cs="Arial"/>
                <w:b/>
                <w:i/>
                <w:color w:val="000000" w:themeColor="text1"/>
              </w:rPr>
            </w:pPr>
          </w:p>
          <w:p w14:paraId="2E757EE9" w14:textId="77777777" w:rsidR="00DD0AA6" w:rsidRPr="00EF633E" w:rsidRDefault="00DD0AA6" w:rsidP="00BF274B">
            <w:pPr>
              <w:jc w:val="both"/>
              <w:rPr>
                <w:rFonts w:ascii="Arial" w:hAnsi="Arial" w:cs="Arial"/>
                <w:b/>
                <w:i/>
                <w:color w:val="000000" w:themeColor="text1"/>
              </w:rPr>
            </w:pPr>
          </w:p>
          <w:p w14:paraId="49A44D94" w14:textId="77777777" w:rsidR="00DD0AA6" w:rsidRPr="00EF633E" w:rsidRDefault="00DD0AA6" w:rsidP="00BF274B">
            <w:pPr>
              <w:jc w:val="both"/>
              <w:rPr>
                <w:rFonts w:ascii="Arial" w:hAnsi="Arial" w:cs="Arial"/>
                <w:b/>
                <w:i/>
                <w:color w:val="000000" w:themeColor="text1"/>
              </w:rPr>
            </w:pPr>
          </w:p>
          <w:p w14:paraId="397C661B" w14:textId="77777777" w:rsidR="00DD0AA6" w:rsidRPr="00EF633E" w:rsidRDefault="00DD0AA6" w:rsidP="00BF274B">
            <w:pPr>
              <w:jc w:val="both"/>
              <w:rPr>
                <w:rFonts w:ascii="Arial" w:hAnsi="Arial" w:cs="Arial"/>
                <w:b/>
                <w:i/>
                <w:color w:val="000000" w:themeColor="text1"/>
              </w:rPr>
            </w:pPr>
          </w:p>
          <w:p w14:paraId="04750DAC" w14:textId="77777777" w:rsidR="00DD0AA6" w:rsidRPr="00EF633E" w:rsidRDefault="00DD0AA6" w:rsidP="00BF274B">
            <w:pPr>
              <w:jc w:val="both"/>
              <w:rPr>
                <w:rFonts w:ascii="Arial" w:hAnsi="Arial" w:cs="Arial"/>
                <w:b/>
                <w:i/>
                <w:color w:val="000000" w:themeColor="text1"/>
              </w:rPr>
            </w:pPr>
          </w:p>
          <w:p w14:paraId="2F50E97A" w14:textId="77777777" w:rsidR="00EF338F" w:rsidRPr="00EF633E" w:rsidRDefault="00EF338F" w:rsidP="002530B5">
            <w:pPr>
              <w:jc w:val="center"/>
              <w:rPr>
                <w:rFonts w:ascii="Arial" w:hAnsi="Arial" w:cs="Arial"/>
              </w:rPr>
            </w:pPr>
          </w:p>
        </w:tc>
        <w:tc>
          <w:tcPr>
            <w:tcW w:w="9274" w:type="dxa"/>
            <w:gridSpan w:val="3"/>
          </w:tcPr>
          <w:p w14:paraId="15CF88AF" w14:textId="05871A63" w:rsidR="00633E10" w:rsidRPr="00EF633E" w:rsidRDefault="00DD0AA6" w:rsidP="00D044DF">
            <w:pPr>
              <w:jc w:val="center"/>
              <w:rPr>
                <w:rFonts w:ascii="Arial" w:hAnsi="Arial" w:cs="Arial"/>
                <w:b/>
                <w:color w:val="000000" w:themeColor="text1"/>
              </w:rPr>
            </w:pPr>
            <w:r w:rsidRPr="00EF633E">
              <w:rPr>
                <w:rFonts w:ascii="Arial" w:hAnsi="Arial"/>
                <w:b/>
                <w:color w:val="000000" w:themeColor="text1"/>
              </w:rPr>
              <w:t>Anexo</w:t>
            </w:r>
          </w:p>
          <w:p w14:paraId="05FDC483" w14:textId="0DDE04E8" w:rsidR="00D044DF" w:rsidRPr="00EF633E" w:rsidRDefault="00D044DF" w:rsidP="00D044DF">
            <w:pPr>
              <w:jc w:val="center"/>
              <w:rPr>
                <w:rFonts w:ascii="Arial" w:hAnsi="Arial" w:cs="Arial"/>
                <w:b/>
                <w:color w:val="000000" w:themeColor="text1"/>
              </w:rPr>
            </w:pPr>
          </w:p>
          <w:p w14:paraId="196EE3AB" w14:textId="77777777" w:rsidR="003C2DF7" w:rsidRPr="00EF633E" w:rsidRDefault="003C2DF7" w:rsidP="00D044DF">
            <w:pPr>
              <w:jc w:val="center"/>
              <w:rPr>
                <w:rFonts w:ascii="Arial" w:hAnsi="Arial" w:cs="Arial"/>
                <w:b/>
                <w:color w:val="000000" w:themeColor="text1"/>
              </w:rPr>
            </w:pPr>
          </w:p>
          <w:p w14:paraId="25849EF0" w14:textId="656D978C" w:rsidR="00BF274B" w:rsidRPr="00EF633E" w:rsidRDefault="00DD0AA6" w:rsidP="00BF274B">
            <w:pPr>
              <w:jc w:val="both"/>
              <w:rPr>
                <w:rFonts w:ascii="Arial" w:hAnsi="Arial" w:cs="Arial"/>
                <w:b/>
                <w:color w:val="000000" w:themeColor="text1"/>
              </w:rPr>
            </w:pPr>
            <w:r w:rsidRPr="00EF633E">
              <w:rPr>
                <w:rFonts w:ascii="Arial" w:hAnsi="Arial"/>
                <w:b/>
                <w:color w:val="000000" w:themeColor="text1"/>
              </w:rPr>
              <w:t>Capítulo 7.22. Suministro de energía para vehículos eléctricos de carretera</w:t>
            </w:r>
          </w:p>
          <w:p w14:paraId="085531B6" w14:textId="77777777" w:rsidR="00614A41" w:rsidRPr="00EF633E" w:rsidRDefault="00614A41" w:rsidP="00BF274B">
            <w:pPr>
              <w:shd w:val="clear" w:color="auto" w:fill="FFFFFF" w:themeFill="background1"/>
              <w:jc w:val="both"/>
              <w:rPr>
                <w:rFonts w:ascii="Arial" w:hAnsi="Arial" w:cs="Arial"/>
                <w:color w:val="000000" w:themeColor="text1"/>
              </w:rPr>
            </w:pPr>
          </w:p>
          <w:p w14:paraId="7CD4CAC6" w14:textId="77777777" w:rsidR="00DD0AA6" w:rsidRPr="00EF633E" w:rsidRDefault="00DD0AA6" w:rsidP="00DD0AA6">
            <w:pPr>
              <w:rPr>
                <w:rFonts w:ascii="Arial" w:hAnsi="Arial" w:cs="Arial"/>
                <w:i/>
                <w:color w:val="000000" w:themeColor="text1"/>
              </w:rPr>
            </w:pPr>
            <w:r w:rsidRPr="00EF633E">
              <w:rPr>
                <w:rFonts w:ascii="Arial" w:hAnsi="Arial"/>
                <w:b/>
                <w:i/>
                <w:color w:val="000000" w:themeColor="text1"/>
              </w:rPr>
              <w:t xml:space="preserve">Sección 7.22.1. Ámbito de aplicación </w:t>
            </w:r>
          </w:p>
          <w:p w14:paraId="0A740A9D" w14:textId="77777777" w:rsidR="00DD0AA6" w:rsidRPr="00EF633E" w:rsidRDefault="00DD0AA6" w:rsidP="00DD0AA6">
            <w:pPr>
              <w:rPr>
                <w:rFonts w:ascii="Arial" w:hAnsi="Arial" w:cs="Arial"/>
                <w:color w:val="000000" w:themeColor="text1"/>
                <w:lang w:eastAsia="nl-NL"/>
              </w:rPr>
            </w:pPr>
          </w:p>
          <w:p w14:paraId="20C7E61B" w14:textId="0AB0C65F" w:rsidR="00DD0AA6" w:rsidRPr="00EF633E" w:rsidRDefault="00DD0AA6" w:rsidP="00DD0AA6">
            <w:pPr>
              <w:jc w:val="both"/>
              <w:rPr>
                <w:rFonts w:ascii="Arial" w:eastAsia="TrebuchetMS" w:hAnsi="Arial" w:cs="Arial"/>
                <w:color w:val="000000" w:themeColor="text1"/>
              </w:rPr>
            </w:pPr>
            <w:r w:rsidRPr="00EF633E">
              <w:rPr>
                <w:rFonts w:ascii="Arial" w:hAnsi="Arial"/>
                <w:color w:val="000000" w:themeColor="text1"/>
              </w:rPr>
              <w:t>Los requisitos generales de las demás partes de este Libro también serán aplicables a las instalaciones y los lugares especiales mencionados en este capítulo 7.22. Los requisitos de este capítulo complementan estos requisitos generales.</w:t>
            </w:r>
          </w:p>
          <w:p w14:paraId="2FD34EB6" w14:textId="77777777" w:rsidR="00DD0AA6" w:rsidRPr="00EF633E" w:rsidRDefault="00DD0AA6" w:rsidP="00DD0AA6">
            <w:pPr>
              <w:jc w:val="both"/>
              <w:rPr>
                <w:rFonts w:ascii="Arial" w:eastAsia="TrebuchetMS" w:hAnsi="Arial" w:cs="Arial"/>
                <w:color w:val="000000" w:themeColor="text1"/>
              </w:rPr>
            </w:pPr>
          </w:p>
          <w:p w14:paraId="587F58BC" w14:textId="1247DCA0" w:rsidR="00DD0AA6" w:rsidRPr="00EF633E" w:rsidRDefault="00DD0AA6" w:rsidP="00DD0AA6">
            <w:pPr>
              <w:jc w:val="both"/>
              <w:rPr>
                <w:rFonts w:ascii="Arial" w:eastAsia="TrebuchetMS" w:hAnsi="Arial" w:cs="Arial"/>
                <w:color w:val="000000" w:themeColor="text1"/>
              </w:rPr>
            </w:pPr>
            <w:r w:rsidRPr="00EF633E">
              <w:rPr>
                <w:rFonts w:ascii="Arial" w:hAnsi="Arial"/>
                <w:color w:val="000000" w:themeColor="text1"/>
              </w:rPr>
              <w:t>El presente capítulo se aplicará a las estaciones de carga de vehículos eléctricos de carretera cuyos trabajos de construcción o sustitución hayan comenzado a partir de la entrada en vigor del presente capítulo, así como a los circuitos:</w:t>
            </w:r>
          </w:p>
          <w:p w14:paraId="287BFC1D" w14:textId="77777777" w:rsidR="00DD0AA6" w:rsidRPr="00EF633E" w:rsidRDefault="00DD0AA6" w:rsidP="00DD0AA6">
            <w:pPr>
              <w:jc w:val="both"/>
              <w:rPr>
                <w:rFonts w:ascii="Arial" w:hAnsi="Arial" w:cs="Arial"/>
                <w:color w:val="000000" w:themeColor="text1"/>
              </w:rPr>
            </w:pPr>
          </w:p>
          <w:p w14:paraId="3783B9E1"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1) destinados a suministrar energía eléctrica a vehículos eléctricos; y, posiblemente,</w:t>
            </w:r>
          </w:p>
          <w:p w14:paraId="537EC24E" w14:textId="77777777" w:rsidR="00DD0AA6" w:rsidRPr="00EF633E" w:rsidRDefault="00DD0AA6" w:rsidP="00DD0AA6">
            <w:pPr>
              <w:jc w:val="both"/>
              <w:rPr>
                <w:rFonts w:ascii="Arial" w:hAnsi="Arial" w:cs="Arial"/>
                <w:color w:val="000000" w:themeColor="text1"/>
              </w:rPr>
            </w:pPr>
          </w:p>
          <w:p w14:paraId="40F114CF" w14:textId="77777777" w:rsidR="00DD0AA6" w:rsidRPr="00EF633E" w:rsidRDefault="00DD0AA6" w:rsidP="00DD0AA6">
            <w:pPr>
              <w:jc w:val="both"/>
              <w:rPr>
                <w:rFonts w:ascii="Arial" w:hAnsi="Arial" w:cs="Arial"/>
              </w:rPr>
            </w:pPr>
            <w:bookmarkStart w:id="2" w:name="_Hlk58498838"/>
            <w:r w:rsidRPr="00EF633E">
              <w:rPr>
                <w:rFonts w:ascii="Arial" w:hAnsi="Arial"/>
                <w:color w:val="000000" w:themeColor="text1"/>
              </w:rPr>
              <w:t>2) destinados a reinyectar la electricidad de las baterías de vehículos eléctricos</w:t>
            </w:r>
            <w:bookmarkEnd w:id="2"/>
            <w:r w:rsidRPr="00EF633E">
              <w:rPr>
                <w:rFonts w:ascii="Arial" w:hAnsi="Arial"/>
              </w:rPr>
              <w:t>.</w:t>
            </w:r>
          </w:p>
          <w:p w14:paraId="7BB8274E" w14:textId="77777777" w:rsidR="00DD0AA6" w:rsidRPr="00EF633E" w:rsidRDefault="00DD0AA6" w:rsidP="00DD0AA6">
            <w:pPr>
              <w:jc w:val="both"/>
              <w:rPr>
                <w:rFonts w:ascii="Arial" w:hAnsi="Arial" w:cs="Arial"/>
              </w:rPr>
            </w:pPr>
          </w:p>
          <w:p w14:paraId="62C8E0EE" w14:textId="0E616575" w:rsidR="00DD0AA6" w:rsidRPr="00EF633E" w:rsidRDefault="00DD0AA6" w:rsidP="00DD0AA6">
            <w:pPr>
              <w:jc w:val="both"/>
              <w:rPr>
                <w:rFonts w:ascii="Arial" w:hAnsi="Arial" w:cs="Arial"/>
                <w:color w:val="000000" w:themeColor="text1"/>
              </w:rPr>
            </w:pPr>
            <w:r w:rsidRPr="00EF633E">
              <w:rPr>
                <w:rFonts w:ascii="Arial" w:hAnsi="Arial"/>
                <w:color w:val="000000" w:themeColor="text1"/>
              </w:rPr>
              <w:t>Los circuitos mencionados en el párrafo anterior terminarán en el punto de conexión.</w:t>
            </w:r>
          </w:p>
          <w:p w14:paraId="497DEEDA" w14:textId="7F41079E" w:rsidR="007F5D52" w:rsidRPr="00EF633E" w:rsidRDefault="007F5D52" w:rsidP="00DD0AA6">
            <w:pPr>
              <w:jc w:val="both"/>
              <w:rPr>
                <w:rFonts w:ascii="Arial" w:hAnsi="Arial" w:cs="Arial"/>
                <w:color w:val="000000" w:themeColor="text1"/>
              </w:rPr>
            </w:pPr>
          </w:p>
          <w:p w14:paraId="7CCE4436" w14:textId="54594919" w:rsidR="007F5D52" w:rsidRPr="00EF633E" w:rsidRDefault="007F5D52" w:rsidP="00DD0AA6">
            <w:pPr>
              <w:jc w:val="both"/>
              <w:rPr>
                <w:rFonts w:ascii="Arial" w:hAnsi="Arial" w:cs="Arial"/>
                <w:color w:val="000000" w:themeColor="text1"/>
              </w:rPr>
            </w:pPr>
            <w:r w:rsidRPr="00EF633E">
              <w:rPr>
                <w:rFonts w:ascii="Arial" w:hAnsi="Arial"/>
                <w:color w:val="000000" w:themeColor="text1"/>
              </w:rPr>
              <w:t xml:space="preserve">Por lo tanto, las disposiciones del Libro 1, con la excepción de este capítulo, seguirán </w:t>
            </w:r>
            <w:proofErr w:type="gramStart"/>
            <w:r w:rsidRPr="00EF633E">
              <w:rPr>
                <w:rFonts w:ascii="Arial" w:hAnsi="Arial"/>
                <w:color w:val="000000" w:themeColor="text1"/>
              </w:rPr>
              <w:t>siendo de aplicación</w:t>
            </w:r>
            <w:proofErr w:type="gramEnd"/>
            <w:r w:rsidRPr="00EF633E">
              <w:rPr>
                <w:rFonts w:ascii="Arial" w:hAnsi="Arial"/>
                <w:color w:val="000000" w:themeColor="text1"/>
              </w:rPr>
              <w:t xml:space="preserve"> en:</w:t>
            </w:r>
          </w:p>
          <w:p w14:paraId="51D143C6" w14:textId="137062C2" w:rsidR="007F5D52" w:rsidRPr="00EF633E" w:rsidRDefault="007F5D52" w:rsidP="00DD0AA6">
            <w:pPr>
              <w:jc w:val="both"/>
              <w:rPr>
                <w:rFonts w:ascii="Arial" w:hAnsi="Arial" w:cs="Arial"/>
                <w:color w:val="000000" w:themeColor="text1"/>
              </w:rPr>
            </w:pPr>
          </w:p>
          <w:p w14:paraId="4169E159" w14:textId="4DDA49C7" w:rsidR="007F5D52" w:rsidRPr="00EF633E" w:rsidRDefault="007F5D52" w:rsidP="007F5D52">
            <w:pPr>
              <w:jc w:val="both"/>
              <w:rPr>
                <w:rFonts w:ascii="Arial" w:hAnsi="Arial" w:cs="Arial"/>
              </w:rPr>
            </w:pPr>
            <w:r w:rsidRPr="00EF633E">
              <w:rPr>
                <w:rFonts w:ascii="Arial" w:hAnsi="Arial"/>
              </w:rPr>
              <w:t>1) estaciones de carga existentes para los vehículos eléctricos de carretera cuya construcción comenzó antes de la entrada en vigor del presente capítulo;</w:t>
            </w:r>
          </w:p>
          <w:p w14:paraId="4A4D3ACC" w14:textId="77777777" w:rsidR="0001776B" w:rsidRPr="00EF633E" w:rsidRDefault="0001776B" w:rsidP="007F5D52">
            <w:pPr>
              <w:jc w:val="both"/>
              <w:rPr>
                <w:rFonts w:ascii="Arial" w:hAnsi="Arial" w:cs="Arial"/>
              </w:rPr>
            </w:pPr>
          </w:p>
          <w:p w14:paraId="3BD62698" w14:textId="38C347F7" w:rsidR="007F5D52" w:rsidRPr="00EF633E" w:rsidRDefault="007F5D52" w:rsidP="007F5D52">
            <w:pPr>
              <w:jc w:val="both"/>
              <w:rPr>
                <w:rFonts w:ascii="Arial" w:hAnsi="Arial" w:cs="Arial"/>
              </w:rPr>
            </w:pPr>
            <w:r w:rsidRPr="00EF633E">
              <w:rPr>
                <w:rFonts w:ascii="Arial" w:hAnsi="Arial"/>
              </w:rPr>
              <w:t>2) estaciones de carga para vehículos eléctricos de carretera cuyos proyectos de construcción, instalación o trabajos de sustitución hayan comenzado antes de la entrada en vigor del presente capítulo, sin perjuicio de que el control de cumplimiento que deba realizarse antes de su puesta en servicio pueda tener lugar cuando el presente capítulo haya entrado en vigor.</w:t>
            </w:r>
          </w:p>
          <w:p w14:paraId="21935BA7" w14:textId="77777777" w:rsidR="007F5D52" w:rsidRPr="00EF633E" w:rsidRDefault="007F5D52" w:rsidP="007F5D52">
            <w:pPr>
              <w:jc w:val="both"/>
              <w:rPr>
                <w:rFonts w:ascii="Arial" w:hAnsi="Arial" w:cs="Arial"/>
              </w:rPr>
            </w:pPr>
          </w:p>
          <w:p w14:paraId="2D2FE59E" w14:textId="7885F1E0" w:rsidR="007F5D52" w:rsidRPr="00EF633E" w:rsidRDefault="007F5D52" w:rsidP="007F5D52">
            <w:pPr>
              <w:jc w:val="both"/>
              <w:rPr>
                <w:rFonts w:ascii="Arial" w:hAnsi="Arial" w:cs="Arial"/>
              </w:rPr>
            </w:pPr>
            <w:r w:rsidRPr="00EF633E">
              <w:rPr>
                <w:rFonts w:ascii="Arial" w:hAnsi="Arial"/>
              </w:rPr>
              <w:t>Si una estación de carga existente mencionada en el punto 1, párrafo cuarto, se adapta a las disposiciones del capítulo 7.22., estará sujeta a un control de compatibilidad antes de su puesta en servicio, de conformidad con lo dispuesto en el capítulo 7.22.</w:t>
            </w:r>
          </w:p>
          <w:p w14:paraId="13F9FA61" w14:textId="77777777" w:rsidR="007F5D52" w:rsidRPr="00EF633E" w:rsidRDefault="007F5D52" w:rsidP="007F5D52">
            <w:pPr>
              <w:jc w:val="both"/>
              <w:rPr>
                <w:rFonts w:ascii="Arial" w:hAnsi="Arial" w:cs="Arial"/>
              </w:rPr>
            </w:pPr>
          </w:p>
          <w:p w14:paraId="78071E5F" w14:textId="13A03CB0" w:rsidR="007F5D52" w:rsidRPr="00EF633E" w:rsidRDefault="007F5D52" w:rsidP="007F5D52">
            <w:pPr>
              <w:jc w:val="both"/>
              <w:rPr>
                <w:rFonts w:ascii="Arial" w:hAnsi="Arial" w:cs="Arial"/>
                <w:color w:val="000000" w:themeColor="text1"/>
              </w:rPr>
            </w:pPr>
            <w:r w:rsidRPr="00EF633E">
              <w:rPr>
                <w:rFonts w:ascii="Arial" w:hAnsi="Arial"/>
              </w:rPr>
              <w:t>Si se adapta una estación de carga mencionada en el punto 2, párrafo cuarto, para cumplir con lo dispuesto en el capítulo 7.22., se informará en consecuencia al organismo autorizado encargado del control de cumplimiento antes de su entrada en servicio. Dicha circunstancia se mencionará en el informe de inspección.</w:t>
            </w:r>
          </w:p>
          <w:p w14:paraId="023EE1D2" w14:textId="1D98F1BB" w:rsidR="007F5D52" w:rsidRPr="00EF633E" w:rsidRDefault="007F5D52" w:rsidP="00DD0AA6">
            <w:pPr>
              <w:jc w:val="both"/>
              <w:rPr>
                <w:rFonts w:ascii="Arial" w:hAnsi="Arial" w:cs="Arial"/>
                <w:color w:val="000000" w:themeColor="text1"/>
              </w:rPr>
            </w:pPr>
          </w:p>
          <w:p w14:paraId="50B1E8C4" w14:textId="77777777" w:rsidR="007D1226" w:rsidRPr="00EF633E" w:rsidRDefault="007D1226" w:rsidP="007D1226">
            <w:pPr>
              <w:jc w:val="both"/>
              <w:rPr>
                <w:rFonts w:ascii="Arial" w:hAnsi="Arial" w:cs="Arial"/>
                <w:color w:val="000000" w:themeColor="text1"/>
              </w:rPr>
            </w:pPr>
            <w:r w:rsidRPr="00EF633E">
              <w:rPr>
                <w:rFonts w:ascii="Arial" w:hAnsi="Arial"/>
                <w:color w:val="000000" w:themeColor="text1"/>
              </w:rPr>
              <w:t>La instalación eléctrica fija destinada a suministrar energía a un vehículo eléctrico conectado a una fuente de electricidad sin una estación de carga fija específica para vehículos eléctricos está sujeta a los requisitos generales de las demás partes del presente Libro.</w:t>
            </w:r>
          </w:p>
          <w:p w14:paraId="0ED44CAA" w14:textId="588C5D25" w:rsidR="0053287B" w:rsidRPr="00EF633E" w:rsidRDefault="0053287B" w:rsidP="00DD0AA6">
            <w:pPr>
              <w:jc w:val="both"/>
              <w:rPr>
                <w:rFonts w:ascii="Arial" w:hAnsi="Arial" w:cs="Arial"/>
                <w:color w:val="000000" w:themeColor="text1"/>
              </w:rPr>
            </w:pPr>
          </w:p>
          <w:p w14:paraId="7D516316" w14:textId="77777777" w:rsidR="00DD0AA6" w:rsidRPr="00EF633E" w:rsidRDefault="00DD0AA6" w:rsidP="00DD0AA6">
            <w:pPr>
              <w:jc w:val="both"/>
              <w:rPr>
                <w:rFonts w:ascii="Arial" w:hAnsi="Arial" w:cs="Arial"/>
                <w:color w:val="000000" w:themeColor="text1"/>
              </w:rPr>
            </w:pPr>
            <w:r w:rsidRPr="00EF633E">
              <w:rPr>
                <w:rFonts w:ascii="Arial" w:hAnsi="Arial"/>
                <w:b/>
                <w:i/>
                <w:color w:val="000000" w:themeColor="text1"/>
              </w:rPr>
              <w:t xml:space="preserve">Sección 7.22.2. Términos y definiciones </w:t>
            </w:r>
          </w:p>
          <w:p w14:paraId="36534F8F" w14:textId="77777777" w:rsidR="00DD0AA6" w:rsidRPr="00EF633E" w:rsidRDefault="00DD0AA6" w:rsidP="00DD0AA6">
            <w:pPr>
              <w:jc w:val="both"/>
              <w:rPr>
                <w:rFonts w:ascii="Arial" w:hAnsi="Arial" w:cs="Arial"/>
                <w:b/>
                <w:bCs/>
                <w:color w:val="000000" w:themeColor="text1"/>
              </w:rPr>
            </w:pPr>
          </w:p>
          <w:p w14:paraId="351FF180" w14:textId="77777777" w:rsidR="00DD0AA6" w:rsidRPr="00EF633E" w:rsidRDefault="00DD0AA6" w:rsidP="00DD0AA6">
            <w:pPr>
              <w:jc w:val="both"/>
              <w:rPr>
                <w:rFonts w:ascii="Arial" w:hAnsi="Arial" w:cs="Arial"/>
                <w:color w:val="000000" w:themeColor="text1"/>
              </w:rPr>
            </w:pPr>
            <w:r w:rsidRPr="00EF633E">
              <w:rPr>
                <w:rFonts w:ascii="Arial" w:hAnsi="Arial"/>
                <w:b/>
                <w:color w:val="000000" w:themeColor="text1"/>
              </w:rPr>
              <w:lastRenderedPageBreak/>
              <w:t>Vehículo eléctrico de carretera (denominado en este capítulo como «vehículo eléctrico»):</w:t>
            </w:r>
            <w:r w:rsidRPr="00EF633E">
              <w:rPr>
                <w:rFonts w:ascii="Arial" w:hAnsi="Arial"/>
                <w:color w:val="000000" w:themeColor="text1"/>
              </w:rPr>
              <w:t xml:space="preserve"> cualquier vehículo propulsado por un motor eléctrico cuya corriente eléctrica proceda de un sistema de almacenamiento de energía recargable, destinado principalmente para su uso en carreteras públicas.</w:t>
            </w:r>
          </w:p>
          <w:p w14:paraId="25807918" w14:textId="77777777" w:rsidR="00DD0AA6" w:rsidRPr="00EF633E" w:rsidRDefault="00DD0AA6" w:rsidP="00DD0AA6">
            <w:pPr>
              <w:jc w:val="both"/>
              <w:rPr>
                <w:rFonts w:ascii="Arial" w:hAnsi="Arial" w:cs="Arial"/>
                <w:b/>
                <w:bCs/>
                <w:color w:val="000000" w:themeColor="text1"/>
              </w:rPr>
            </w:pPr>
          </w:p>
          <w:p w14:paraId="4CB24D08" w14:textId="77777777" w:rsidR="00DD0AA6" w:rsidRPr="00EF633E" w:rsidRDefault="00DD0AA6" w:rsidP="00DD0AA6">
            <w:pPr>
              <w:jc w:val="both"/>
              <w:rPr>
                <w:rFonts w:ascii="Arial" w:hAnsi="Arial" w:cs="Arial"/>
                <w:color w:val="000000" w:themeColor="text1"/>
              </w:rPr>
            </w:pPr>
            <w:r w:rsidRPr="00EF633E">
              <w:rPr>
                <w:rFonts w:ascii="Arial" w:hAnsi="Arial"/>
                <w:b/>
                <w:color w:val="000000" w:themeColor="text1"/>
              </w:rPr>
              <w:t>Estación de carga para vehículos eléctricos (denominada en este capítulo como «estación de carga»):</w:t>
            </w:r>
            <w:r w:rsidRPr="00EF633E">
              <w:rPr>
                <w:rFonts w:ascii="Arial" w:hAnsi="Arial"/>
                <w:color w:val="000000" w:themeColor="text1"/>
              </w:rPr>
              <w:t xml:space="preserve"> equipo o conjunto de equipos de la instalación fija permanentemente conectada con funciones dedicadas a la transferencia de energía eléctrica entre un vehículo eléctrico y la fuente de electricidad.</w:t>
            </w:r>
          </w:p>
          <w:p w14:paraId="3A25BC82" w14:textId="77777777" w:rsidR="00D903DF" w:rsidRPr="00EF633E" w:rsidRDefault="00D903DF" w:rsidP="00DD0AA6">
            <w:pPr>
              <w:jc w:val="both"/>
              <w:rPr>
                <w:rFonts w:ascii="Arial" w:hAnsi="Arial" w:cs="Arial"/>
                <w:b/>
                <w:bCs/>
              </w:rPr>
            </w:pPr>
          </w:p>
          <w:p w14:paraId="55AF01DB" w14:textId="77777777" w:rsidR="00DD0AA6" w:rsidRPr="00EF633E" w:rsidRDefault="00DD0AA6" w:rsidP="00DD0AA6">
            <w:pPr>
              <w:jc w:val="both"/>
              <w:rPr>
                <w:rFonts w:ascii="Arial" w:hAnsi="Arial" w:cs="Arial"/>
                <w:b/>
                <w:bCs/>
                <w:color w:val="000000" w:themeColor="text1"/>
              </w:rPr>
            </w:pPr>
            <w:r w:rsidRPr="00EF633E">
              <w:rPr>
                <w:rFonts w:ascii="Arial" w:hAnsi="Arial"/>
                <w:b/>
              </w:rPr>
              <w:t>Punto de conexión de una estación de carga para vehículos eléctricos (denominado en este capítulo como «punto de conexión»):</w:t>
            </w:r>
            <w:r w:rsidRPr="00EF633E">
              <w:rPr>
                <w:rFonts w:ascii="Arial" w:hAnsi="Arial"/>
              </w:rPr>
              <w:t xml:space="preserve"> punto de terminación que forma parte de la estación de carga a través de la cual </w:t>
            </w:r>
            <w:r w:rsidRPr="00EF633E">
              <w:rPr>
                <w:rFonts w:ascii="Arial" w:hAnsi="Arial"/>
                <w:color w:val="000000" w:themeColor="text1"/>
              </w:rPr>
              <w:t>se transmite la energía a o desde un vehículo eléctrico.</w:t>
            </w:r>
          </w:p>
          <w:p w14:paraId="35E711B1" w14:textId="77777777" w:rsidR="00DD0AA6" w:rsidRPr="00EF633E" w:rsidRDefault="00DD0AA6" w:rsidP="00DD0AA6">
            <w:pPr>
              <w:jc w:val="both"/>
              <w:rPr>
                <w:rFonts w:ascii="Arial" w:hAnsi="Arial" w:cs="Arial"/>
                <w:i/>
                <w:color w:val="000000" w:themeColor="text1"/>
              </w:rPr>
            </w:pPr>
          </w:p>
          <w:p w14:paraId="7C9E72B0" w14:textId="77777777" w:rsidR="00DD0AA6" w:rsidRPr="00EF633E" w:rsidRDefault="00DD0AA6" w:rsidP="00DD0AA6">
            <w:pPr>
              <w:jc w:val="both"/>
              <w:rPr>
                <w:rFonts w:ascii="Arial" w:hAnsi="Arial" w:cs="Arial"/>
                <w:i/>
                <w:color w:val="000000" w:themeColor="text1"/>
              </w:rPr>
            </w:pPr>
            <w:r w:rsidRPr="00EF633E">
              <w:rPr>
                <w:rFonts w:ascii="Arial" w:hAnsi="Arial"/>
                <w:i/>
                <w:color w:val="000000" w:themeColor="text1"/>
              </w:rPr>
              <w:t xml:space="preserve">Ejemplo: Toma de corriente en una estación de carga o en una toma móvil del vehículo. </w:t>
            </w:r>
          </w:p>
          <w:p w14:paraId="65A2BD66" w14:textId="1A54D647" w:rsidR="00DD0AA6" w:rsidRPr="00EF633E" w:rsidRDefault="00DD0AA6" w:rsidP="00DD0AA6">
            <w:pPr>
              <w:jc w:val="both"/>
              <w:rPr>
                <w:rFonts w:ascii="Arial" w:hAnsi="Arial" w:cs="Arial"/>
                <w:i/>
                <w:color w:val="000000" w:themeColor="text1"/>
              </w:rPr>
            </w:pPr>
          </w:p>
          <w:p w14:paraId="2F48EED0" w14:textId="77777777" w:rsidR="00DD0AA6" w:rsidRPr="00EF633E" w:rsidRDefault="00DD0AA6" w:rsidP="00DD0AA6">
            <w:pPr>
              <w:jc w:val="both"/>
              <w:rPr>
                <w:rFonts w:ascii="Arial" w:hAnsi="Arial" w:cs="Arial"/>
                <w:i/>
                <w:color w:val="000000" w:themeColor="text1"/>
              </w:rPr>
            </w:pPr>
            <w:r w:rsidRPr="00EF633E">
              <w:rPr>
                <w:rFonts w:ascii="Arial" w:hAnsi="Arial"/>
                <w:b/>
                <w:i/>
                <w:color w:val="000000" w:themeColor="text1"/>
              </w:rPr>
              <w:t xml:space="preserve">Sección 7.22.3. Determinación de la división de características generales-instalaciones </w:t>
            </w:r>
          </w:p>
          <w:p w14:paraId="1BFE659A" w14:textId="77777777" w:rsidR="00DD0AA6" w:rsidRPr="00EF633E" w:rsidRDefault="00DD0AA6" w:rsidP="00DD0AA6">
            <w:pPr>
              <w:jc w:val="both"/>
              <w:rPr>
                <w:rFonts w:ascii="Arial" w:hAnsi="Arial" w:cs="Arial"/>
                <w:b/>
                <w:color w:val="000000" w:themeColor="text1"/>
                <w:lang w:eastAsia="nl-NL"/>
              </w:rPr>
            </w:pPr>
          </w:p>
          <w:p w14:paraId="098C75BA"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Se prohíbe conectar una estación de carga a una instalación eléctrica fija por medio de una toma de corriente.</w:t>
            </w:r>
          </w:p>
          <w:p w14:paraId="6C8D1D8F" w14:textId="77777777" w:rsidR="00DD0AA6" w:rsidRPr="00EF633E" w:rsidRDefault="00DD0AA6" w:rsidP="00DD0AA6">
            <w:pPr>
              <w:jc w:val="both"/>
              <w:rPr>
                <w:rFonts w:ascii="Arial" w:hAnsi="Arial" w:cs="Arial"/>
                <w:color w:val="000000" w:themeColor="text1"/>
                <w:lang w:eastAsia="nl-NL"/>
              </w:rPr>
            </w:pPr>
          </w:p>
          <w:p w14:paraId="7CB3F19A"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Se facilita un circuito dedicado para cada punto de conexión.</w:t>
            </w:r>
          </w:p>
          <w:p w14:paraId="1E48AE7D" w14:textId="77777777" w:rsidR="00DD0AA6" w:rsidRPr="00EF633E" w:rsidRDefault="00DD0AA6" w:rsidP="00DD0AA6">
            <w:pPr>
              <w:jc w:val="both"/>
              <w:rPr>
                <w:rFonts w:ascii="Arial" w:hAnsi="Arial" w:cs="Arial"/>
                <w:color w:val="000000" w:themeColor="text1"/>
                <w:lang w:eastAsia="nl-NL"/>
              </w:rPr>
            </w:pPr>
          </w:p>
          <w:p w14:paraId="655AA988" w14:textId="77777777" w:rsidR="00DD0AA6" w:rsidRPr="00EF633E" w:rsidRDefault="00DD0AA6" w:rsidP="00DD0AA6">
            <w:pPr>
              <w:jc w:val="both"/>
              <w:rPr>
                <w:rFonts w:ascii="Arial" w:hAnsi="Arial" w:cs="Arial"/>
              </w:rPr>
            </w:pPr>
            <w:r w:rsidRPr="00EF633E">
              <w:rPr>
                <w:rFonts w:ascii="Arial" w:hAnsi="Arial"/>
              </w:rPr>
              <w:t>El requisito del párrafo anterior se cumple mediante la implantación de los aparatos de protección adecuados, bien en la instalación eléctrica fija aguas arriba o bien en la estación de carga (o en una combinación de ambas).</w:t>
            </w:r>
          </w:p>
          <w:p w14:paraId="6226A21E" w14:textId="77777777" w:rsidR="00DD0AA6" w:rsidRPr="00EF633E" w:rsidRDefault="00DD0AA6" w:rsidP="00DD0AA6">
            <w:pPr>
              <w:jc w:val="both"/>
              <w:rPr>
                <w:rFonts w:ascii="Arial" w:hAnsi="Arial" w:cs="Arial"/>
                <w:color w:val="000000" w:themeColor="text1"/>
                <w:lang w:eastAsia="nl-NL"/>
              </w:rPr>
            </w:pPr>
          </w:p>
          <w:p w14:paraId="7F263F52" w14:textId="77777777" w:rsidR="00DD0AA6" w:rsidRPr="00EF633E" w:rsidRDefault="00DD0AA6" w:rsidP="00DD0AA6">
            <w:pPr>
              <w:jc w:val="both"/>
              <w:rPr>
                <w:rFonts w:ascii="Arial" w:hAnsi="Arial" w:cs="Arial"/>
                <w:color w:val="000000" w:themeColor="text1"/>
                <w:lang w:eastAsia="nl-NL"/>
              </w:rPr>
            </w:pPr>
          </w:p>
          <w:p w14:paraId="4B415C89" w14:textId="1412941B" w:rsidR="00BF274B" w:rsidRPr="00EF633E" w:rsidRDefault="00DD0AA6" w:rsidP="00DD0AA6">
            <w:pPr>
              <w:jc w:val="both"/>
              <w:rPr>
                <w:rFonts w:ascii="Arial" w:hAnsi="Arial" w:cs="Arial"/>
                <w:color w:val="000000" w:themeColor="text1"/>
              </w:rPr>
            </w:pPr>
            <w:r w:rsidRPr="00EF633E">
              <w:rPr>
                <w:rFonts w:ascii="Arial" w:hAnsi="Arial"/>
                <w:color w:val="000000" w:themeColor="text1"/>
              </w:rPr>
              <w:t>Las figuras 7.17. a 7.20. muestran algunas configuraciones posibles a efectos de clarificación. La lista no es exhaustiva:</w:t>
            </w:r>
          </w:p>
          <w:p w14:paraId="08689D10" w14:textId="129DD840" w:rsidR="00BF274B" w:rsidRPr="00EF633E" w:rsidRDefault="00BF274B" w:rsidP="00BF274B">
            <w:pPr>
              <w:jc w:val="center"/>
              <w:rPr>
                <w:rFonts w:ascii="Arial" w:hAnsi="Arial" w:cs="Arial"/>
                <w:lang w:val="nl-BE"/>
              </w:rPr>
            </w:pPr>
          </w:p>
        </w:tc>
      </w:tr>
      <w:tr w:rsidR="00BF274B" w:rsidRPr="00EF633E" w14:paraId="2E40607B" w14:textId="77777777" w:rsidTr="00EB6A7E">
        <w:tc>
          <w:tcPr>
            <w:tcW w:w="9553" w:type="dxa"/>
            <w:gridSpan w:val="4"/>
          </w:tcPr>
          <w:p w14:paraId="0552BC3F" w14:textId="1635BD60" w:rsidR="00BF274B" w:rsidRPr="00EF633E" w:rsidRDefault="00BF274B" w:rsidP="00BF274B">
            <w:pPr>
              <w:jc w:val="both"/>
            </w:pPr>
            <w:r w:rsidRPr="00EF633E">
              <w:object w:dxaOrig="9525" w:dyaOrig="4470" w14:anchorId="72523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in" o:ole="">
                  <v:imagedata r:id="rId12" o:title=""/>
                </v:shape>
                <o:OLEObject Type="Embed" ProgID="PBrush" ShapeID="_x0000_i1025" DrawAspect="Content" ObjectID="_1728738213" r:id="rId13"/>
              </w:object>
            </w:r>
          </w:p>
          <w:tbl>
            <w:tblPr>
              <w:tblStyle w:val="TableGrid"/>
              <w:tblW w:w="9327" w:type="dxa"/>
              <w:tblLayout w:type="fixed"/>
              <w:tblLook w:val="04A0" w:firstRow="1" w:lastRow="0" w:firstColumn="1" w:lastColumn="0" w:noHBand="0" w:noVBand="1"/>
            </w:tblPr>
            <w:tblGrid>
              <w:gridCol w:w="4663"/>
              <w:gridCol w:w="4664"/>
            </w:tblGrid>
            <w:tr w:rsidR="000A56F6" w:rsidRPr="00EF633E" w14:paraId="03E40545" w14:textId="77777777" w:rsidTr="000A56F6">
              <w:tc>
                <w:tcPr>
                  <w:tcW w:w="4663" w:type="dxa"/>
                </w:tcPr>
                <w:p w14:paraId="19017FD1" w14:textId="71B71419" w:rsidR="000A56F6" w:rsidRPr="00EF633E" w:rsidRDefault="000A56F6" w:rsidP="000A56F6">
                  <w:pPr>
                    <w:jc w:val="both"/>
                    <w:rPr>
                      <w:rFonts w:ascii="Arial" w:hAnsi="Arial" w:cs="Arial"/>
                    </w:rPr>
                  </w:pPr>
                  <w:r w:rsidRPr="00EF633E">
                    <w:rPr>
                      <w:rFonts w:ascii="Arial" w:hAnsi="Arial"/>
                      <w:sz w:val="20"/>
                      <w:lang w:val="nl-BE"/>
                    </w:rPr>
                    <w:t>Point de connexion</w:t>
                  </w:r>
                </w:p>
              </w:tc>
              <w:tc>
                <w:tcPr>
                  <w:tcW w:w="4664" w:type="dxa"/>
                </w:tcPr>
                <w:p w14:paraId="50A7A09A" w14:textId="710B6923" w:rsidR="000A56F6" w:rsidRPr="00EF633E" w:rsidRDefault="000A56F6" w:rsidP="000A56F6">
                  <w:pPr>
                    <w:jc w:val="both"/>
                    <w:rPr>
                      <w:rFonts w:ascii="Arial" w:hAnsi="Arial" w:cs="Arial"/>
                      <w:b/>
                      <w:bCs/>
                    </w:rPr>
                  </w:pPr>
                  <w:r w:rsidRPr="00EF633E">
                    <w:rPr>
                      <w:rFonts w:ascii="Arial" w:hAnsi="Arial"/>
                      <w:sz w:val="20"/>
                    </w:rPr>
                    <w:t>Punto de conexión</w:t>
                  </w:r>
                </w:p>
              </w:tc>
            </w:tr>
            <w:tr w:rsidR="000A56F6" w:rsidRPr="00EF633E" w14:paraId="7AAC3ED2" w14:textId="77777777" w:rsidTr="000A56F6">
              <w:tc>
                <w:tcPr>
                  <w:tcW w:w="4663" w:type="dxa"/>
                </w:tcPr>
                <w:p w14:paraId="7343507A" w14:textId="197416B8" w:rsidR="000A56F6" w:rsidRPr="00EF633E" w:rsidRDefault="000A56F6" w:rsidP="000A56F6">
                  <w:pPr>
                    <w:jc w:val="both"/>
                    <w:rPr>
                      <w:rFonts w:ascii="Arial" w:hAnsi="Arial" w:cs="Arial"/>
                      <w:sz w:val="20"/>
                      <w:szCs w:val="20"/>
                    </w:rPr>
                  </w:pPr>
                  <w:r w:rsidRPr="00EF633E">
                    <w:rPr>
                      <w:rFonts w:ascii="Arial" w:hAnsi="Arial"/>
                      <w:sz w:val="20"/>
                      <w:lang w:val="nl-BE"/>
                    </w:rPr>
                    <w:t>Câble souple mobile</w:t>
                  </w:r>
                </w:p>
              </w:tc>
              <w:tc>
                <w:tcPr>
                  <w:tcW w:w="4664" w:type="dxa"/>
                </w:tcPr>
                <w:p w14:paraId="4302B418" w14:textId="5DCD49EA" w:rsidR="000A56F6" w:rsidRPr="00EF633E" w:rsidRDefault="000A56F6" w:rsidP="000A56F6">
                  <w:pPr>
                    <w:jc w:val="both"/>
                    <w:rPr>
                      <w:rFonts w:ascii="Arial" w:hAnsi="Arial" w:cs="Arial"/>
                      <w:b/>
                      <w:bCs/>
                    </w:rPr>
                  </w:pPr>
                  <w:r w:rsidRPr="00EF633E">
                    <w:rPr>
                      <w:rFonts w:ascii="Arial" w:hAnsi="Arial"/>
                      <w:sz w:val="20"/>
                    </w:rPr>
                    <w:t>Cable móvil flexible</w:t>
                  </w:r>
                </w:p>
              </w:tc>
            </w:tr>
            <w:tr w:rsidR="000A56F6" w:rsidRPr="00EF633E" w14:paraId="335A58B1" w14:textId="77777777" w:rsidTr="000A56F6">
              <w:tc>
                <w:tcPr>
                  <w:tcW w:w="4663" w:type="dxa"/>
                </w:tcPr>
                <w:p w14:paraId="55CD6C21" w14:textId="6E6A14CE" w:rsidR="000A56F6" w:rsidRPr="00EF633E" w:rsidRDefault="000A56F6" w:rsidP="000A56F6">
                  <w:pPr>
                    <w:jc w:val="both"/>
                    <w:rPr>
                      <w:rFonts w:ascii="Arial" w:hAnsi="Arial" w:cs="Arial"/>
                      <w:sz w:val="20"/>
                      <w:szCs w:val="20"/>
                    </w:rPr>
                  </w:pPr>
                  <w:r w:rsidRPr="00EF633E">
                    <w:rPr>
                      <w:rFonts w:ascii="Arial" w:hAnsi="Arial"/>
                      <w:sz w:val="20"/>
                      <w:lang w:val="nl-BE"/>
                    </w:rPr>
                    <w:t>Alimentation</w:t>
                  </w:r>
                </w:p>
              </w:tc>
              <w:tc>
                <w:tcPr>
                  <w:tcW w:w="4664" w:type="dxa"/>
                </w:tcPr>
                <w:p w14:paraId="4952DA63" w14:textId="27998CEC" w:rsidR="000A56F6" w:rsidRPr="00EF633E" w:rsidRDefault="000A56F6" w:rsidP="000A56F6">
                  <w:pPr>
                    <w:jc w:val="both"/>
                    <w:rPr>
                      <w:rFonts w:ascii="Arial" w:hAnsi="Arial" w:cs="Arial"/>
                      <w:b/>
                      <w:bCs/>
                    </w:rPr>
                  </w:pPr>
                  <w:r w:rsidRPr="00EF633E">
                    <w:rPr>
                      <w:rFonts w:ascii="Arial" w:hAnsi="Arial"/>
                      <w:sz w:val="20"/>
                    </w:rPr>
                    <w:t>Suministro</w:t>
                  </w:r>
                </w:p>
              </w:tc>
            </w:tr>
            <w:tr w:rsidR="000A56F6" w:rsidRPr="00EF633E" w14:paraId="21BDEA3C" w14:textId="77777777" w:rsidTr="000A56F6">
              <w:tc>
                <w:tcPr>
                  <w:tcW w:w="4663" w:type="dxa"/>
                </w:tcPr>
                <w:p w14:paraId="138BD0F7" w14:textId="78E86A27" w:rsidR="000A56F6" w:rsidRPr="00EF633E" w:rsidRDefault="000A56F6" w:rsidP="000A56F6">
                  <w:pPr>
                    <w:jc w:val="both"/>
                    <w:rPr>
                      <w:rFonts w:ascii="Arial" w:hAnsi="Arial" w:cs="Arial"/>
                      <w:sz w:val="20"/>
                      <w:szCs w:val="20"/>
                      <w:lang w:val="fr-FR"/>
                    </w:rPr>
                  </w:pPr>
                  <w:r w:rsidRPr="00EF633E">
                    <w:rPr>
                      <w:rFonts w:ascii="Arial" w:hAnsi="Arial"/>
                      <w:sz w:val="20"/>
                      <w:lang w:val="fr-FR"/>
                    </w:rPr>
                    <w:t>Tableau de manœuvre et de répartition</w:t>
                  </w:r>
                </w:p>
              </w:tc>
              <w:tc>
                <w:tcPr>
                  <w:tcW w:w="4664" w:type="dxa"/>
                </w:tcPr>
                <w:p w14:paraId="74F0F976" w14:textId="48BFF753" w:rsidR="000A56F6" w:rsidRPr="00EF633E" w:rsidRDefault="000A56F6" w:rsidP="000A56F6">
                  <w:pPr>
                    <w:jc w:val="both"/>
                    <w:rPr>
                      <w:rFonts w:ascii="Arial" w:hAnsi="Arial" w:cs="Arial"/>
                      <w:b/>
                      <w:bCs/>
                    </w:rPr>
                  </w:pPr>
                  <w:r w:rsidRPr="00EF633E">
                    <w:rPr>
                      <w:rFonts w:ascii="Arial" w:hAnsi="Arial"/>
                      <w:sz w:val="20"/>
                    </w:rPr>
                    <w:t>Panel de operación y distribución</w:t>
                  </w:r>
                </w:p>
              </w:tc>
            </w:tr>
            <w:tr w:rsidR="000A56F6" w:rsidRPr="00EF633E" w14:paraId="024B7DA7" w14:textId="77777777" w:rsidTr="000A56F6">
              <w:tc>
                <w:tcPr>
                  <w:tcW w:w="4663" w:type="dxa"/>
                </w:tcPr>
                <w:p w14:paraId="77CAEAD1" w14:textId="54BC0807" w:rsidR="000A56F6" w:rsidRPr="00EF633E" w:rsidRDefault="000A56F6" w:rsidP="000A56F6">
                  <w:pPr>
                    <w:jc w:val="both"/>
                    <w:rPr>
                      <w:rFonts w:ascii="Arial" w:hAnsi="Arial" w:cs="Arial"/>
                      <w:sz w:val="20"/>
                      <w:szCs w:val="20"/>
                    </w:rPr>
                  </w:pPr>
                  <w:r w:rsidRPr="00EF633E">
                    <w:rPr>
                      <w:rFonts w:ascii="Arial" w:hAnsi="Arial"/>
                      <w:sz w:val="20"/>
                    </w:rPr>
                    <w:t>Borne de charge</w:t>
                  </w:r>
                </w:p>
              </w:tc>
              <w:tc>
                <w:tcPr>
                  <w:tcW w:w="4664" w:type="dxa"/>
                </w:tcPr>
                <w:p w14:paraId="7F69240C" w14:textId="078010D5" w:rsidR="000A56F6" w:rsidRPr="00EF633E" w:rsidRDefault="000A56F6" w:rsidP="000A56F6">
                  <w:pPr>
                    <w:jc w:val="both"/>
                    <w:rPr>
                      <w:rFonts w:ascii="Arial" w:hAnsi="Arial" w:cs="Arial"/>
                      <w:b/>
                      <w:bCs/>
                    </w:rPr>
                  </w:pPr>
                  <w:r w:rsidRPr="00EF633E">
                    <w:rPr>
                      <w:rFonts w:ascii="Arial" w:hAnsi="Arial"/>
                      <w:sz w:val="20"/>
                    </w:rPr>
                    <w:t>Estación de carga</w:t>
                  </w:r>
                </w:p>
              </w:tc>
            </w:tr>
            <w:tr w:rsidR="000A56F6" w:rsidRPr="00EF633E" w14:paraId="05D5883B" w14:textId="77777777" w:rsidTr="000A56F6">
              <w:tc>
                <w:tcPr>
                  <w:tcW w:w="4663" w:type="dxa"/>
                </w:tcPr>
                <w:p w14:paraId="3FE00913" w14:textId="6C7E6C95" w:rsidR="000A56F6" w:rsidRPr="00EF633E" w:rsidRDefault="000A56F6" w:rsidP="000A56F6">
                  <w:pPr>
                    <w:jc w:val="both"/>
                    <w:rPr>
                      <w:rFonts w:ascii="Arial" w:hAnsi="Arial" w:cs="Arial"/>
                      <w:sz w:val="20"/>
                      <w:szCs w:val="20"/>
                    </w:rPr>
                  </w:pPr>
                  <w:r w:rsidRPr="00EF633E">
                    <w:rPr>
                      <w:rFonts w:ascii="Arial" w:hAnsi="Arial"/>
                      <w:sz w:val="20"/>
                    </w:rPr>
                    <w:t>Véhicule électrique</w:t>
                  </w:r>
                </w:p>
              </w:tc>
              <w:tc>
                <w:tcPr>
                  <w:tcW w:w="4664" w:type="dxa"/>
                </w:tcPr>
                <w:p w14:paraId="293ECB5E" w14:textId="57128183" w:rsidR="000A56F6" w:rsidRPr="00EF633E" w:rsidRDefault="000A56F6" w:rsidP="000A56F6">
                  <w:pPr>
                    <w:jc w:val="both"/>
                    <w:rPr>
                      <w:rFonts w:ascii="Arial" w:hAnsi="Arial" w:cs="Arial"/>
                      <w:b/>
                      <w:bCs/>
                    </w:rPr>
                  </w:pPr>
                  <w:r w:rsidRPr="00EF633E">
                    <w:rPr>
                      <w:rFonts w:ascii="Arial" w:hAnsi="Arial"/>
                      <w:sz w:val="20"/>
                    </w:rPr>
                    <w:t>Vehículo eléctrico</w:t>
                  </w:r>
                </w:p>
              </w:tc>
            </w:tr>
            <w:tr w:rsidR="000A56F6" w:rsidRPr="00EF633E" w14:paraId="71425E02" w14:textId="77777777" w:rsidTr="000A56F6">
              <w:tc>
                <w:tcPr>
                  <w:tcW w:w="4663" w:type="dxa"/>
                </w:tcPr>
                <w:p w14:paraId="33339C6C" w14:textId="221EE72E" w:rsidR="000A56F6" w:rsidRPr="00EF633E" w:rsidRDefault="000A56F6" w:rsidP="000A56F6">
                  <w:pPr>
                    <w:jc w:val="both"/>
                    <w:rPr>
                      <w:rFonts w:ascii="Arial" w:hAnsi="Arial" w:cs="Arial"/>
                      <w:sz w:val="20"/>
                      <w:szCs w:val="20"/>
                    </w:rPr>
                  </w:pPr>
                  <w:r w:rsidRPr="00EF633E">
                    <w:rPr>
                      <w:rFonts w:ascii="Arial" w:hAnsi="Arial"/>
                      <w:sz w:val="20"/>
                    </w:rPr>
                    <w:t>Circuit dédié</w:t>
                  </w:r>
                </w:p>
              </w:tc>
              <w:tc>
                <w:tcPr>
                  <w:tcW w:w="4664" w:type="dxa"/>
                </w:tcPr>
                <w:p w14:paraId="218EAC0A" w14:textId="7BFF5906" w:rsidR="000A56F6" w:rsidRPr="00EF633E" w:rsidRDefault="000A56F6" w:rsidP="000A56F6">
                  <w:pPr>
                    <w:jc w:val="both"/>
                    <w:rPr>
                      <w:rFonts w:ascii="Arial" w:hAnsi="Arial" w:cs="Arial"/>
                      <w:b/>
                      <w:bCs/>
                    </w:rPr>
                  </w:pPr>
                  <w:r w:rsidRPr="00EF633E">
                    <w:rPr>
                      <w:rFonts w:ascii="Arial" w:hAnsi="Arial"/>
                      <w:sz w:val="20"/>
                    </w:rPr>
                    <w:t>Circuito dedicado</w:t>
                  </w:r>
                </w:p>
              </w:tc>
            </w:tr>
          </w:tbl>
          <w:p w14:paraId="26AEC2B9" w14:textId="77777777" w:rsidR="000049F2" w:rsidRPr="00EF633E" w:rsidRDefault="000049F2" w:rsidP="00BF274B">
            <w:pPr>
              <w:jc w:val="both"/>
              <w:rPr>
                <w:rFonts w:ascii="Arial" w:hAnsi="Arial" w:cs="Arial"/>
                <w:b/>
                <w:bCs/>
              </w:rPr>
            </w:pPr>
          </w:p>
          <w:p w14:paraId="520C7B87" w14:textId="77777777" w:rsidR="00BF274B" w:rsidRPr="00EF633E" w:rsidRDefault="00BF274B" w:rsidP="00BF274B">
            <w:pPr>
              <w:jc w:val="center"/>
              <w:rPr>
                <w:rFonts w:ascii="Arial" w:hAnsi="Arial" w:cs="Arial"/>
                <w:b/>
                <w:i/>
                <w:color w:val="000000" w:themeColor="text1"/>
                <w:sz w:val="16"/>
                <w:szCs w:val="16"/>
              </w:rPr>
            </w:pPr>
            <w:r w:rsidRPr="00EF633E">
              <w:rPr>
                <w:rFonts w:ascii="Arial" w:hAnsi="Arial"/>
                <w:b/>
                <w:i/>
                <w:color w:val="000000" w:themeColor="text1"/>
                <w:sz w:val="16"/>
              </w:rPr>
              <w:t xml:space="preserve">Figura 7.17. Estación de carga con un punto de conexión de tipo «toma móvil de vehículo» que forma parte de la estación de carga (dispositivo de protección contra sobrecorriente del circuito dedicado integrado en el panel de operación y distribución) </w:t>
            </w:r>
          </w:p>
          <w:p w14:paraId="45EC109A" w14:textId="77777777" w:rsidR="00BF274B" w:rsidRPr="00EF633E" w:rsidRDefault="00BF274B" w:rsidP="00BF274B">
            <w:pPr>
              <w:jc w:val="both"/>
              <w:rPr>
                <w:rFonts w:ascii="Arial" w:hAnsi="Arial" w:cs="Arial"/>
                <w:b/>
                <w:bCs/>
              </w:rPr>
            </w:pPr>
          </w:p>
          <w:p w14:paraId="0C45C3A2" w14:textId="77777777" w:rsidR="00BF274B" w:rsidRPr="00EF633E" w:rsidRDefault="00BF274B" w:rsidP="00BF274B">
            <w:pPr>
              <w:jc w:val="center"/>
              <w:rPr>
                <w:rFonts w:ascii="Arial" w:hAnsi="Arial" w:cs="Arial"/>
                <w:b/>
                <w:bCs/>
              </w:rPr>
            </w:pPr>
            <w:r w:rsidRPr="00EF633E">
              <w:object w:dxaOrig="6960" w:dyaOrig="4500" w14:anchorId="57A2DD5C">
                <v:shape id="_x0000_i1026" type="#_x0000_t75" style="width:346.8pt;height:223.2pt" o:ole="">
                  <v:imagedata r:id="rId14" o:title=""/>
                </v:shape>
                <o:OLEObject Type="Embed" ProgID="PBrush" ShapeID="_x0000_i1026" DrawAspect="Content" ObjectID="_1728738214" r:id="rId15"/>
              </w:object>
            </w:r>
          </w:p>
          <w:tbl>
            <w:tblPr>
              <w:tblStyle w:val="TableGrid"/>
              <w:tblW w:w="9327" w:type="dxa"/>
              <w:tblLayout w:type="fixed"/>
              <w:tblLook w:val="04A0" w:firstRow="1" w:lastRow="0" w:firstColumn="1" w:lastColumn="0" w:noHBand="0" w:noVBand="1"/>
            </w:tblPr>
            <w:tblGrid>
              <w:gridCol w:w="4663"/>
              <w:gridCol w:w="4664"/>
            </w:tblGrid>
            <w:tr w:rsidR="00067D4A" w:rsidRPr="00EF633E" w14:paraId="09FD5F05" w14:textId="77777777" w:rsidTr="00A40009">
              <w:tc>
                <w:tcPr>
                  <w:tcW w:w="4663" w:type="dxa"/>
                </w:tcPr>
                <w:p w14:paraId="0C2BD7F0" w14:textId="77777777" w:rsidR="00067D4A" w:rsidRPr="00EF633E" w:rsidRDefault="00067D4A" w:rsidP="00067D4A">
                  <w:pPr>
                    <w:jc w:val="both"/>
                    <w:rPr>
                      <w:rFonts w:ascii="Arial" w:hAnsi="Arial" w:cs="Arial"/>
                    </w:rPr>
                  </w:pPr>
                  <w:r w:rsidRPr="00EF633E">
                    <w:rPr>
                      <w:rFonts w:ascii="Arial" w:hAnsi="Arial"/>
                      <w:sz w:val="20"/>
                    </w:rPr>
                    <w:t>Point de connexion</w:t>
                  </w:r>
                </w:p>
              </w:tc>
              <w:tc>
                <w:tcPr>
                  <w:tcW w:w="4664" w:type="dxa"/>
                </w:tcPr>
                <w:p w14:paraId="0907C42B" w14:textId="77777777" w:rsidR="00067D4A" w:rsidRPr="00EF633E" w:rsidRDefault="00067D4A" w:rsidP="00067D4A">
                  <w:pPr>
                    <w:jc w:val="both"/>
                    <w:rPr>
                      <w:rFonts w:ascii="Arial" w:hAnsi="Arial" w:cs="Arial"/>
                      <w:b/>
                      <w:bCs/>
                    </w:rPr>
                  </w:pPr>
                  <w:r w:rsidRPr="00EF633E">
                    <w:rPr>
                      <w:rFonts w:ascii="Arial" w:hAnsi="Arial"/>
                      <w:sz w:val="20"/>
                    </w:rPr>
                    <w:t>Punto de conexión</w:t>
                  </w:r>
                </w:p>
              </w:tc>
            </w:tr>
            <w:tr w:rsidR="00067D4A" w:rsidRPr="00EF633E" w14:paraId="15E3411C" w14:textId="77777777" w:rsidTr="00A40009">
              <w:tc>
                <w:tcPr>
                  <w:tcW w:w="4663" w:type="dxa"/>
                </w:tcPr>
                <w:p w14:paraId="5832FB89" w14:textId="77777777" w:rsidR="00067D4A" w:rsidRPr="00EF633E" w:rsidRDefault="00067D4A" w:rsidP="00067D4A">
                  <w:pPr>
                    <w:jc w:val="both"/>
                    <w:rPr>
                      <w:rFonts w:ascii="Arial" w:hAnsi="Arial" w:cs="Arial"/>
                      <w:sz w:val="20"/>
                      <w:szCs w:val="20"/>
                    </w:rPr>
                  </w:pPr>
                  <w:r w:rsidRPr="00EF633E">
                    <w:rPr>
                      <w:rFonts w:ascii="Arial" w:hAnsi="Arial"/>
                      <w:sz w:val="20"/>
                    </w:rPr>
                    <w:t>Câble souple mobile</w:t>
                  </w:r>
                </w:p>
              </w:tc>
              <w:tc>
                <w:tcPr>
                  <w:tcW w:w="4664" w:type="dxa"/>
                </w:tcPr>
                <w:p w14:paraId="36E8A3DE" w14:textId="77777777" w:rsidR="00067D4A" w:rsidRPr="00EF633E" w:rsidRDefault="00067D4A" w:rsidP="00067D4A">
                  <w:pPr>
                    <w:jc w:val="both"/>
                    <w:rPr>
                      <w:rFonts w:ascii="Arial" w:hAnsi="Arial" w:cs="Arial"/>
                      <w:b/>
                      <w:bCs/>
                    </w:rPr>
                  </w:pPr>
                  <w:r w:rsidRPr="00EF633E">
                    <w:rPr>
                      <w:rFonts w:ascii="Arial" w:hAnsi="Arial"/>
                      <w:sz w:val="20"/>
                    </w:rPr>
                    <w:t>Cable móvil flexible</w:t>
                  </w:r>
                </w:p>
              </w:tc>
            </w:tr>
            <w:tr w:rsidR="00067D4A" w:rsidRPr="00EF633E" w14:paraId="2F5957E4" w14:textId="77777777" w:rsidTr="00A40009">
              <w:tc>
                <w:tcPr>
                  <w:tcW w:w="4663" w:type="dxa"/>
                </w:tcPr>
                <w:p w14:paraId="4A459142" w14:textId="77777777" w:rsidR="00067D4A" w:rsidRPr="00EF633E" w:rsidRDefault="00067D4A" w:rsidP="00067D4A">
                  <w:pPr>
                    <w:jc w:val="both"/>
                    <w:rPr>
                      <w:rFonts w:ascii="Arial" w:hAnsi="Arial" w:cs="Arial"/>
                      <w:sz w:val="20"/>
                      <w:szCs w:val="20"/>
                    </w:rPr>
                  </w:pPr>
                  <w:r w:rsidRPr="00EF633E">
                    <w:rPr>
                      <w:rFonts w:ascii="Arial" w:hAnsi="Arial"/>
                      <w:sz w:val="20"/>
                    </w:rPr>
                    <w:t>Alimentation</w:t>
                  </w:r>
                </w:p>
              </w:tc>
              <w:tc>
                <w:tcPr>
                  <w:tcW w:w="4664" w:type="dxa"/>
                </w:tcPr>
                <w:p w14:paraId="69E272C1" w14:textId="77777777" w:rsidR="00067D4A" w:rsidRPr="00EF633E" w:rsidRDefault="00067D4A" w:rsidP="00067D4A">
                  <w:pPr>
                    <w:jc w:val="both"/>
                    <w:rPr>
                      <w:rFonts w:ascii="Arial" w:hAnsi="Arial" w:cs="Arial"/>
                      <w:b/>
                      <w:bCs/>
                    </w:rPr>
                  </w:pPr>
                  <w:r w:rsidRPr="00EF633E">
                    <w:rPr>
                      <w:rFonts w:ascii="Arial" w:hAnsi="Arial"/>
                      <w:sz w:val="20"/>
                    </w:rPr>
                    <w:t>Suministro</w:t>
                  </w:r>
                </w:p>
              </w:tc>
            </w:tr>
            <w:tr w:rsidR="00067D4A" w:rsidRPr="00EF633E" w14:paraId="4CBD734A" w14:textId="77777777" w:rsidTr="00A40009">
              <w:tc>
                <w:tcPr>
                  <w:tcW w:w="4663" w:type="dxa"/>
                </w:tcPr>
                <w:p w14:paraId="4FD008A6" w14:textId="77777777" w:rsidR="00067D4A" w:rsidRPr="00EF633E" w:rsidRDefault="00067D4A" w:rsidP="00067D4A">
                  <w:pPr>
                    <w:jc w:val="both"/>
                    <w:rPr>
                      <w:rFonts w:ascii="Arial" w:hAnsi="Arial" w:cs="Arial"/>
                      <w:sz w:val="20"/>
                      <w:szCs w:val="20"/>
                    </w:rPr>
                  </w:pPr>
                  <w:r w:rsidRPr="00EF633E">
                    <w:rPr>
                      <w:rFonts w:ascii="Arial" w:hAnsi="Arial"/>
                      <w:sz w:val="20"/>
                    </w:rPr>
                    <w:t>Borne de charge</w:t>
                  </w:r>
                </w:p>
              </w:tc>
              <w:tc>
                <w:tcPr>
                  <w:tcW w:w="4664" w:type="dxa"/>
                </w:tcPr>
                <w:p w14:paraId="7AE8B6E5" w14:textId="77777777" w:rsidR="00067D4A" w:rsidRPr="00EF633E" w:rsidRDefault="00067D4A" w:rsidP="00067D4A">
                  <w:pPr>
                    <w:jc w:val="both"/>
                    <w:rPr>
                      <w:rFonts w:ascii="Arial" w:hAnsi="Arial" w:cs="Arial"/>
                      <w:b/>
                      <w:bCs/>
                    </w:rPr>
                  </w:pPr>
                  <w:r w:rsidRPr="00EF633E">
                    <w:rPr>
                      <w:rFonts w:ascii="Arial" w:hAnsi="Arial"/>
                      <w:sz w:val="20"/>
                    </w:rPr>
                    <w:t>Estación de carga</w:t>
                  </w:r>
                </w:p>
              </w:tc>
            </w:tr>
            <w:tr w:rsidR="00067D4A" w:rsidRPr="00EF633E" w14:paraId="7AED0501" w14:textId="77777777" w:rsidTr="00A40009">
              <w:tc>
                <w:tcPr>
                  <w:tcW w:w="4663" w:type="dxa"/>
                </w:tcPr>
                <w:p w14:paraId="1AFCC0B7" w14:textId="77777777" w:rsidR="00067D4A" w:rsidRPr="00EF633E" w:rsidRDefault="00067D4A" w:rsidP="00067D4A">
                  <w:pPr>
                    <w:jc w:val="both"/>
                    <w:rPr>
                      <w:rFonts w:ascii="Arial" w:hAnsi="Arial" w:cs="Arial"/>
                      <w:sz w:val="20"/>
                      <w:szCs w:val="20"/>
                    </w:rPr>
                  </w:pPr>
                  <w:r w:rsidRPr="00EF633E">
                    <w:rPr>
                      <w:rFonts w:ascii="Arial" w:hAnsi="Arial"/>
                      <w:sz w:val="20"/>
                    </w:rPr>
                    <w:t>Véhicule électrique</w:t>
                  </w:r>
                </w:p>
              </w:tc>
              <w:tc>
                <w:tcPr>
                  <w:tcW w:w="4664" w:type="dxa"/>
                </w:tcPr>
                <w:p w14:paraId="6D79F65B" w14:textId="77777777" w:rsidR="00067D4A" w:rsidRPr="00EF633E" w:rsidRDefault="00067D4A" w:rsidP="00067D4A">
                  <w:pPr>
                    <w:jc w:val="both"/>
                    <w:rPr>
                      <w:rFonts w:ascii="Arial" w:hAnsi="Arial" w:cs="Arial"/>
                      <w:b/>
                      <w:bCs/>
                    </w:rPr>
                  </w:pPr>
                  <w:r w:rsidRPr="00EF633E">
                    <w:rPr>
                      <w:rFonts w:ascii="Arial" w:hAnsi="Arial"/>
                      <w:sz w:val="20"/>
                    </w:rPr>
                    <w:t>Vehículo eléctrico</w:t>
                  </w:r>
                </w:p>
              </w:tc>
            </w:tr>
            <w:tr w:rsidR="00067D4A" w:rsidRPr="00EF633E" w14:paraId="27348DE3" w14:textId="77777777" w:rsidTr="00A40009">
              <w:tc>
                <w:tcPr>
                  <w:tcW w:w="4663" w:type="dxa"/>
                </w:tcPr>
                <w:p w14:paraId="71E5F29E" w14:textId="77777777" w:rsidR="00067D4A" w:rsidRPr="00EF633E" w:rsidRDefault="00067D4A" w:rsidP="00067D4A">
                  <w:pPr>
                    <w:jc w:val="both"/>
                    <w:rPr>
                      <w:rFonts w:ascii="Arial" w:hAnsi="Arial" w:cs="Arial"/>
                      <w:sz w:val="20"/>
                      <w:szCs w:val="20"/>
                    </w:rPr>
                  </w:pPr>
                  <w:r w:rsidRPr="00EF633E">
                    <w:rPr>
                      <w:rFonts w:ascii="Arial" w:hAnsi="Arial"/>
                      <w:sz w:val="20"/>
                    </w:rPr>
                    <w:t>Circuit dédié</w:t>
                  </w:r>
                </w:p>
              </w:tc>
              <w:tc>
                <w:tcPr>
                  <w:tcW w:w="4664" w:type="dxa"/>
                </w:tcPr>
                <w:p w14:paraId="1D998FF6" w14:textId="77777777" w:rsidR="00067D4A" w:rsidRPr="00EF633E" w:rsidRDefault="00067D4A" w:rsidP="00067D4A">
                  <w:pPr>
                    <w:jc w:val="both"/>
                    <w:rPr>
                      <w:rFonts w:ascii="Arial" w:hAnsi="Arial" w:cs="Arial"/>
                      <w:b/>
                      <w:bCs/>
                    </w:rPr>
                  </w:pPr>
                  <w:r w:rsidRPr="00EF633E">
                    <w:rPr>
                      <w:rFonts w:ascii="Arial" w:hAnsi="Arial"/>
                      <w:sz w:val="20"/>
                    </w:rPr>
                    <w:t>Circuito dedicado</w:t>
                  </w:r>
                </w:p>
              </w:tc>
            </w:tr>
          </w:tbl>
          <w:p w14:paraId="6B6ECF9A" w14:textId="77777777" w:rsidR="00BF274B" w:rsidRPr="00EF633E" w:rsidRDefault="00BF274B" w:rsidP="00BF274B">
            <w:pPr>
              <w:jc w:val="both"/>
              <w:rPr>
                <w:rFonts w:ascii="Arial" w:hAnsi="Arial" w:cs="Arial"/>
                <w:b/>
                <w:bCs/>
              </w:rPr>
            </w:pPr>
          </w:p>
          <w:p w14:paraId="151F382A" w14:textId="77777777" w:rsidR="00BF274B" w:rsidRPr="00EF633E" w:rsidRDefault="00BF274B" w:rsidP="00BF274B">
            <w:pPr>
              <w:jc w:val="center"/>
              <w:rPr>
                <w:rFonts w:ascii="Arial" w:hAnsi="Arial" w:cs="Arial"/>
                <w:b/>
                <w:i/>
                <w:color w:val="000000" w:themeColor="text1"/>
                <w:sz w:val="16"/>
                <w:szCs w:val="16"/>
              </w:rPr>
            </w:pPr>
            <w:r w:rsidRPr="00EF633E">
              <w:rPr>
                <w:rFonts w:ascii="Arial" w:hAnsi="Arial"/>
                <w:b/>
                <w:i/>
                <w:color w:val="000000" w:themeColor="text1"/>
                <w:sz w:val="16"/>
              </w:rPr>
              <w:t xml:space="preserve">Figura 7.18. Estación de carga con dos puntos de conexión de tipo «enchufes portátiles en la estación de carga» que forman parte de la estación de carga (dispositivos de protección contra sobrecorriente para circuitos dedicados integrados en la estación de carga) </w:t>
            </w:r>
          </w:p>
          <w:p w14:paraId="2F449D73" w14:textId="77777777" w:rsidR="00BF274B" w:rsidRPr="00EF633E" w:rsidRDefault="00BF274B" w:rsidP="00BF274B">
            <w:pPr>
              <w:jc w:val="both"/>
              <w:rPr>
                <w:rFonts w:ascii="Arial" w:hAnsi="Arial" w:cs="Arial"/>
                <w:b/>
                <w:bCs/>
              </w:rPr>
            </w:pPr>
          </w:p>
          <w:p w14:paraId="765910AD" w14:textId="6A3A1CC1" w:rsidR="00BF274B" w:rsidRPr="00EF633E" w:rsidRDefault="00BF274B" w:rsidP="00BF274B">
            <w:pPr>
              <w:jc w:val="both"/>
              <w:rPr>
                <w:rFonts w:ascii="Arial" w:hAnsi="Arial" w:cs="Arial"/>
                <w:b/>
                <w:bCs/>
              </w:rPr>
            </w:pPr>
          </w:p>
          <w:p w14:paraId="526E08BB" w14:textId="4C1B9774" w:rsidR="00357B13" w:rsidRPr="00EF633E" w:rsidRDefault="00357B13" w:rsidP="00BF274B">
            <w:pPr>
              <w:jc w:val="both"/>
              <w:rPr>
                <w:rFonts w:ascii="Arial" w:hAnsi="Arial" w:cs="Arial"/>
                <w:b/>
                <w:bCs/>
              </w:rPr>
            </w:pPr>
          </w:p>
          <w:p w14:paraId="598E1807" w14:textId="77777777" w:rsidR="00357B13" w:rsidRPr="00EF633E" w:rsidRDefault="00357B13" w:rsidP="00BF274B">
            <w:pPr>
              <w:jc w:val="both"/>
              <w:rPr>
                <w:rFonts w:ascii="Arial" w:hAnsi="Arial" w:cs="Arial"/>
                <w:b/>
                <w:bCs/>
              </w:rPr>
            </w:pPr>
          </w:p>
          <w:p w14:paraId="51E1BD20" w14:textId="77777777" w:rsidR="00BF274B" w:rsidRPr="00EF633E" w:rsidRDefault="00BF274B" w:rsidP="00BF274B">
            <w:pPr>
              <w:jc w:val="both"/>
              <w:rPr>
                <w:rFonts w:ascii="Arial" w:hAnsi="Arial" w:cs="Arial"/>
                <w:b/>
                <w:bCs/>
              </w:rPr>
            </w:pPr>
            <w:r w:rsidRPr="00EF633E">
              <w:object w:dxaOrig="9870" w:dyaOrig="4710" w14:anchorId="1E1307D6">
                <v:shape id="_x0000_i1027" type="#_x0000_t75" style="width:468pt;height:223.2pt" o:ole="">
                  <v:imagedata r:id="rId16" o:title=""/>
                </v:shape>
                <o:OLEObject Type="Embed" ProgID="PBrush" ShapeID="_x0000_i1027" DrawAspect="Content" ObjectID="_1728738215" r:id="rId17"/>
              </w:object>
            </w:r>
          </w:p>
          <w:tbl>
            <w:tblPr>
              <w:tblStyle w:val="TableGrid"/>
              <w:tblW w:w="9327" w:type="dxa"/>
              <w:tblLayout w:type="fixed"/>
              <w:tblLook w:val="04A0" w:firstRow="1" w:lastRow="0" w:firstColumn="1" w:lastColumn="0" w:noHBand="0" w:noVBand="1"/>
            </w:tblPr>
            <w:tblGrid>
              <w:gridCol w:w="4663"/>
              <w:gridCol w:w="4664"/>
            </w:tblGrid>
            <w:tr w:rsidR="00DF17B7" w:rsidRPr="00EF633E" w14:paraId="3087A3F4" w14:textId="77777777" w:rsidTr="00A40009">
              <w:tc>
                <w:tcPr>
                  <w:tcW w:w="4663" w:type="dxa"/>
                </w:tcPr>
                <w:p w14:paraId="172DE1C5" w14:textId="77777777" w:rsidR="00DF17B7" w:rsidRPr="00EF633E" w:rsidRDefault="00DF17B7" w:rsidP="00DF17B7">
                  <w:pPr>
                    <w:jc w:val="both"/>
                    <w:rPr>
                      <w:rFonts w:ascii="Arial" w:hAnsi="Arial" w:cs="Arial"/>
                    </w:rPr>
                  </w:pPr>
                  <w:r w:rsidRPr="00EF633E">
                    <w:rPr>
                      <w:rFonts w:ascii="Arial" w:hAnsi="Arial"/>
                      <w:sz w:val="20"/>
                      <w:lang w:val="nl-BE"/>
                    </w:rPr>
                    <w:t>Point de connexion</w:t>
                  </w:r>
                </w:p>
              </w:tc>
              <w:tc>
                <w:tcPr>
                  <w:tcW w:w="4664" w:type="dxa"/>
                </w:tcPr>
                <w:p w14:paraId="563B004E" w14:textId="77777777" w:rsidR="00DF17B7" w:rsidRPr="00EF633E" w:rsidRDefault="00DF17B7" w:rsidP="00DF17B7">
                  <w:pPr>
                    <w:jc w:val="both"/>
                    <w:rPr>
                      <w:rFonts w:ascii="Arial" w:hAnsi="Arial" w:cs="Arial"/>
                      <w:b/>
                      <w:bCs/>
                    </w:rPr>
                  </w:pPr>
                  <w:r w:rsidRPr="00EF633E">
                    <w:rPr>
                      <w:rFonts w:ascii="Arial" w:hAnsi="Arial"/>
                      <w:sz w:val="20"/>
                    </w:rPr>
                    <w:t>Punto de conexión</w:t>
                  </w:r>
                </w:p>
              </w:tc>
            </w:tr>
            <w:tr w:rsidR="00DF17B7" w:rsidRPr="00EF633E" w14:paraId="1A68DC3C" w14:textId="77777777" w:rsidTr="00A40009">
              <w:tc>
                <w:tcPr>
                  <w:tcW w:w="4663" w:type="dxa"/>
                </w:tcPr>
                <w:p w14:paraId="5EA98588" w14:textId="77777777" w:rsidR="00DF17B7" w:rsidRPr="00EF633E" w:rsidRDefault="00DF17B7" w:rsidP="00DF17B7">
                  <w:pPr>
                    <w:jc w:val="both"/>
                    <w:rPr>
                      <w:rFonts w:ascii="Arial" w:hAnsi="Arial" w:cs="Arial"/>
                      <w:sz w:val="20"/>
                      <w:szCs w:val="20"/>
                    </w:rPr>
                  </w:pPr>
                  <w:r w:rsidRPr="00EF633E">
                    <w:rPr>
                      <w:rFonts w:ascii="Arial" w:hAnsi="Arial"/>
                      <w:sz w:val="20"/>
                      <w:lang w:val="nl-BE"/>
                    </w:rPr>
                    <w:t>Câble souple mobile</w:t>
                  </w:r>
                </w:p>
              </w:tc>
              <w:tc>
                <w:tcPr>
                  <w:tcW w:w="4664" w:type="dxa"/>
                </w:tcPr>
                <w:p w14:paraId="28748D99" w14:textId="77777777" w:rsidR="00DF17B7" w:rsidRPr="00EF633E" w:rsidRDefault="00DF17B7" w:rsidP="00DF17B7">
                  <w:pPr>
                    <w:jc w:val="both"/>
                    <w:rPr>
                      <w:rFonts w:ascii="Arial" w:hAnsi="Arial" w:cs="Arial"/>
                      <w:b/>
                      <w:bCs/>
                    </w:rPr>
                  </w:pPr>
                  <w:r w:rsidRPr="00EF633E">
                    <w:rPr>
                      <w:rFonts w:ascii="Arial" w:hAnsi="Arial"/>
                      <w:sz w:val="20"/>
                    </w:rPr>
                    <w:t>Cable móvil flexible</w:t>
                  </w:r>
                </w:p>
              </w:tc>
            </w:tr>
            <w:tr w:rsidR="00DF17B7" w:rsidRPr="00EF633E" w14:paraId="12974BC7" w14:textId="77777777" w:rsidTr="00A40009">
              <w:tc>
                <w:tcPr>
                  <w:tcW w:w="4663" w:type="dxa"/>
                </w:tcPr>
                <w:p w14:paraId="43D59F5F" w14:textId="77777777" w:rsidR="00DF17B7" w:rsidRPr="00EF633E" w:rsidRDefault="00DF17B7" w:rsidP="00DF17B7">
                  <w:pPr>
                    <w:jc w:val="both"/>
                    <w:rPr>
                      <w:rFonts w:ascii="Arial" w:hAnsi="Arial" w:cs="Arial"/>
                      <w:sz w:val="20"/>
                      <w:szCs w:val="20"/>
                    </w:rPr>
                  </w:pPr>
                  <w:r w:rsidRPr="00EF633E">
                    <w:rPr>
                      <w:rFonts w:ascii="Arial" w:hAnsi="Arial"/>
                      <w:sz w:val="20"/>
                      <w:lang w:val="nl-BE"/>
                    </w:rPr>
                    <w:lastRenderedPageBreak/>
                    <w:t>Alimentation</w:t>
                  </w:r>
                </w:p>
              </w:tc>
              <w:tc>
                <w:tcPr>
                  <w:tcW w:w="4664" w:type="dxa"/>
                </w:tcPr>
                <w:p w14:paraId="754FD47A" w14:textId="77777777" w:rsidR="00DF17B7" w:rsidRPr="00EF633E" w:rsidRDefault="00DF17B7" w:rsidP="00DF17B7">
                  <w:pPr>
                    <w:jc w:val="both"/>
                    <w:rPr>
                      <w:rFonts w:ascii="Arial" w:hAnsi="Arial" w:cs="Arial"/>
                      <w:b/>
                      <w:bCs/>
                    </w:rPr>
                  </w:pPr>
                  <w:r w:rsidRPr="00EF633E">
                    <w:rPr>
                      <w:rFonts w:ascii="Arial" w:hAnsi="Arial"/>
                      <w:sz w:val="20"/>
                    </w:rPr>
                    <w:t>Suministro</w:t>
                  </w:r>
                </w:p>
              </w:tc>
            </w:tr>
            <w:tr w:rsidR="00DF17B7" w:rsidRPr="00EF633E" w14:paraId="0EA7B215" w14:textId="77777777" w:rsidTr="00A40009">
              <w:tc>
                <w:tcPr>
                  <w:tcW w:w="4663" w:type="dxa"/>
                </w:tcPr>
                <w:p w14:paraId="5142C3B8" w14:textId="77777777" w:rsidR="00DF17B7" w:rsidRPr="00EF633E" w:rsidRDefault="00DF17B7" w:rsidP="00DF17B7">
                  <w:pPr>
                    <w:jc w:val="both"/>
                    <w:rPr>
                      <w:rFonts w:ascii="Arial" w:hAnsi="Arial" w:cs="Arial"/>
                      <w:sz w:val="20"/>
                      <w:szCs w:val="20"/>
                      <w:lang w:val="fr-FR"/>
                    </w:rPr>
                  </w:pPr>
                  <w:r w:rsidRPr="00EF633E">
                    <w:rPr>
                      <w:rFonts w:ascii="Arial" w:hAnsi="Arial"/>
                      <w:sz w:val="20"/>
                      <w:lang w:val="fr-FR"/>
                    </w:rPr>
                    <w:t>Tableau de manœuvre et de répartition</w:t>
                  </w:r>
                </w:p>
              </w:tc>
              <w:tc>
                <w:tcPr>
                  <w:tcW w:w="4664" w:type="dxa"/>
                </w:tcPr>
                <w:p w14:paraId="095B4D0D" w14:textId="77777777" w:rsidR="00DF17B7" w:rsidRPr="00EF633E" w:rsidRDefault="00DF17B7" w:rsidP="00DF17B7">
                  <w:pPr>
                    <w:jc w:val="both"/>
                    <w:rPr>
                      <w:rFonts w:ascii="Arial" w:hAnsi="Arial" w:cs="Arial"/>
                      <w:b/>
                      <w:bCs/>
                    </w:rPr>
                  </w:pPr>
                  <w:r w:rsidRPr="00EF633E">
                    <w:rPr>
                      <w:rFonts w:ascii="Arial" w:hAnsi="Arial"/>
                      <w:sz w:val="20"/>
                    </w:rPr>
                    <w:t>Panel de operación y distribución</w:t>
                  </w:r>
                </w:p>
              </w:tc>
            </w:tr>
            <w:tr w:rsidR="00DF17B7" w:rsidRPr="00EF633E" w14:paraId="6DFB22B1" w14:textId="77777777" w:rsidTr="00A40009">
              <w:tc>
                <w:tcPr>
                  <w:tcW w:w="4663" w:type="dxa"/>
                </w:tcPr>
                <w:p w14:paraId="5267989C" w14:textId="77777777" w:rsidR="00DF17B7" w:rsidRPr="00EF633E" w:rsidRDefault="00DF17B7" w:rsidP="00DF17B7">
                  <w:pPr>
                    <w:jc w:val="both"/>
                    <w:rPr>
                      <w:rFonts w:ascii="Arial" w:hAnsi="Arial" w:cs="Arial"/>
                      <w:sz w:val="20"/>
                      <w:szCs w:val="20"/>
                    </w:rPr>
                  </w:pPr>
                  <w:r w:rsidRPr="00EF633E">
                    <w:rPr>
                      <w:rFonts w:ascii="Arial" w:hAnsi="Arial"/>
                      <w:sz w:val="20"/>
                    </w:rPr>
                    <w:t>Borne de charge</w:t>
                  </w:r>
                </w:p>
              </w:tc>
              <w:tc>
                <w:tcPr>
                  <w:tcW w:w="4664" w:type="dxa"/>
                </w:tcPr>
                <w:p w14:paraId="6B566F5D" w14:textId="77777777" w:rsidR="00DF17B7" w:rsidRPr="00EF633E" w:rsidRDefault="00DF17B7" w:rsidP="00DF17B7">
                  <w:pPr>
                    <w:jc w:val="both"/>
                    <w:rPr>
                      <w:rFonts w:ascii="Arial" w:hAnsi="Arial" w:cs="Arial"/>
                      <w:b/>
                      <w:bCs/>
                    </w:rPr>
                  </w:pPr>
                  <w:r w:rsidRPr="00EF633E">
                    <w:rPr>
                      <w:rFonts w:ascii="Arial" w:hAnsi="Arial"/>
                      <w:sz w:val="20"/>
                    </w:rPr>
                    <w:t>Estación de carga</w:t>
                  </w:r>
                </w:p>
              </w:tc>
            </w:tr>
            <w:tr w:rsidR="00DF17B7" w:rsidRPr="00EF633E" w14:paraId="4D7A0B05" w14:textId="77777777" w:rsidTr="00A40009">
              <w:tc>
                <w:tcPr>
                  <w:tcW w:w="4663" w:type="dxa"/>
                </w:tcPr>
                <w:p w14:paraId="566ECD52" w14:textId="77777777" w:rsidR="00DF17B7" w:rsidRPr="00EF633E" w:rsidRDefault="00DF17B7" w:rsidP="00DF17B7">
                  <w:pPr>
                    <w:jc w:val="both"/>
                    <w:rPr>
                      <w:rFonts w:ascii="Arial" w:hAnsi="Arial" w:cs="Arial"/>
                      <w:sz w:val="20"/>
                      <w:szCs w:val="20"/>
                    </w:rPr>
                  </w:pPr>
                  <w:r w:rsidRPr="00EF633E">
                    <w:rPr>
                      <w:rFonts w:ascii="Arial" w:hAnsi="Arial"/>
                      <w:sz w:val="20"/>
                    </w:rPr>
                    <w:t>Véhicule électrique</w:t>
                  </w:r>
                </w:p>
              </w:tc>
              <w:tc>
                <w:tcPr>
                  <w:tcW w:w="4664" w:type="dxa"/>
                </w:tcPr>
                <w:p w14:paraId="73C7A7B7" w14:textId="77777777" w:rsidR="00DF17B7" w:rsidRPr="00EF633E" w:rsidRDefault="00DF17B7" w:rsidP="00DF17B7">
                  <w:pPr>
                    <w:jc w:val="both"/>
                    <w:rPr>
                      <w:rFonts w:ascii="Arial" w:hAnsi="Arial" w:cs="Arial"/>
                      <w:b/>
                      <w:bCs/>
                    </w:rPr>
                  </w:pPr>
                  <w:r w:rsidRPr="00EF633E">
                    <w:rPr>
                      <w:rFonts w:ascii="Arial" w:hAnsi="Arial"/>
                      <w:sz w:val="20"/>
                    </w:rPr>
                    <w:t>Vehículo eléctrico</w:t>
                  </w:r>
                </w:p>
              </w:tc>
            </w:tr>
            <w:tr w:rsidR="00DF17B7" w:rsidRPr="00EF633E" w14:paraId="24794B89" w14:textId="77777777" w:rsidTr="00A40009">
              <w:tc>
                <w:tcPr>
                  <w:tcW w:w="4663" w:type="dxa"/>
                </w:tcPr>
                <w:p w14:paraId="5E059C40" w14:textId="77777777" w:rsidR="00DF17B7" w:rsidRPr="00EF633E" w:rsidRDefault="00DF17B7" w:rsidP="00DF17B7">
                  <w:pPr>
                    <w:jc w:val="both"/>
                    <w:rPr>
                      <w:rFonts w:ascii="Arial" w:hAnsi="Arial" w:cs="Arial"/>
                      <w:sz w:val="20"/>
                      <w:szCs w:val="20"/>
                    </w:rPr>
                  </w:pPr>
                  <w:r w:rsidRPr="00EF633E">
                    <w:rPr>
                      <w:rFonts w:ascii="Arial" w:hAnsi="Arial"/>
                      <w:sz w:val="20"/>
                    </w:rPr>
                    <w:t>Circuit dédié</w:t>
                  </w:r>
                </w:p>
              </w:tc>
              <w:tc>
                <w:tcPr>
                  <w:tcW w:w="4664" w:type="dxa"/>
                </w:tcPr>
                <w:p w14:paraId="18483080" w14:textId="77777777" w:rsidR="00DF17B7" w:rsidRPr="00EF633E" w:rsidRDefault="00DF17B7" w:rsidP="00DF17B7">
                  <w:pPr>
                    <w:jc w:val="both"/>
                    <w:rPr>
                      <w:rFonts w:ascii="Arial" w:hAnsi="Arial" w:cs="Arial"/>
                      <w:b/>
                      <w:bCs/>
                    </w:rPr>
                  </w:pPr>
                  <w:r w:rsidRPr="00EF633E">
                    <w:rPr>
                      <w:rFonts w:ascii="Arial" w:hAnsi="Arial"/>
                      <w:sz w:val="20"/>
                    </w:rPr>
                    <w:t>Circuito dedicado</w:t>
                  </w:r>
                </w:p>
              </w:tc>
            </w:tr>
          </w:tbl>
          <w:p w14:paraId="5C214D44" w14:textId="77777777" w:rsidR="00BF274B" w:rsidRPr="00EF633E" w:rsidRDefault="00BF274B" w:rsidP="00BF274B">
            <w:pPr>
              <w:jc w:val="both"/>
              <w:rPr>
                <w:rFonts w:ascii="Arial" w:hAnsi="Arial" w:cs="Arial"/>
                <w:b/>
                <w:bCs/>
              </w:rPr>
            </w:pPr>
          </w:p>
          <w:p w14:paraId="049DFEFA" w14:textId="77777777" w:rsidR="00BF274B" w:rsidRPr="00EF633E" w:rsidRDefault="00BF274B" w:rsidP="00BF274B">
            <w:pPr>
              <w:jc w:val="center"/>
              <w:rPr>
                <w:rFonts w:ascii="Arial" w:hAnsi="Arial" w:cs="Arial"/>
                <w:b/>
                <w:i/>
                <w:color w:val="000000" w:themeColor="text1"/>
                <w:sz w:val="16"/>
                <w:szCs w:val="16"/>
              </w:rPr>
            </w:pPr>
            <w:r w:rsidRPr="00EF633E">
              <w:rPr>
                <w:rFonts w:ascii="Arial" w:hAnsi="Arial"/>
                <w:b/>
                <w:i/>
                <w:color w:val="000000" w:themeColor="text1"/>
                <w:sz w:val="16"/>
              </w:rPr>
              <w:t xml:space="preserve">Figura 7.19. Estación de carga con dos puntos de conexión de tipo «tomas portátiles automovilísticas» que forman parte de la estación de carga (dispositivos de protección contra sobrecorriente para circuitos dedicados integrados en el panel de operación y distribución) </w:t>
            </w:r>
          </w:p>
          <w:p w14:paraId="3370B8AE" w14:textId="77777777" w:rsidR="00BF274B" w:rsidRPr="00EF633E" w:rsidRDefault="00BF274B" w:rsidP="00BF274B">
            <w:pPr>
              <w:jc w:val="both"/>
              <w:rPr>
                <w:rFonts w:ascii="Arial" w:hAnsi="Arial" w:cs="Arial"/>
                <w:b/>
                <w:bCs/>
              </w:rPr>
            </w:pPr>
          </w:p>
          <w:p w14:paraId="0669C8F3" w14:textId="77777777" w:rsidR="00BF274B" w:rsidRPr="00EF633E" w:rsidRDefault="00BF274B" w:rsidP="00BF274B">
            <w:pPr>
              <w:jc w:val="both"/>
              <w:rPr>
                <w:rFonts w:ascii="Arial" w:hAnsi="Arial" w:cs="Arial"/>
                <w:b/>
                <w:bCs/>
              </w:rPr>
            </w:pPr>
            <w:r w:rsidRPr="00EF633E">
              <w:object w:dxaOrig="9735" w:dyaOrig="5280" w14:anchorId="5B20686B">
                <v:shape id="_x0000_i1028" type="#_x0000_t75" style="width:468pt;height:252pt" o:ole="">
                  <v:imagedata r:id="rId18" o:title=""/>
                </v:shape>
                <o:OLEObject Type="Embed" ProgID="PBrush" ShapeID="_x0000_i1028" DrawAspect="Content" ObjectID="_1728738216" r:id="rId19"/>
              </w:object>
            </w:r>
          </w:p>
          <w:tbl>
            <w:tblPr>
              <w:tblStyle w:val="TableGrid"/>
              <w:tblW w:w="9327" w:type="dxa"/>
              <w:tblLayout w:type="fixed"/>
              <w:tblLook w:val="04A0" w:firstRow="1" w:lastRow="0" w:firstColumn="1" w:lastColumn="0" w:noHBand="0" w:noVBand="1"/>
            </w:tblPr>
            <w:tblGrid>
              <w:gridCol w:w="4663"/>
              <w:gridCol w:w="4664"/>
            </w:tblGrid>
            <w:tr w:rsidR="00DF17B7" w:rsidRPr="00EF633E" w14:paraId="1971F780" w14:textId="77777777" w:rsidTr="00A40009">
              <w:tc>
                <w:tcPr>
                  <w:tcW w:w="4663" w:type="dxa"/>
                </w:tcPr>
                <w:p w14:paraId="0202340D" w14:textId="77777777" w:rsidR="00DF17B7" w:rsidRPr="00EF633E" w:rsidRDefault="00DF17B7" w:rsidP="00DF17B7">
                  <w:pPr>
                    <w:jc w:val="both"/>
                    <w:rPr>
                      <w:rFonts w:ascii="Arial" w:hAnsi="Arial" w:cs="Arial"/>
                    </w:rPr>
                  </w:pPr>
                  <w:r w:rsidRPr="00EF633E">
                    <w:rPr>
                      <w:rFonts w:ascii="Arial" w:hAnsi="Arial"/>
                      <w:sz w:val="20"/>
                      <w:lang w:val="nl-BE"/>
                    </w:rPr>
                    <w:t>Point de connexion</w:t>
                  </w:r>
                </w:p>
              </w:tc>
              <w:tc>
                <w:tcPr>
                  <w:tcW w:w="4664" w:type="dxa"/>
                </w:tcPr>
                <w:p w14:paraId="29937811" w14:textId="77777777" w:rsidR="00DF17B7" w:rsidRPr="00EF633E" w:rsidRDefault="00DF17B7" w:rsidP="00DF17B7">
                  <w:pPr>
                    <w:jc w:val="both"/>
                    <w:rPr>
                      <w:rFonts w:ascii="Arial" w:hAnsi="Arial" w:cs="Arial"/>
                      <w:b/>
                      <w:bCs/>
                    </w:rPr>
                  </w:pPr>
                  <w:r w:rsidRPr="00EF633E">
                    <w:rPr>
                      <w:rFonts w:ascii="Arial" w:hAnsi="Arial"/>
                      <w:sz w:val="20"/>
                    </w:rPr>
                    <w:t>Punto de conexión</w:t>
                  </w:r>
                </w:p>
              </w:tc>
            </w:tr>
            <w:tr w:rsidR="00DF17B7" w:rsidRPr="00EF633E" w14:paraId="10A80C79" w14:textId="77777777" w:rsidTr="00A40009">
              <w:tc>
                <w:tcPr>
                  <w:tcW w:w="4663" w:type="dxa"/>
                </w:tcPr>
                <w:p w14:paraId="4430B361" w14:textId="77777777" w:rsidR="00DF17B7" w:rsidRPr="00EF633E" w:rsidRDefault="00DF17B7" w:rsidP="00DF17B7">
                  <w:pPr>
                    <w:jc w:val="both"/>
                    <w:rPr>
                      <w:rFonts w:ascii="Arial" w:hAnsi="Arial" w:cs="Arial"/>
                      <w:sz w:val="20"/>
                      <w:szCs w:val="20"/>
                    </w:rPr>
                  </w:pPr>
                  <w:r w:rsidRPr="00EF633E">
                    <w:rPr>
                      <w:rFonts w:ascii="Arial" w:hAnsi="Arial"/>
                      <w:sz w:val="20"/>
                      <w:lang w:val="nl-BE"/>
                    </w:rPr>
                    <w:t>Câble souple mobile</w:t>
                  </w:r>
                </w:p>
              </w:tc>
              <w:tc>
                <w:tcPr>
                  <w:tcW w:w="4664" w:type="dxa"/>
                </w:tcPr>
                <w:p w14:paraId="1B5E6DD4" w14:textId="77777777" w:rsidR="00DF17B7" w:rsidRPr="00EF633E" w:rsidRDefault="00DF17B7" w:rsidP="00DF17B7">
                  <w:pPr>
                    <w:jc w:val="both"/>
                    <w:rPr>
                      <w:rFonts w:ascii="Arial" w:hAnsi="Arial" w:cs="Arial"/>
                      <w:b/>
                      <w:bCs/>
                    </w:rPr>
                  </w:pPr>
                  <w:r w:rsidRPr="00EF633E">
                    <w:rPr>
                      <w:rFonts w:ascii="Arial" w:hAnsi="Arial"/>
                      <w:sz w:val="20"/>
                    </w:rPr>
                    <w:t>Cable móvil flexible</w:t>
                  </w:r>
                </w:p>
              </w:tc>
            </w:tr>
            <w:tr w:rsidR="00DF17B7" w:rsidRPr="00EF633E" w14:paraId="6D010579" w14:textId="77777777" w:rsidTr="00A40009">
              <w:tc>
                <w:tcPr>
                  <w:tcW w:w="4663" w:type="dxa"/>
                </w:tcPr>
                <w:p w14:paraId="19F3491D" w14:textId="77777777" w:rsidR="00DF17B7" w:rsidRPr="00EF633E" w:rsidRDefault="00DF17B7" w:rsidP="00DF17B7">
                  <w:pPr>
                    <w:jc w:val="both"/>
                    <w:rPr>
                      <w:rFonts w:ascii="Arial" w:hAnsi="Arial" w:cs="Arial"/>
                      <w:sz w:val="20"/>
                      <w:szCs w:val="20"/>
                    </w:rPr>
                  </w:pPr>
                  <w:r w:rsidRPr="00EF633E">
                    <w:rPr>
                      <w:rFonts w:ascii="Arial" w:hAnsi="Arial"/>
                      <w:sz w:val="20"/>
                      <w:lang w:val="nl-BE"/>
                    </w:rPr>
                    <w:t>Alimentation</w:t>
                  </w:r>
                </w:p>
              </w:tc>
              <w:tc>
                <w:tcPr>
                  <w:tcW w:w="4664" w:type="dxa"/>
                </w:tcPr>
                <w:p w14:paraId="25489822" w14:textId="77777777" w:rsidR="00DF17B7" w:rsidRPr="00EF633E" w:rsidRDefault="00DF17B7" w:rsidP="00DF17B7">
                  <w:pPr>
                    <w:jc w:val="both"/>
                    <w:rPr>
                      <w:rFonts w:ascii="Arial" w:hAnsi="Arial" w:cs="Arial"/>
                      <w:b/>
                      <w:bCs/>
                    </w:rPr>
                  </w:pPr>
                  <w:r w:rsidRPr="00EF633E">
                    <w:rPr>
                      <w:rFonts w:ascii="Arial" w:hAnsi="Arial"/>
                      <w:sz w:val="20"/>
                    </w:rPr>
                    <w:t>Suministro</w:t>
                  </w:r>
                </w:p>
              </w:tc>
            </w:tr>
            <w:tr w:rsidR="00DF17B7" w:rsidRPr="00EF633E" w14:paraId="227AD334" w14:textId="77777777" w:rsidTr="00A40009">
              <w:tc>
                <w:tcPr>
                  <w:tcW w:w="4663" w:type="dxa"/>
                </w:tcPr>
                <w:p w14:paraId="5B3BEAD7" w14:textId="77777777" w:rsidR="00DF17B7" w:rsidRPr="00EF633E" w:rsidRDefault="00DF17B7" w:rsidP="00DF17B7">
                  <w:pPr>
                    <w:jc w:val="both"/>
                    <w:rPr>
                      <w:rFonts w:ascii="Arial" w:hAnsi="Arial" w:cs="Arial"/>
                      <w:sz w:val="20"/>
                      <w:szCs w:val="20"/>
                      <w:lang w:val="fr-FR"/>
                    </w:rPr>
                  </w:pPr>
                  <w:r w:rsidRPr="00EF633E">
                    <w:rPr>
                      <w:rFonts w:ascii="Arial" w:hAnsi="Arial"/>
                      <w:sz w:val="20"/>
                      <w:lang w:val="fr-FR"/>
                    </w:rPr>
                    <w:t>Tableau de manœuvre et de répartition</w:t>
                  </w:r>
                </w:p>
              </w:tc>
              <w:tc>
                <w:tcPr>
                  <w:tcW w:w="4664" w:type="dxa"/>
                </w:tcPr>
                <w:p w14:paraId="24AD2BEC" w14:textId="77777777" w:rsidR="00DF17B7" w:rsidRPr="00EF633E" w:rsidRDefault="00DF17B7" w:rsidP="00DF17B7">
                  <w:pPr>
                    <w:jc w:val="both"/>
                    <w:rPr>
                      <w:rFonts w:ascii="Arial" w:hAnsi="Arial" w:cs="Arial"/>
                      <w:b/>
                      <w:bCs/>
                    </w:rPr>
                  </w:pPr>
                  <w:r w:rsidRPr="00EF633E">
                    <w:rPr>
                      <w:rFonts w:ascii="Arial" w:hAnsi="Arial"/>
                      <w:sz w:val="20"/>
                    </w:rPr>
                    <w:t>Panel de operación y distribución</w:t>
                  </w:r>
                </w:p>
              </w:tc>
            </w:tr>
            <w:tr w:rsidR="00DF17B7" w:rsidRPr="00EF633E" w14:paraId="24F52B59" w14:textId="77777777" w:rsidTr="00A40009">
              <w:tc>
                <w:tcPr>
                  <w:tcW w:w="4663" w:type="dxa"/>
                </w:tcPr>
                <w:p w14:paraId="5D053CE4" w14:textId="77777777" w:rsidR="00DF17B7" w:rsidRPr="00EF633E" w:rsidRDefault="00DF17B7" w:rsidP="00DF17B7">
                  <w:pPr>
                    <w:jc w:val="both"/>
                    <w:rPr>
                      <w:rFonts w:ascii="Arial" w:hAnsi="Arial" w:cs="Arial"/>
                      <w:sz w:val="20"/>
                      <w:szCs w:val="20"/>
                    </w:rPr>
                  </w:pPr>
                  <w:r w:rsidRPr="00EF633E">
                    <w:rPr>
                      <w:rFonts w:ascii="Arial" w:hAnsi="Arial"/>
                      <w:sz w:val="20"/>
                    </w:rPr>
                    <w:t>Borne de charge</w:t>
                  </w:r>
                </w:p>
              </w:tc>
              <w:tc>
                <w:tcPr>
                  <w:tcW w:w="4664" w:type="dxa"/>
                </w:tcPr>
                <w:p w14:paraId="2CFDF037" w14:textId="77777777" w:rsidR="00DF17B7" w:rsidRPr="00EF633E" w:rsidRDefault="00DF17B7" w:rsidP="00DF17B7">
                  <w:pPr>
                    <w:jc w:val="both"/>
                    <w:rPr>
                      <w:rFonts w:ascii="Arial" w:hAnsi="Arial" w:cs="Arial"/>
                      <w:b/>
                      <w:bCs/>
                    </w:rPr>
                  </w:pPr>
                  <w:r w:rsidRPr="00EF633E">
                    <w:rPr>
                      <w:rFonts w:ascii="Arial" w:hAnsi="Arial"/>
                      <w:sz w:val="20"/>
                    </w:rPr>
                    <w:t>Estación de carga</w:t>
                  </w:r>
                </w:p>
              </w:tc>
            </w:tr>
            <w:tr w:rsidR="00DF17B7" w:rsidRPr="00EF633E" w14:paraId="53E2A5B9" w14:textId="77777777" w:rsidTr="00A40009">
              <w:tc>
                <w:tcPr>
                  <w:tcW w:w="4663" w:type="dxa"/>
                </w:tcPr>
                <w:p w14:paraId="6C8CC61A" w14:textId="77777777" w:rsidR="00DF17B7" w:rsidRPr="00EF633E" w:rsidRDefault="00DF17B7" w:rsidP="00DF17B7">
                  <w:pPr>
                    <w:jc w:val="both"/>
                    <w:rPr>
                      <w:rFonts w:ascii="Arial" w:hAnsi="Arial" w:cs="Arial"/>
                      <w:sz w:val="20"/>
                      <w:szCs w:val="20"/>
                    </w:rPr>
                  </w:pPr>
                  <w:r w:rsidRPr="00EF633E">
                    <w:rPr>
                      <w:rFonts w:ascii="Arial" w:hAnsi="Arial"/>
                      <w:sz w:val="20"/>
                    </w:rPr>
                    <w:t>Véhicule électrique</w:t>
                  </w:r>
                </w:p>
              </w:tc>
              <w:tc>
                <w:tcPr>
                  <w:tcW w:w="4664" w:type="dxa"/>
                </w:tcPr>
                <w:p w14:paraId="6F98CC4D" w14:textId="77777777" w:rsidR="00DF17B7" w:rsidRPr="00EF633E" w:rsidRDefault="00DF17B7" w:rsidP="00DF17B7">
                  <w:pPr>
                    <w:jc w:val="both"/>
                    <w:rPr>
                      <w:rFonts w:ascii="Arial" w:hAnsi="Arial" w:cs="Arial"/>
                      <w:b/>
                      <w:bCs/>
                    </w:rPr>
                  </w:pPr>
                  <w:r w:rsidRPr="00EF633E">
                    <w:rPr>
                      <w:rFonts w:ascii="Arial" w:hAnsi="Arial"/>
                      <w:sz w:val="20"/>
                    </w:rPr>
                    <w:t>Vehículo eléctrico</w:t>
                  </w:r>
                </w:p>
              </w:tc>
            </w:tr>
            <w:tr w:rsidR="00DF17B7" w:rsidRPr="00EF633E" w14:paraId="79012B26" w14:textId="77777777" w:rsidTr="00A40009">
              <w:tc>
                <w:tcPr>
                  <w:tcW w:w="4663" w:type="dxa"/>
                </w:tcPr>
                <w:p w14:paraId="38FC9EDF" w14:textId="77777777" w:rsidR="00DF17B7" w:rsidRPr="00EF633E" w:rsidRDefault="00DF17B7" w:rsidP="00DF17B7">
                  <w:pPr>
                    <w:jc w:val="both"/>
                    <w:rPr>
                      <w:rFonts w:ascii="Arial" w:hAnsi="Arial" w:cs="Arial"/>
                      <w:sz w:val="20"/>
                      <w:szCs w:val="20"/>
                    </w:rPr>
                  </w:pPr>
                  <w:r w:rsidRPr="00EF633E">
                    <w:rPr>
                      <w:rFonts w:ascii="Arial" w:hAnsi="Arial"/>
                      <w:sz w:val="20"/>
                    </w:rPr>
                    <w:t>Circuit dédié</w:t>
                  </w:r>
                </w:p>
              </w:tc>
              <w:tc>
                <w:tcPr>
                  <w:tcW w:w="4664" w:type="dxa"/>
                </w:tcPr>
                <w:p w14:paraId="4E67A3BB" w14:textId="77777777" w:rsidR="00DF17B7" w:rsidRPr="00EF633E" w:rsidRDefault="00DF17B7" w:rsidP="00DF17B7">
                  <w:pPr>
                    <w:jc w:val="both"/>
                    <w:rPr>
                      <w:rFonts w:ascii="Arial" w:hAnsi="Arial" w:cs="Arial"/>
                      <w:b/>
                      <w:bCs/>
                    </w:rPr>
                  </w:pPr>
                  <w:r w:rsidRPr="00EF633E">
                    <w:rPr>
                      <w:rFonts w:ascii="Arial" w:hAnsi="Arial"/>
                      <w:sz w:val="20"/>
                    </w:rPr>
                    <w:t>Circuito dedicado</w:t>
                  </w:r>
                </w:p>
              </w:tc>
            </w:tr>
          </w:tbl>
          <w:p w14:paraId="234ECEAC" w14:textId="5C53809D" w:rsidR="00BF274B" w:rsidRPr="00EF633E" w:rsidRDefault="00BF274B" w:rsidP="00BF274B">
            <w:pPr>
              <w:jc w:val="center"/>
              <w:rPr>
                <w:rFonts w:ascii="Arial" w:hAnsi="Arial" w:cs="Arial"/>
                <w:b/>
                <w:i/>
                <w:color w:val="000000" w:themeColor="text1"/>
                <w:sz w:val="16"/>
                <w:szCs w:val="16"/>
              </w:rPr>
            </w:pPr>
            <w:r w:rsidRPr="00EF633E">
              <w:rPr>
                <w:rFonts w:ascii="Arial" w:hAnsi="Arial"/>
                <w:b/>
                <w:i/>
                <w:color w:val="000000" w:themeColor="text1"/>
                <w:sz w:val="16"/>
              </w:rPr>
              <w:t xml:space="preserve">Figura 7.20. Estación de carga con dos puntos de conexión de tipo «enchufes portátiles en la estación de carga» que forman parte de la estación de carga (dispositivos de protección contra sobrecorriente para circuitos dedicados integrados en la estación de carga) </w:t>
            </w:r>
          </w:p>
          <w:p w14:paraId="45E99D32" w14:textId="77777777" w:rsidR="00BF274B" w:rsidRPr="00EF633E" w:rsidRDefault="00BF274B" w:rsidP="00EB6A7E">
            <w:pPr>
              <w:jc w:val="center"/>
              <w:rPr>
                <w:rFonts w:ascii="Arial" w:hAnsi="Arial" w:cs="Arial"/>
                <w:b/>
                <w:color w:val="000000" w:themeColor="text1"/>
              </w:rPr>
            </w:pPr>
          </w:p>
        </w:tc>
      </w:tr>
      <w:tr w:rsidR="00BF274B" w:rsidRPr="00EF633E" w14:paraId="07A17E85" w14:textId="77777777" w:rsidTr="00EB6A7E">
        <w:tc>
          <w:tcPr>
            <w:tcW w:w="284" w:type="dxa"/>
          </w:tcPr>
          <w:p w14:paraId="5C842AC7" w14:textId="77777777" w:rsidR="00DD0AA6" w:rsidRPr="00EF633E" w:rsidRDefault="00DD0AA6" w:rsidP="00DD0AA6">
            <w:pPr>
              <w:jc w:val="both"/>
              <w:rPr>
                <w:rFonts w:ascii="Arial" w:hAnsi="Arial" w:cs="Arial"/>
                <w:color w:val="000000" w:themeColor="text1"/>
              </w:rPr>
            </w:pPr>
          </w:p>
          <w:p w14:paraId="2B2E1F94" w14:textId="77777777" w:rsidR="00DD0AA6" w:rsidRPr="00EF633E" w:rsidRDefault="00DD0AA6" w:rsidP="00BF274B">
            <w:pPr>
              <w:shd w:val="clear" w:color="auto" w:fill="FFFFFF" w:themeFill="background1"/>
              <w:jc w:val="both"/>
              <w:rPr>
                <w:rFonts w:ascii="Arial" w:hAnsi="Arial" w:cs="Arial"/>
                <w:b/>
                <w:bCs/>
                <w:color w:val="000000" w:themeColor="text1"/>
              </w:rPr>
            </w:pPr>
          </w:p>
          <w:p w14:paraId="3F00EDFB" w14:textId="77777777" w:rsidR="00DD0AA6" w:rsidRPr="00EF633E" w:rsidRDefault="00DD0AA6" w:rsidP="00BF274B">
            <w:pPr>
              <w:shd w:val="clear" w:color="auto" w:fill="FFFFFF" w:themeFill="background1"/>
              <w:jc w:val="both"/>
              <w:rPr>
                <w:rFonts w:ascii="Arial" w:hAnsi="Arial" w:cs="Arial"/>
                <w:b/>
                <w:bCs/>
                <w:color w:val="000000" w:themeColor="text1"/>
              </w:rPr>
            </w:pPr>
          </w:p>
          <w:p w14:paraId="73AEC8A0" w14:textId="77777777" w:rsidR="00DD0AA6" w:rsidRPr="00EF633E" w:rsidRDefault="00DD0AA6" w:rsidP="00BF274B">
            <w:pPr>
              <w:shd w:val="clear" w:color="auto" w:fill="FFFFFF" w:themeFill="background1"/>
              <w:jc w:val="both"/>
              <w:rPr>
                <w:rFonts w:ascii="Arial" w:hAnsi="Arial" w:cs="Arial"/>
                <w:b/>
                <w:bCs/>
                <w:color w:val="000000" w:themeColor="text1"/>
              </w:rPr>
            </w:pPr>
          </w:p>
          <w:p w14:paraId="77240EE0" w14:textId="36D76886" w:rsidR="003C2DF7" w:rsidRPr="00EF633E" w:rsidRDefault="00BF274B" w:rsidP="00BF274B">
            <w:pPr>
              <w:jc w:val="both"/>
              <w:rPr>
                <w:rFonts w:ascii="Arial" w:hAnsi="Arial" w:cs="Arial"/>
                <w:color w:val="000000" w:themeColor="text1"/>
              </w:rPr>
            </w:pPr>
            <w:r w:rsidRPr="00EF633E">
              <w:rPr>
                <w:rFonts w:ascii="Arial" w:hAnsi="Arial"/>
                <w:color w:val="000000" w:themeColor="text1"/>
              </w:rPr>
              <w:t> </w:t>
            </w:r>
          </w:p>
          <w:p w14:paraId="71F4B759" w14:textId="371DEDEE" w:rsidR="00BF274B" w:rsidRPr="00EF633E" w:rsidRDefault="00BF274B" w:rsidP="00DD0AA6">
            <w:pPr>
              <w:shd w:val="clear" w:color="auto" w:fill="FFFFFF" w:themeFill="background1"/>
              <w:jc w:val="both"/>
              <w:rPr>
                <w:rFonts w:ascii="Arial" w:hAnsi="Arial" w:cs="Arial"/>
              </w:rPr>
            </w:pPr>
          </w:p>
        </w:tc>
        <w:tc>
          <w:tcPr>
            <w:tcW w:w="9269" w:type="dxa"/>
            <w:gridSpan w:val="3"/>
          </w:tcPr>
          <w:p w14:paraId="1D30DD35" w14:textId="77777777" w:rsidR="00DD0AA6" w:rsidRPr="00EF633E" w:rsidRDefault="00DD0AA6" w:rsidP="00DD0AA6">
            <w:pPr>
              <w:jc w:val="both"/>
              <w:rPr>
                <w:rFonts w:ascii="Arial" w:hAnsi="Arial" w:cs="Arial"/>
                <w:b/>
                <w:i/>
                <w:color w:val="000000" w:themeColor="text1"/>
              </w:rPr>
            </w:pPr>
            <w:r w:rsidRPr="00EF633E">
              <w:rPr>
                <w:rFonts w:ascii="Arial" w:hAnsi="Arial"/>
                <w:b/>
                <w:i/>
                <w:color w:val="000000" w:themeColor="text1"/>
              </w:rPr>
              <w:t xml:space="preserve">Sección 7.22.4. Medidas de protección  </w:t>
            </w:r>
          </w:p>
          <w:p w14:paraId="76A2F1C6" w14:textId="77777777" w:rsidR="00DD0AA6" w:rsidRPr="00EF633E" w:rsidRDefault="00DD0AA6" w:rsidP="00DD0AA6">
            <w:pPr>
              <w:jc w:val="both"/>
              <w:rPr>
                <w:rFonts w:ascii="Arial" w:hAnsi="Arial" w:cs="Arial"/>
                <w:b/>
                <w:i/>
                <w:color w:val="000000" w:themeColor="text1"/>
              </w:rPr>
            </w:pPr>
          </w:p>
          <w:p w14:paraId="6422299F" w14:textId="77777777" w:rsidR="00DD0AA6" w:rsidRPr="00EF633E" w:rsidRDefault="00DD0AA6" w:rsidP="00DD0AA6">
            <w:pPr>
              <w:jc w:val="both"/>
              <w:rPr>
                <w:rFonts w:ascii="Arial" w:hAnsi="Arial" w:cs="Arial"/>
                <w:b/>
                <w:color w:val="000000" w:themeColor="text1"/>
              </w:rPr>
            </w:pPr>
            <w:r w:rsidRPr="00EF633E">
              <w:rPr>
                <w:rFonts w:ascii="Arial" w:hAnsi="Arial"/>
                <w:b/>
                <w:color w:val="000000" w:themeColor="text1"/>
              </w:rPr>
              <w:t xml:space="preserve">Subsección 7.22.4.1. Protección contra el contacto indirecto </w:t>
            </w:r>
          </w:p>
          <w:p w14:paraId="0DA399CC" w14:textId="77777777" w:rsidR="00DD0AA6" w:rsidRPr="00EF633E" w:rsidRDefault="00DD0AA6" w:rsidP="00DD0AA6">
            <w:pPr>
              <w:jc w:val="both"/>
              <w:rPr>
                <w:rFonts w:ascii="Arial" w:hAnsi="Arial" w:cs="Arial"/>
                <w:color w:val="000000" w:themeColor="text1"/>
              </w:rPr>
            </w:pPr>
          </w:p>
          <w:p w14:paraId="584FE333" w14:textId="77777777" w:rsidR="00DD0AA6" w:rsidRPr="00EF633E" w:rsidRDefault="00DD0AA6" w:rsidP="00DD0AA6">
            <w:pPr>
              <w:jc w:val="both"/>
              <w:rPr>
                <w:rFonts w:ascii="Arial" w:hAnsi="Arial" w:cs="Arial"/>
              </w:rPr>
            </w:pPr>
            <w:r w:rsidRPr="00EF633E">
              <w:rPr>
                <w:rFonts w:ascii="Arial" w:hAnsi="Arial"/>
              </w:rPr>
              <w:t>Se aplicará, al menos, una de las siguientes medidas de protección:</w:t>
            </w:r>
          </w:p>
          <w:p w14:paraId="0BCC0F4C" w14:textId="77777777" w:rsidR="00DD0AA6" w:rsidRPr="00EF633E" w:rsidRDefault="00DD0AA6" w:rsidP="00DD0AA6">
            <w:pPr>
              <w:jc w:val="both"/>
              <w:rPr>
                <w:rFonts w:ascii="Arial" w:hAnsi="Arial" w:cs="Arial"/>
                <w:b/>
                <w:color w:val="000000" w:themeColor="text1"/>
              </w:rPr>
            </w:pPr>
          </w:p>
          <w:p w14:paraId="2E737C13" w14:textId="77777777" w:rsidR="00DD0AA6" w:rsidRPr="00EF633E" w:rsidRDefault="00DD0AA6" w:rsidP="00DD0AA6">
            <w:pPr>
              <w:jc w:val="both"/>
              <w:rPr>
                <w:rFonts w:ascii="Arial" w:hAnsi="Arial" w:cs="Arial"/>
                <w:b/>
                <w:color w:val="000000" w:themeColor="text1"/>
              </w:rPr>
            </w:pPr>
            <w:r w:rsidRPr="00EF633E">
              <w:rPr>
                <w:rFonts w:ascii="Arial" w:hAnsi="Arial"/>
                <w:b/>
                <w:color w:val="000000" w:themeColor="text1"/>
              </w:rPr>
              <w:t>a. Protección pasiva sin desconexión automática de la fuente de alimentación</w:t>
            </w:r>
          </w:p>
          <w:p w14:paraId="1F6BB7DA" w14:textId="77777777" w:rsidR="00DD0AA6" w:rsidRPr="00EF633E" w:rsidRDefault="00DD0AA6" w:rsidP="00DD0AA6">
            <w:pPr>
              <w:rPr>
                <w:rFonts w:ascii="Arial" w:hAnsi="Arial" w:cs="Arial"/>
                <w:b/>
                <w:color w:val="000000" w:themeColor="text1"/>
              </w:rPr>
            </w:pPr>
          </w:p>
          <w:p w14:paraId="0278DC99"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El circuito dedicado estará protegido por la separación de seguridad de los circuitos de conformidad con la subsección 4.2.3.3., punto C, y por medio de un transformador de aislamiento.</w:t>
            </w:r>
          </w:p>
          <w:p w14:paraId="71B3881C" w14:textId="77777777" w:rsidR="00DD0AA6" w:rsidRPr="00EF633E" w:rsidRDefault="00DD0AA6" w:rsidP="00DD0AA6">
            <w:pPr>
              <w:jc w:val="both"/>
              <w:rPr>
                <w:rFonts w:ascii="Arial" w:hAnsi="Arial" w:cs="Arial"/>
                <w:color w:val="000000" w:themeColor="text1"/>
              </w:rPr>
            </w:pPr>
          </w:p>
          <w:p w14:paraId="0F7992AA" w14:textId="77777777" w:rsidR="00DD0AA6" w:rsidRPr="00EF633E" w:rsidRDefault="00DD0AA6" w:rsidP="00DD0AA6">
            <w:pPr>
              <w:jc w:val="both"/>
              <w:rPr>
                <w:rFonts w:ascii="Arial" w:hAnsi="Arial" w:cs="Arial"/>
                <w:b/>
                <w:color w:val="000000" w:themeColor="text1"/>
              </w:rPr>
            </w:pPr>
            <w:r w:rsidRPr="00EF633E">
              <w:rPr>
                <w:rFonts w:ascii="Arial" w:hAnsi="Arial"/>
                <w:b/>
                <w:color w:val="000000" w:themeColor="text1"/>
              </w:rPr>
              <w:t>Protección activa con desconexión automática de la fuente</w:t>
            </w:r>
          </w:p>
          <w:p w14:paraId="45FC2AF2" w14:textId="77777777" w:rsidR="00DD0AA6" w:rsidRPr="00EF633E" w:rsidRDefault="00DD0AA6" w:rsidP="00DD0AA6">
            <w:pPr>
              <w:jc w:val="both"/>
              <w:rPr>
                <w:rFonts w:ascii="Arial" w:hAnsi="Arial" w:cs="Arial"/>
                <w:color w:val="000000" w:themeColor="text1"/>
              </w:rPr>
            </w:pPr>
          </w:p>
          <w:p w14:paraId="76085FAD"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Está prohibida la aplicación del sistema de puesta a tierra TN-C para el circuito dedicado.</w:t>
            </w:r>
          </w:p>
          <w:p w14:paraId="3A4B60EA" w14:textId="77777777" w:rsidR="00DD0AA6" w:rsidRPr="00EF633E" w:rsidRDefault="00DD0AA6" w:rsidP="00DD0AA6">
            <w:pPr>
              <w:rPr>
                <w:rFonts w:ascii="Arial" w:hAnsi="Arial" w:cs="Arial"/>
                <w:color w:val="000000" w:themeColor="text1"/>
              </w:rPr>
            </w:pPr>
          </w:p>
          <w:p w14:paraId="78D1CE97" w14:textId="00254B9C" w:rsidR="00DD0AA6" w:rsidRPr="00EF633E" w:rsidRDefault="00DD0AA6" w:rsidP="00DD0AA6">
            <w:pPr>
              <w:jc w:val="both"/>
              <w:rPr>
                <w:rFonts w:ascii="Arial" w:hAnsi="Arial" w:cs="Arial"/>
              </w:rPr>
            </w:pPr>
            <w:r w:rsidRPr="00EF633E">
              <w:rPr>
                <w:rFonts w:ascii="Arial" w:hAnsi="Arial"/>
              </w:rPr>
              <w:lastRenderedPageBreak/>
              <w:t xml:space="preserve">Cada circuito dedicado de corriente alterna está protegido individualmente por un aparato de protección de corriente diferencial-residual con una corriente de trabajo de hasta 30 mA. </w:t>
            </w:r>
          </w:p>
          <w:p w14:paraId="33F6B4C9" w14:textId="77777777" w:rsidR="00DD0AA6" w:rsidRPr="00EF633E" w:rsidRDefault="00DD0AA6" w:rsidP="00DD0AA6">
            <w:pPr>
              <w:jc w:val="both"/>
              <w:rPr>
                <w:rFonts w:ascii="Arial" w:hAnsi="Arial" w:cs="Arial"/>
              </w:rPr>
            </w:pPr>
            <w:r w:rsidRPr="00EF633E">
              <w:rPr>
                <w:rFonts w:ascii="Arial" w:hAnsi="Arial"/>
              </w:rPr>
              <w:t>Por lo tanto, el punto de conexión está protegido:</w:t>
            </w:r>
          </w:p>
          <w:p w14:paraId="1A8263FB" w14:textId="77777777" w:rsidR="00DD0AA6" w:rsidRPr="00EF633E" w:rsidRDefault="00DD0AA6" w:rsidP="00DD0AA6">
            <w:pPr>
              <w:jc w:val="both"/>
              <w:rPr>
                <w:rFonts w:ascii="Arial" w:hAnsi="Arial" w:cs="Arial"/>
              </w:rPr>
            </w:pPr>
          </w:p>
          <w:p w14:paraId="17424950" w14:textId="77777777" w:rsidR="00DD0AA6" w:rsidRPr="00EF633E" w:rsidRDefault="00DD0AA6" w:rsidP="00DD0AA6">
            <w:pPr>
              <w:jc w:val="both"/>
              <w:rPr>
                <w:rFonts w:ascii="Arial" w:hAnsi="Arial" w:cs="Arial"/>
              </w:rPr>
            </w:pPr>
            <w:r w:rsidRPr="00EF633E">
              <w:rPr>
                <w:rFonts w:ascii="Arial" w:hAnsi="Arial"/>
              </w:rPr>
              <w:t>1) por medio de un aparato de protección de corriente diferencial-residual construido de tal manera que su funcionamiento siga estando garantizado cuando se produzca un error de aislamiento con un componente continuo que cause perturbaciones; o o</w:t>
            </w:r>
          </w:p>
          <w:p w14:paraId="65032D38" w14:textId="77777777" w:rsidR="00DD0AA6" w:rsidRPr="00EF633E" w:rsidRDefault="00DD0AA6" w:rsidP="00DD0AA6">
            <w:pPr>
              <w:jc w:val="both"/>
              <w:rPr>
                <w:rFonts w:ascii="Arial" w:hAnsi="Arial" w:cs="Arial"/>
              </w:rPr>
            </w:pPr>
          </w:p>
          <w:p w14:paraId="45EAAF29" w14:textId="77777777" w:rsidR="00DD0AA6" w:rsidRPr="00EF633E" w:rsidRDefault="00DD0AA6" w:rsidP="00DD0AA6">
            <w:pPr>
              <w:jc w:val="both"/>
              <w:rPr>
                <w:rFonts w:ascii="Arial" w:hAnsi="Arial" w:cs="Arial"/>
              </w:rPr>
            </w:pPr>
            <w:r w:rsidRPr="00EF633E">
              <w:rPr>
                <w:rFonts w:ascii="Arial" w:hAnsi="Arial"/>
              </w:rPr>
              <w:t>2) mediante un aparato de protección de corriente diferencial-residual conjuntamente y en coordinación con un dispositivo de detección de corriente diferencial-residual continua que desconecte la estación de carga cuando se produzca un error de aislamiento con un componente continuo que cause perturbaciones.</w:t>
            </w:r>
          </w:p>
          <w:p w14:paraId="574E8E5C" w14:textId="77777777" w:rsidR="00DD0AA6" w:rsidRPr="00EF633E" w:rsidRDefault="00DD0AA6" w:rsidP="00DD0AA6">
            <w:pPr>
              <w:jc w:val="both"/>
              <w:rPr>
                <w:rFonts w:ascii="Arial" w:hAnsi="Arial" w:cs="Arial"/>
              </w:rPr>
            </w:pPr>
          </w:p>
          <w:p w14:paraId="7BB850C9" w14:textId="77777777" w:rsidR="00DD0AA6" w:rsidRPr="00EF633E" w:rsidRDefault="00DD0AA6" w:rsidP="00DD0AA6">
            <w:pPr>
              <w:jc w:val="both"/>
              <w:rPr>
                <w:rFonts w:ascii="Arial" w:hAnsi="Arial" w:cs="Arial"/>
              </w:rPr>
            </w:pPr>
            <w:r w:rsidRPr="00EF633E">
              <w:rPr>
                <w:rFonts w:ascii="Arial" w:hAnsi="Arial"/>
              </w:rPr>
              <w:t>El requisito mencionado en los párrafos segundo y tercero se cumplirá mediante la aplicación de los aparatos de protección mencionados anteriormente, bien en la instalación eléctrica fija aguas arriba o bien en la estación de carga (o bien en una combinación de ambas).</w:t>
            </w:r>
          </w:p>
          <w:p w14:paraId="0B644B08" w14:textId="579DBB0C" w:rsidR="003C2DF7" w:rsidRPr="00EF633E" w:rsidRDefault="003C2DF7" w:rsidP="00BF274B">
            <w:pPr>
              <w:jc w:val="both"/>
              <w:rPr>
                <w:rFonts w:ascii="Arial" w:hAnsi="Arial" w:cs="Arial"/>
              </w:rPr>
            </w:pPr>
          </w:p>
          <w:p w14:paraId="23AA1FAC" w14:textId="77777777" w:rsidR="00DD0AA6" w:rsidRPr="00EF633E" w:rsidRDefault="00DD0AA6" w:rsidP="00844802">
            <w:pPr>
              <w:jc w:val="both"/>
              <w:rPr>
                <w:rFonts w:ascii="Arial" w:hAnsi="Arial" w:cs="Arial"/>
              </w:rPr>
            </w:pPr>
            <w:r w:rsidRPr="00EF633E">
              <w:rPr>
                <w:rFonts w:ascii="Arial" w:hAnsi="Arial"/>
              </w:rPr>
              <w:t>En el caso de un sistema informático de puesta a tierra, se permite:</w:t>
            </w:r>
          </w:p>
          <w:p w14:paraId="508DCB7F" w14:textId="77777777" w:rsidR="00DD0AA6" w:rsidRPr="00EF633E" w:rsidRDefault="00DD0AA6" w:rsidP="00DD0AA6">
            <w:pPr>
              <w:shd w:val="clear" w:color="auto" w:fill="FFFFFF" w:themeFill="background1"/>
              <w:jc w:val="both"/>
              <w:rPr>
                <w:rFonts w:ascii="Arial" w:hAnsi="Arial" w:cs="Arial"/>
              </w:rPr>
            </w:pPr>
          </w:p>
          <w:p w14:paraId="6AC4A1F3" w14:textId="00AB6B9C" w:rsidR="00DD0AA6" w:rsidRPr="00EF633E" w:rsidRDefault="00DD0AA6" w:rsidP="00DD0AA6">
            <w:pPr>
              <w:shd w:val="clear" w:color="auto" w:fill="FFFFFF" w:themeFill="background1"/>
              <w:jc w:val="both"/>
              <w:rPr>
                <w:rFonts w:ascii="Arial" w:hAnsi="Arial" w:cs="Arial"/>
              </w:rPr>
            </w:pPr>
            <w:r w:rsidRPr="00EF633E">
              <w:rPr>
                <w:rFonts w:ascii="Arial" w:hAnsi="Arial"/>
              </w:rPr>
              <w:t xml:space="preserve">1) omitir el aparato de protección de corriente diferencial-residual mencionado en el párrafo segundo, siempre que cada circuito dedicado reciba suministro, por separado, de una fuente de electricidad individual, por ejemplo, por un transformador de bobinado separado; </w:t>
            </w:r>
          </w:p>
          <w:p w14:paraId="6B28E3D0" w14:textId="77777777" w:rsidR="00DD0AA6" w:rsidRPr="00EF633E" w:rsidRDefault="00DD0AA6" w:rsidP="00DD0AA6">
            <w:pPr>
              <w:shd w:val="clear" w:color="auto" w:fill="FFFFFF" w:themeFill="background1"/>
              <w:jc w:val="both"/>
              <w:rPr>
                <w:rFonts w:ascii="Arial" w:hAnsi="Arial" w:cs="Arial"/>
              </w:rPr>
            </w:pPr>
          </w:p>
          <w:p w14:paraId="1AB8A2FE" w14:textId="77777777" w:rsidR="00DD0AA6" w:rsidRPr="00EF633E" w:rsidRDefault="00DD0AA6" w:rsidP="00DD0AA6">
            <w:pPr>
              <w:shd w:val="clear" w:color="auto" w:fill="FFFFFF" w:themeFill="background1"/>
              <w:jc w:val="both"/>
              <w:rPr>
                <w:rFonts w:ascii="Arial" w:hAnsi="Arial" w:cs="Arial"/>
              </w:rPr>
            </w:pPr>
            <w:r w:rsidRPr="00EF633E">
              <w:rPr>
                <w:rFonts w:ascii="Arial" w:hAnsi="Arial"/>
              </w:rPr>
              <w:t xml:space="preserve">2) proporcionar un monitor de aislamiento permanente para más de un circuito dedicado, si estos circuitos son alimentados por la misma fuente de electricidad, como, por ejemplo, un transformador. Este requisito se cumple con la aplicación de este dispositivo bien en la instalación eléctrica fija aguas arriba o bien en la estación de carga. </w:t>
            </w:r>
            <w:r w:rsidRPr="00EF633E">
              <w:rPr>
                <w:rFonts w:ascii="Arial" w:hAnsi="Arial"/>
                <w:color w:val="000000" w:themeColor="text1"/>
              </w:rPr>
              <w:t>En el momento en que un sistema permanente de supervisión del aislamiento informe de la existencia de un único fallo en la puesta en tierra, se adoptarán las medidas necesarias para la investigación y eliminación de dicho fallo.</w:t>
            </w:r>
          </w:p>
          <w:p w14:paraId="69779B42" w14:textId="77777777" w:rsidR="0001776B" w:rsidRPr="00EF633E" w:rsidRDefault="0001776B" w:rsidP="00DD0AA6">
            <w:pPr>
              <w:rPr>
                <w:rFonts w:ascii="Arial" w:hAnsi="Arial" w:cs="Arial"/>
                <w:color w:val="000000" w:themeColor="text1"/>
              </w:rPr>
            </w:pPr>
          </w:p>
          <w:p w14:paraId="58EF4DD1" w14:textId="77777777" w:rsidR="00DD0AA6" w:rsidRPr="00EF633E" w:rsidRDefault="00DD0AA6" w:rsidP="00DD0AA6">
            <w:pPr>
              <w:jc w:val="both"/>
              <w:rPr>
                <w:rFonts w:ascii="Arial" w:hAnsi="Arial" w:cs="Arial"/>
                <w:b/>
                <w:color w:val="000000" w:themeColor="text1"/>
              </w:rPr>
            </w:pPr>
            <w:r w:rsidRPr="00EF633E">
              <w:rPr>
                <w:rFonts w:ascii="Arial" w:hAnsi="Arial"/>
                <w:b/>
                <w:color w:val="000000" w:themeColor="text1"/>
              </w:rPr>
              <w:t xml:space="preserve">Subsección 7.22.4.2. Protección eléctrica contra sobrecorriente </w:t>
            </w:r>
          </w:p>
          <w:p w14:paraId="6F893339" w14:textId="77777777" w:rsidR="00DD0AA6" w:rsidRPr="00EF633E" w:rsidRDefault="00DD0AA6" w:rsidP="00DD0AA6">
            <w:pPr>
              <w:rPr>
                <w:rFonts w:ascii="Arial" w:hAnsi="Arial" w:cs="Arial"/>
                <w:color w:val="000000" w:themeColor="text1"/>
              </w:rPr>
            </w:pPr>
          </w:p>
          <w:p w14:paraId="7D7F0BE9"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Cada circuito dedicado está protegido individualmente por un dispositivo adecuado de protección contra sobrecorriente.</w:t>
            </w:r>
          </w:p>
          <w:p w14:paraId="0DF8F3BE" w14:textId="77777777" w:rsidR="00DD0AA6" w:rsidRPr="00EF633E" w:rsidRDefault="00DD0AA6" w:rsidP="00DD0AA6">
            <w:pPr>
              <w:jc w:val="both"/>
              <w:rPr>
                <w:rFonts w:ascii="Arial" w:hAnsi="Arial" w:cs="Arial"/>
                <w:color w:val="000000" w:themeColor="text1"/>
              </w:rPr>
            </w:pPr>
          </w:p>
          <w:p w14:paraId="22AB6A83" w14:textId="77777777" w:rsidR="00DD0AA6" w:rsidRPr="00EF633E" w:rsidRDefault="00DD0AA6" w:rsidP="00DD0AA6">
            <w:pPr>
              <w:jc w:val="both"/>
              <w:rPr>
                <w:rFonts w:ascii="Arial" w:hAnsi="Arial" w:cs="Arial"/>
              </w:rPr>
            </w:pPr>
            <w:r w:rsidRPr="00EF633E">
              <w:rPr>
                <w:rFonts w:ascii="Arial" w:hAnsi="Arial"/>
              </w:rPr>
              <w:t>Esto se lleva a cabo mediante la aplicación de un aparato de protección contra sobrecorriente adecuado que cumpla los requisitos del capítulo 4.4., y que se coloca en la instalación eléctrica fija aguas arriba o en la estación de carga (o en una combinación de ambas).</w:t>
            </w:r>
          </w:p>
          <w:p w14:paraId="1E36197F" w14:textId="77777777" w:rsidR="00DD0AA6" w:rsidRPr="00EF633E" w:rsidRDefault="00DD0AA6" w:rsidP="00DD0AA6">
            <w:pPr>
              <w:jc w:val="both"/>
              <w:rPr>
                <w:rFonts w:ascii="Arial" w:hAnsi="Arial" w:cs="Arial"/>
                <w:color w:val="000000" w:themeColor="text1"/>
              </w:rPr>
            </w:pPr>
          </w:p>
          <w:p w14:paraId="233D58AF" w14:textId="1C7CE4C5" w:rsidR="003C2DF7" w:rsidRPr="00EF633E" w:rsidRDefault="00DD0AA6" w:rsidP="00DD0AA6">
            <w:pPr>
              <w:jc w:val="both"/>
              <w:rPr>
                <w:rFonts w:ascii="Arial" w:hAnsi="Arial" w:cs="Arial"/>
                <w:b/>
                <w:i/>
                <w:color w:val="000000" w:themeColor="text1"/>
              </w:rPr>
            </w:pPr>
            <w:r w:rsidRPr="00EF633E">
              <w:rPr>
                <w:rFonts w:ascii="Arial" w:hAnsi="Arial"/>
              </w:rPr>
              <w:t>Como excepción al párrafo primero, si la estación de carga tiene varios puntos de conexión que no se utilizan simultáneamente, se permitirá que estos últimos dispongan de dispositivos comunes de protección contra sobrecorriente, siempre que dichos aparatos ofrezcan la protección requerida para cada uno de los puntos de conexión (por ejemplo, cuando la corriente nominal del dispositivo común de protección no sea superior a la corriente nominal más baja de los puntos de conexión).</w:t>
            </w:r>
          </w:p>
          <w:p w14:paraId="6E648943" w14:textId="77777777" w:rsidR="00BF274B" w:rsidRPr="00EF633E" w:rsidRDefault="00BF274B" w:rsidP="00BF274B">
            <w:pPr>
              <w:rPr>
                <w:rFonts w:ascii="Arial" w:hAnsi="Arial" w:cs="Arial"/>
                <w:color w:val="000000" w:themeColor="text1"/>
              </w:rPr>
            </w:pPr>
          </w:p>
          <w:p w14:paraId="1CFDF9D9" w14:textId="77777777" w:rsidR="00DD0AA6" w:rsidRPr="00EF633E" w:rsidRDefault="00DD0AA6" w:rsidP="00DD0AA6">
            <w:pPr>
              <w:jc w:val="both"/>
              <w:rPr>
                <w:rFonts w:ascii="Arial" w:hAnsi="Arial" w:cs="Arial"/>
                <w:i/>
                <w:color w:val="000000" w:themeColor="text1"/>
              </w:rPr>
            </w:pPr>
            <w:r w:rsidRPr="00EF633E">
              <w:rPr>
                <w:rFonts w:ascii="Arial" w:hAnsi="Arial"/>
                <w:b/>
                <w:i/>
                <w:color w:val="000000" w:themeColor="text1"/>
              </w:rPr>
              <w:t xml:space="preserve">Sección 7.22.5. Selección e implantación de equipos eléctricos </w:t>
            </w:r>
          </w:p>
          <w:p w14:paraId="5666AD9B" w14:textId="77777777" w:rsidR="00DD0AA6" w:rsidRPr="00EF633E" w:rsidRDefault="00DD0AA6" w:rsidP="00DD0AA6">
            <w:pPr>
              <w:rPr>
                <w:rFonts w:ascii="Arial" w:hAnsi="Arial" w:cs="Arial"/>
                <w:color w:val="000000" w:themeColor="text1"/>
              </w:rPr>
            </w:pPr>
          </w:p>
          <w:p w14:paraId="3C1F00DB" w14:textId="77777777" w:rsidR="00DD0AA6" w:rsidRPr="00EF633E" w:rsidRDefault="00DD0AA6" w:rsidP="00DD0AA6">
            <w:pPr>
              <w:jc w:val="both"/>
              <w:rPr>
                <w:rFonts w:ascii="Arial" w:hAnsi="Arial" w:cs="Arial"/>
                <w:b/>
                <w:color w:val="000000" w:themeColor="text1"/>
              </w:rPr>
            </w:pPr>
            <w:r w:rsidRPr="00EF633E">
              <w:rPr>
                <w:rFonts w:ascii="Arial" w:hAnsi="Arial"/>
                <w:b/>
                <w:color w:val="000000" w:themeColor="text1"/>
              </w:rPr>
              <w:t xml:space="preserve">Subsección 7.22.5.1. Influencias externas  </w:t>
            </w:r>
          </w:p>
          <w:p w14:paraId="56E296F4" w14:textId="77777777" w:rsidR="00DD0AA6" w:rsidRPr="00EF633E" w:rsidRDefault="00DD0AA6" w:rsidP="00DD0AA6">
            <w:pPr>
              <w:rPr>
                <w:rFonts w:ascii="Arial" w:hAnsi="Arial" w:cs="Arial"/>
                <w:color w:val="000000" w:themeColor="text1"/>
                <w:lang w:eastAsia="nl-NL"/>
              </w:rPr>
            </w:pPr>
          </w:p>
          <w:p w14:paraId="4DC5F2AB"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La estación de carga está protegida contra las influencias externas previsibles del lugar donde está instalada la estación de carga.</w:t>
            </w:r>
          </w:p>
          <w:p w14:paraId="3DFB76C4" w14:textId="77777777" w:rsidR="00DD0AA6" w:rsidRPr="00EF633E" w:rsidRDefault="00DD0AA6" w:rsidP="00DD0AA6">
            <w:pPr>
              <w:jc w:val="both"/>
              <w:rPr>
                <w:rFonts w:ascii="Arial" w:hAnsi="Arial" w:cs="Arial"/>
                <w:color w:val="000000" w:themeColor="text1"/>
              </w:rPr>
            </w:pPr>
          </w:p>
          <w:p w14:paraId="73082593" w14:textId="77777777" w:rsidR="00DD0AA6" w:rsidRPr="00EF633E" w:rsidRDefault="00DD0AA6" w:rsidP="00DD0AA6">
            <w:pPr>
              <w:jc w:val="both"/>
              <w:rPr>
                <w:rFonts w:ascii="Arial" w:hAnsi="Arial" w:cs="Arial"/>
              </w:rPr>
            </w:pPr>
            <w:r w:rsidRPr="00EF633E">
              <w:rPr>
                <w:rFonts w:ascii="Arial" w:hAnsi="Arial"/>
                <w:color w:val="000000" w:themeColor="text1"/>
              </w:rPr>
              <w:lastRenderedPageBreak/>
              <w:t>Si la estación de carga se instala al aire libre, el hardware tiene un nivel de protección de al menos IP44.</w:t>
            </w:r>
          </w:p>
          <w:p w14:paraId="1A967995" w14:textId="77777777" w:rsidR="00DD0AA6" w:rsidRPr="00EF633E" w:rsidRDefault="00DD0AA6" w:rsidP="00DD0AA6">
            <w:pPr>
              <w:jc w:val="both"/>
              <w:rPr>
                <w:rFonts w:ascii="Arial" w:hAnsi="Arial" w:cs="Arial"/>
                <w:color w:val="000000" w:themeColor="text1"/>
              </w:rPr>
            </w:pPr>
          </w:p>
          <w:p w14:paraId="19C3024D"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Además de las medidas contra las influencias externas previsibles, se adoptan medidas adicionales para proteger contra las tensiones mecánicas debidas a cualquier posible colisión razonablemente previsible.</w:t>
            </w:r>
          </w:p>
          <w:p w14:paraId="7CC6D648" w14:textId="77777777" w:rsidR="00DD0AA6" w:rsidRPr="00EF633E" w:rsidRDefault="00DD0AA6" w:rsidP="00BF274B">
            <w:pPr>
              <w:jc w:val="both"/>
              <w:rPr>
                <w:rFonts w:ascii="Arial" w:hAnsi="Arial" w:cs="Arial"/>
                <w:b/>
                <w:bCs/>
                <w:color w:val="000000" w:themeColor="text1"/>
              </w:rPr>
            </w:pPr>
          </w:p>
          <w:p w14:paraId="1D0C4A33" w14:textId="77777777" w:rsidR="00DD0AA6" w:rsidRPr="00EF633E" w:rsidRDefault="00DD0AA6" w:rsidP="00DD0AA6">
            <w:pPr>
              <w:jc w:val="both"/>
              <w:rPr>
                <w:rFonts w:ascii="Arial" w:hAnsi="Arial" w:cs="Arial"/>
                <w:b/>
                <w:bCs/>
                <w:color w:val="000000" w:themeColor="text1"/>
              </w:rPr>
            </w:pPr>
            <w:r w:rsidRPr="00EF633E">
              <w:rPr>
                <w:rFonts w:ascii="Arial" w:hAnsi="Arial"/>
                <w:b/>
                <w:color w:val="000000" w:themeColor="text1"/>
              </w:rPr>
              <w:t xml:space="preserve">Subsección 7.22.5.2. Influencias externas </w:t>
            </w:r>
          </w:p>
          <w:p w14:paraId="7B874CCF" w14:textId="77777777" w:rsidR="00DD0AA6" w:rsidRPr="00EF633E" w:rsidRDefault="00DD0AA6" w:rsidP="00DD0AA6">
            <w:pPr>
              <w:jc w:val="both"/>
              <w:rPr>
                <w:rFonts w:ascii="Arial" w:hAnsi="Arial" w:cs="Arial"/>
                <w:b/>
                <w:bCs/>
                <w:i/>
                <w:color w:val="000000" w:themeColor="text1"/>
              </w:rPr>
            </w:pPr>
          </w:p>
          <w:p w14:paraId="109A8994"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Las estaciones de carga instaladas en un edificio dispondrán de un sistema de corte de energía de emergencia, de conformidad con el punto C de la subsección 5.3.3.1. Cada unidad de control del sistema de corte de alimentación de emergencia es claramente visible y está debidamente etiquetada; además, debe ser de fácil acceso y estar lista para su uso. Estarán disponibles en cada entrada accesible para vehículos hacia el espacio común de estacionamiento, a menos que, previo acuerdo con el departamento de bomberos, el contratista determine otro lugar antes de proceder con el diseño y la construcción de la instalación. El aviso a los bomberos se registra en el archivo de instalación eléctrica y se mantiene en la propia ubicación a disposición de cualquier persona a cargo de tareas de instalación, mantenimiento, supervisión y control.</w:t>
            </w:r>
          </w:p>
          <w:p w14:paraId="139CA74B" w14:textId="77777777" w:rsidR="00DD0AA6" w:rsidRPr="00EF633E" w:rsidRDefault="00DD0AA6" w:rsidP="00DD0AA6">
            <w:pPr>
              <w:jc w:val="both"/>
              <w:rPr>
                <w:rFonts w:ascii="Arial" w:hAnsi="Arial" w:cs="Arial"/>
                <w:color w:val="000000" w:themeColor="text1"/>
              </w:rPr>
            </w:pPr>
          </w:p>
          <w:p w14:paraId="7BCAA862"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El sistema de corte de alimentación de emergencia garantiza una función de ruptura de carga.</w:t>
            </w:r>
          </w:p>
          <w:p w14:paraId="28AAA406" w14:textId="77777777" w:rsidR="00DD0AA6" w:rsidRPr="00EF633E" w:rsidRDefault="00DD0AA6" w:rsidP="00DD0AA6">
            <w:pPr>
              <w:jc w:val="both"/>
              <w:rPr>
                <w:rFonts w:ascii="Arial" w:hAnsi="Arial" w:cs="Arial"/>
                <w:color w:val="000000" w:themeColor="text1"/>
              </w:rPr>
            </w:pPr>
          </w:p>
          <w:p w14:paraId="35634DBA" w14:textId="77777777" w:rsidR="00DD0AA6" w:rsidRPr="00EF633E" w:rsidRDefault="00DD0AA6" w:rsidP="00DD0AA6">
            <w:pPr>
              <w:jc w:val="both"/>
              <w:rPr>
                <w:rFonts w:ascii="Arial" w:hAnsi="Arial" w:cs="Arial"/>
                <w:bCs/>
                <w:color w:val="000000" w:themeColor="text1"/>
              </w:rPr>
            </w:pPr>
            <w:r w:rsidRPr="00EF633E">
              <w:rPr>
                <w:rFonts w:ascii="Arial" w:hAnsi="Arial"/>
                <w:color w:val="000000" w:themeColor="text1"/>
              </w:rPr>
              <w:t>Esta subsección no se aplica a las estaciones de carga que formen parte de la instalación eléctrica de una unidad de alojamiento.</w:t>
            </w:r>
          </w:p>
          <w:p w14:paraId="1E5E4EFE" w14:textId="6D9DE91F" w:rsidR="00BF274B" w:rsidRPr="00EF633E" w:rsidRDefault="00BF274B" w:rsidP="00BF274B">
            <w:pPr>
              <w:jc w:val="both"/>
              <w:rPr>
                <w:rFonts w:ascii="Arial" w:hAnsi="Arial" w:cs="Arial"/>
                <w:iCs/>
              </w:rPr>
            </w:pPr>
          </w:p>
          <w:p w14:paraId="1DC202B1" w14:textId="77777777" w:rsidR="00DD0AA6" w:rsidRPr="00EF633E" w:rsidRDefault="00DD0AA6" w:rsidP="00DD0AA6">
            <w:pPr>
              <w:shd w:val="clear" w:color="auto" w:fill="FFFFFF" w:themeFill="background1"/>
              <w:jc w:val="both"/>
              <w:rPr>
                <w:rFonts w:ascii="Arial" w:hAnsi="Arial" w:cs="Arial"/>
                <w:b/>
                <w:bCs/>
                <w:color w:val="000000" w:themeColor="text1"/>
              </w:rPr>
            </w:pPr>
            <w:r w:rsidRPr="00EF633E">
              <w:rPr>
                <w:rFonts w:ascii="Arial" w:hAnsi="Arial"/>
                <w:b/>
                <w:color w:val="000000" w:themeColor="text1"/>
              </w:rPr>
              <w:t xml:space="preserve">Subsección 7.22.5.3. Punto de conexión </w:t>
            </w:r>
          </w:p>
          <w:p w14:paraId="36EE132C" w14:textId="77777777" w:rsidR="00DD0AA6" w:rsidRPr="00EF633E" w:rsidRDefault="00DD0AA6" w:rsidP="00DD0AA6">
            <w:pPr>
              <w:rPr>
                <w:rFonts w:ascii="Arial" w:hAnsi="Arial" w:cs="Arial"/>
                <w:bCs/>
                <w:color w:val="000000" w:themeColor="text1"/>
              </w:rPr>
            </w:pPr>
          </w:p>
          <w:p w14:paraId="666254C6"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El punto de conexión se encuentra lo más cerca posible del espacio de estacionamiento de vehículos eléctricos designado para la carga.</w:t>
            </w:r>
          </w:p>
          <w:p w14:paraId="655B2F4E" w14:textId="77777777" w:rsidR="00DD0AA6" w:rsidRPr="00EF633E" w:rsidRDefault="00DD0AA6" w:rsidP="00DD0AA6">
            <w:pPr>
              <w:jc w:val="both"/>
              <w:rPr>
                <w:rFonts w:ascii="Arial" w:hAnsi="Arial" w:cs="Arial"/>
                <w:color w:val="000000" w:themeColor="text1"/>
              </w:rPr>
            </w:pPr>
          </w:p>
          <w:p w14:paraId="7632BB71"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Cada punto de conexión solo puede conectarse eléctricamente a un vehículo eléctrico cada vez.</w:t>
            </w:r>
          </w:p>
          <w:p w14:paraId="134DE4C6" w14:textId="77777777" w:rsidR="00DD0AA6" w:rsidRPr="00EF633E" w:rsidRDefault="00DD0AA6" w:rsidP="00DD0AA6">
            <w:pPr>
              <w:jc w:val="both"/>
              <w:rPr>
                <w:rFonts w:ascii="Arial" w:hAnsi="Arial" w:cs="Arial"/>
                <w:color w:val="000000" w:themeColor="text1"/>
              </w:rPr>
            </w:pPr>
          </w:p>
          <w:p w14:paraId="2E4E4A2F" w14:textId="77777777" w:rsidR="00DD0AA6" w:rsidRPr="00EF633E" w:rsidRDefault="00DD0AA6" w:rsidP="00DD0AA6">
            <w:pPr>
              <w:jc w:val="both"/>
              <w:rPr>
                <w:rFonts w:ascii="Arial" w:hAnsi="Arial" w:cs="Arial"/>
                <w:b/>
                <w:bCs/>
                <w:color w:val="000000" w:themeColor="text1"/>
              </w:rPr>
            </w:pPr>
            <w:r w:rsidRPr="00EF633E">
              <w:rPr>
                <w:rFonts w:ascii="Arial" w:hAnsi="Arial"/>
                <w:b/>
                <w:color w:val="000000" w:themeColor="text1"/>
              </w:rPr>
              <w:t xml:space="preserve">Subsección 7.22.5.4. Unidades descentralizadas de producción de baja tensión </w:t>
            </w:r>
          </w:p>
          <w:p w14:paraId="0C80C724" w14:textId="77777777" w:rsidR="00DD0AA6" w:rsidRPr="00EF633E" w:rsidRDefault="00DD0AA6" w:rsidP="00DD0AA6">
            <w:pPr>
              <w:jc w:val="both"/>
              <w:rPr>
                <w:rFonts w:ascii="Arial" w:hAnsi="Arial" w:cs="Arial"/>
                <w:b/>
                <w:bCs/>
                <w:color w:val="000000" w:themeColor="text1"/>
              </w:rPr>
            </w:pPr>
          </w:p>
          <w:p w14:paraId="4364704B" w14:textId="77777777" w:rsidR="00DD0AA6" w:rsidRPr="00EF633E" w:rsidRDefault="00DD0AA6" w:rsidP="00DD0AA6">
            <w:pPr>
              <w:jc w:val="both"/>
              <w:rPr>
                <w:rFonts w:ascii="Arial" w:hAnsi="Arial" w:cs="Arial"/>
                <w:color w:val="000000" w:themeColor="text1"/>
              </w:rPr>
            </w:pPr>
            <w:r w:rsidRPr="00EF633E">
              <w:rPr>
                <w:rFonts w:ascii="Arial" w:hAnsi="Arial"/>
                <w:color w:val="000000" w:themeColor="text1"/>
              </w:rPr>
              <w:t>En caso de que la estación de carga permita la reinyección de energía eléctrica en la instalación eléctrica fija aguas arriba:</w:t>
            </w:r>
          </w:p>
          <w:p w14:paraId="7F34BA45" w14:textId="77777777" w:rsidR="00DD0AA6" w:rsidRPr="00EF633E" w:rsidRDefault="00DD0AA6" w:rsidP="00DD0AA6">
            <w:pPr>
              <w:jc w:val="both"/>
              <w:rPr>
                <w:rFonts w:ascii="Arial" w:hAnsi="Arial" w:cs="Arial"/>
                <w:color w:val="000000" w:themeColor="text1"/>
              </w:rPr>
            </w:pPr>
          </w:p>
          <w:p w14:paraId="24DADEC8" w14:textId="03CA53F7" w:rsidR="00DD0AA6" w:rsidRPr="00EF633E" w:rsidRDefault="00DD0AA6" w:rsidP="00DD0AA6">
            <w:pPr>
              <w:jc w:val="both"/>
              <w:rPr>
                <w:rFonts w:ascii="Arial" w:hAnsi="Arial" w:cs="Arial"/>
              </w:rPr>
            </w:pPr>
            <w:r w:rsidRPr="00EF633E">
              <w:rPr>
                <w:rFonts w:ascii="Arial" w:hAnsi="Arial"/>
                <w:color w:val="000000" w:themeColor="text1"/>
              </w:rPr>
              <w:t>1)</w:t>
            </w:r>
            <w:r w:rsidRPr="00EF633E">
              <w:rPr>
                <w:rFonts w:ascii="Arial" w:hAnsi="Arial"/>
                <w:color w:val="000000" w:themeColor="text1"/>
              </w:rPr>
              <w:tab/>
              <w:t>deben cumplirse los requisitos de las unidades de producción descentralizadas, en particular para</w:t>
            </w:r>
            <w:r w:rsidRPr="00EF633E">
              <w:rPr>
                <w:rFonts w:ascii="Arial" w:hAnsi="Arial"/>
              </w:rPr>
              <w:t xml:space="preserve"> la protección contra las descargas eléctricas, la protección contra sobrecorriente y los cortes de seguridad;</w:t>
            </w:r>
          </w:p>
          <w:p w14:paraId="30C2E303" w14:textId="77777777" w:rsidR="00DD0AA6" w:rsidRPr="00EF633E" w:rsidRDefault="00DD0AA6" w:rsidP="00DD0AA6">
            <w:pPr>
              <w:jc w:val="both"/>
              <w:rPr>
                <w:rFonts w:ascii="Arial" w:hAnsi="Arial" w:cs="Arial"/>
                <w:color w:val="000000" w:themeColor="text1"/>
              </w:rPr>
            </w:pPr>
          </w:p>
          <w:p w14:paraId="78E99C39" w14:textId="3F7A8F8C" w:rsidR="00DD0AA6" w:rsidRPr="00EF633E" w:rsidRDefault="00DD0AA6" w:rsidP="00DD0AA6">
            <w:pPr>
              <w:jc w:val="both"/>
              <w:rPr>
                <w:rFonts w:ascii="Arial" w:hAnsi="Arial" w:cs="Arial"/>
              </w:rPr>
            </w:pPr>
            <w:r w:rsidRPr="00EF633E">
              <w:rPr>
                <w:rFonts w:ascii="Arial" w:hAnsi="Arial"/>
                <w:color w:val="000000" w:themeColor="text1"/>
              </w:rPr>
              <w:t>2) la advertencia:</w:t>
            </w:r>
            <w:r w:rsidRPr="00EF633E">
              <w:rPr>
                <w:rFonts w:ascii="Arial" w:hAnsi="Arial"/>
                <w:color w:val="000000" w:themeColor="text1"/>
              </w:rPr>
              <w:tab/>
              <w:t xml:space="preserve"> «Precaución: posible reinyección de energía eléctrica en la instalación» </w:t>
            </w:r>
            <w:r w:rsidRPr="00EF633E">
              <w:rPr>
                <w:rFonts w:ascii="Arial" w:hAnsi="Arial"/>
              </w:rPr>
              <w:t>debe aplicarse a las estaciones de carga y a los paneles de operación y distribución alimentados por ellas.</w:t>
            </w:r>
          </w:p>
          <w:p w14:paraId="5BE1BE55" w14:textId="77777777" w:rsidR="00C118D6" w:rsidRPr="00EF633E" w:rsidRDefault="00C118D6" w:rsidP="00DD0AA6">
            <w:pPr>
              <w:jc w:val="both"/>
              <w:rPr>
                <w:rFonts w:ascii="Arial" w:hAnsi="Arial" w:cs="Arial"/>
              </w:rPr>
            </w:pPr>
          </w:p>
          <w:p w14:paraId="7163CB63" w14:textId="77777777" w:rsidR="00DD0AA6" w:rsidRPr="00EF633E" w:rsidRDefault="00DD0AA6" w:rsidP="00DD0AA6">
            <w:pPr>
              <w:jc w:val="both"/>
              <w:rPr>
                <w:rFonts w:ascii="Arial" w:hAnsi="Arial" w:cs="Arial"/>
                <w:b/>
                <w:color w:val="000000" w:themeColor="text1"/>
              </w:rPr>
            </w:pPr>
            <w:r w:rsidRPr="00EF633E">
              <w:rPr>
                <w:rFonts w:ascii="Arial" w:hAnsi="Arial"/>
                <w:b/>
                <w:color w:val="000000" w:themeColor="text1"/>
              </w:rPr>
              <w:t xml:space="preserve">Subsección 7.22.5.5. Ubicación de las estaciones de carga y sus espacios de aparcamiento adyacentes </w:t>
            </w:r>
          </w:p>
          <w:p w14:paraId="1C7E8A01" w14:textId="77777777" w:rsidR="00DD0AA6" w:rsidRPr="00EF633E" w:rsidRDefault="00DD0AA6" w:rsidP="00DD0AA6">
            <w:pPr>
              <w:jc w:val="both"/>
              <w:rPr>
                <w:rFonts w:ascii="Arial" w:hAnsi="Arial" w:cs="Arial"/>
                <w:b/>
                <w:color w:val="000000" w:themeColor="text1"/>
                <w:lang w:eastAsia="nl-NL"/>
              </w:rPr>
            </w:pPr>
          </w:p>
          <w:p w14:paraId="7F11120A" w14:textId="3D8117B6" w:rsidR="00BF274B" w:rsidRPr="00EF633E" w:rsidRDefault="00DD0AA6" w:rsidP="00DD0AA6">
            <w:pPr>
              <w:jc w:val="both"/>
              <w:rPr>
                <w:rFonts w:ascii="Arial" w:hAnsi="Arial" w:cs="Arial"/>
              </w:rPr>
            </w:pPr>
            <w:r w:rsidRPr="00EF633E">
              <w:rPr>
                <w:rFonts w:ascii="Arial" w:hAnsi="Arial"/>
                <w:color w:val="000000" w:themeColor="text1"/>
              </w:rPr>
              <w:t>Las estaciones de carga y sus espacios de aparcamiento adyacentes no se encuentran en lugares con influencias externas BE3.</w:t>
            </w:r>
          </w:p>
          <w:p w14:paraId="5AE45711" w14:textId="3F8BAA3B" w:rsidR="003C2DF7" w:rsidRPr="00EF633E" w:rsidRDefault="003C2DF7" w:rsidP="00BF274B">
            <w:pPr>
              <w:jc w:val="both"/>
              <w:rPr>
                <w:rFonts w:ascii="Arial" w:hAnsi="Arial" w:cs="Arial"/>
              </w:rPr>
            </w:pPr>
          </w:p>
          <w:p w14:paraId="21D46C32" w14:textId="7AEB7726" w:rsidR="00DD0AA6" w:rsidRPr="00EF633E" w:rsidRDefault="00DD0AA6" w:rsidP="00BF274B">
            <w:pPr>
              <w:jc w:val="both"/>
              <w:rPr>
                <w:rFonts w:ascii="Arial" w:hAnsi="Arial" w:cs="Arial"/>
              </w:rPr>
            </w:pPr>
            <w:r w:rsidRPr="00EF633E">
              <w:rPr>
                <w:rFonts w:ascii="Arial" w:hAnsi="Arial"/>
              </w:rPr>
              <w:t>Visto como anexo al Real Decreto, de       10 de julio de 2022                                      </w:t>
            </w:r>
            <w:proofErr w:type="gramStart"/>
            <w:r w:rsidRPr="00EF633E">
              <w:rPr>
                <w:rFonts w:ascii="Arial" w:hAnsi="Arial"/>
              </w:rPr>
              <w:t>  ,</w:t>
            </w:r>
            <w:proofErr w:type="gramEnd"/>
            <w:r w:rsidRPr="00EF633E">
              <w:rPr>
                <w:rFonts w:ascii="Arial" w:hAnsi="Arial"/>
              </w:rPr>
              <w:t xml:space="preserve"> por el que se inserta el capítulo 7.22. del Libro 1 y se modifican determinadas partes de los Libros 1 y 3, introducido por el Real Decreto, de 8 de septiembre de 2019, por el que se establecen el </w:t>
            </w:r>
            <w:r w:rsidRPr="00EF633E">
              <w:rPr>
                <w:rFonts w:ascii="Arial" w:hAnsi="Arial"/>
              </w:rPr>
              <w:lastRenderedPageBreak/>
              <w:t>Libro 1 sobre instalaciones eléctricas de baja tensión y muy baja tensión, el Libro 2 sobre instalaciones eléctricas de alta tensión y el Libro 3 sobre instalaciones de transmisión y distribución de electricidad.</w:t>
            </w:r>
          </w:p>
          <w:p w14:paraId="69850FE5" w14:textId="30BFA094" w:rsidR="00DD0AA6" w:rsidRPr="00EF633E" w:rsidRDefault="00DD0AA6" w:rsidP="00BF274B">
            <w:pPr>
              <w:jc w:val="both"/>
              <w:rPr>
                <w:rFonts w:ascii="Arial" w:hAnsi="Arial" w:cs="Arial"/>
              </w:rPr>
            </w:pPr>
          </w:p>
          <w:p w14:paraId="4280262E" w14:textId="49459970" w:rsidR="00DD0AA6" w:rsidRPr="00EF633E" w:rsidRDefault="00DD0AA6" w:rsidP="00BF274B">
            <w:pPr>
              <w:jc w:val="both"/>
              <w:rPr>
                <w:rFonts w:ascii="Arial" w:hAnsi="Arial" w:cs="Arial"/>
              </w:rPr>
            </w:pPr>
          </w:p>
          <w:p w14:paraId="45D4053B" w14:textId="77777777" w:rsidR="00DD0AA6" w:rsidRPr="00EF633E" w:rsidRDefault="00DD0AA6" w:rsidP="00BF274B">
            <w:pPr>
              <w:jc w:val="both"/>
              <w:rPr>
                <w:rFonts w:ascii="Arial" w:hAnsi="Arial" w:cs="Arial"/>
              </w:rPr>
            </w:pPr>
          </w:p>
          <w:p w14:paraId="12788B40" w14:textId="7CDC5555" w:rsidR="00BF274B" w:rsidRPr="00EF633E" w:rsidRDefault="003C2DF7" w:rsidP="00BF274B">
            <w:pPr>
              <w:jc w:val="both"/>
              <w:rPr>
                <w:rFonts w:ascii="Arial" w:hAnsi="Arial" w:cs="Arial"/>
              </w:rPr>
            </w:pPr>
            <w:r w:rsidRPr="00EF633E">
              <w:rPr>
                <w:rFonts w:ascii="Arial" w:hAnsi="Arial"/>
              </w:rPr>
              <w:br/>
            </w:r>
            <w:r w:rsidRPr="00EF633E">
              <w:rPr>
                <w:rFonts w:ascii="Arial" w:hAnsi="Arial"/>
              </w:rPr>
              <w:br/>
            </w:r>
            <w:r w:rsidRPr="00EF633E">
              <w:rPr>
                <w:rFonts w:ascii="Arial" w:hAnsi="Arial"/>
              </w:rPr>
              <w:br/>
            </w:r>
            <w:r w:rsidRPr="00EF633E">
              <w:rPr>
                <w:rFonts w:ascii="Arial" w:hAnsi="Arial"/>
              </w:rPr>
              <w:br/>
            </w:r>
            <w:r w:rsidRPr="00EF633E">
              <w:rPr>
                <w:rFonts w:ascii="Arial" w:hAnsi="Arial"/>
              </w:rPr>
              <w:br/>
            </w:r>
            <w:r w:rsidRPr="00EF633E">
              <w:rPr>
                <w:rFonts w:ascii="Arial" w:hAnsi="Arial"/>
              </w:rPr>
              <w:br/>
            </w:r>
            <w:r w:rsidRPr="00EF633E">
              <w:rPr>
                <w:rFonts w:ascii="Arial" w:hAnsi="Arial"/>
              </w:rPr>
              <w:br/>
            </w:r>
            <w:r w:rsidRPr="00EF633E">
              <w:rPr>
                <w:rFonts w:ascii="Arial" w:hAnsi="Arial"/>
              </w:rPr>
              <w:br/>
            </w:r>
          </w:p>
          <w:p w14:paraId="433369E2" w14:textId="77777777" w:rsidR="00DD0AA6" w:rsidRPr="00EF633E" w:rsidRDefault="00DD0AA6" w:rsidP="00BF274B">
            <w:pPr>
              <w:jc w:val="both"/>
              <w:rPr>
                <w:rFonts w:ascii="Arial" w:hAnsi="Arial" w:cs="Arial"/>
              </w:rPr>
            </w:pPr>
          </w:p>
          <w:p w14:paraId="542AC3AC" w14:textId="13190DCF" w:rsidR="00DD0AA6" w:rsidRPr="00EF633E" w:rsidRDefault="00DD0AA6" w:rsidP="00BF274B">
            <w:pPr>
              <w:jc w:val="both"/>
              <w:rPr>
                <w:rFonts w:ascii="Arial" w:hAnsi="Arial" w:cs="Arial"/>
                <w:b/>
                <w:color w:val="000000" w:themeColor="text1"/>
              </w:rPr>
            </w:pPr>
          </w:p>
        </w:tc>
      </w:tr>
      <w:tr w:rsidR="00BF274B" w:rsidRPr="00EF633E" w14:paraId="2D1208C7" w14:textId="77777777" w:rsidTr="00EB6A7E">
        <w:tc>
          <w:tcPr>
            <w:tcW w:w="4774" w:type="dxa"/>
            <w:gridSpan w:val="2"/>
          </w:tcPr>
          <w:p w14:paraId="40062ED1" w14:textId="214A65B1" w:rsidR="00BF274B" w:rsidRPr="00EF633E" w:rsidRDefault="00BF274B" w:rsidP="00106BDC">
            <w:pPr>
              <w:jc w:val="center"/>
              <w:rPr>
                <w:rFonts w:ascii="Arial" w:hAnsi="Arial" w:cs="Arial"/>
                <w:b/>
                <w:i/>
                <w:color w:val="000000" w:themeColor="text1"/>
                <w:lang w:eastAsia="nl-NL"/>
              </w:rPr>
            </w:pPr>
          </w:p>
        </w:tc>
        <w:tc>
          <w:tcPr>
            <w:tcW w:w="4779" w:type="dxa"/>
            <w:gridSpan w:val="2"/>
          </w:tcPr>
          <w:p w14:paraId="483ED22E" w14:textId="2BB6DF41" w:rsidR="00BF274B" w:rsidRPr="00EF633E" w:rsidRDefault="00DD0AA6" w:rsidP="00106BDC">
            <w:pPr>
              <w:jc w:val="center"/>
              <w:rPr>
                <w:rFonts w:ascii="Arial" w:hAnsi="Arial" w:cs="Arial"/>
                <w:b/>
                <w:i/>
                <w:color w:val="000000" w:themeColor="text1"/>
              </w:rPr>
            </w:pPr>
            <w:r w:rsidRPr="00EF633E">
              <w:rPr>
                <w:rFonts w:ascii="Arial" w:hAnsi="Arial"/>
              </w:rPr>
              <w:t>Por el Rey:</w:t>
            </w:r>
          </w:p>
        </w:tc>
      </w:tr>
      <w:tr w:rsidR="00BF274B" w:rsidRPr="00EF633E" w14:paraId="38F1489E" w14:textId="77777777" w:rsidTr="00106BDC">
        <w:tc>
          <w:tcPr>
            <w:tcW w:w="4774" w:type="dxa"/>
            <w:gridSpan w:val="2"/>
          </w:tcPr>
          <w:p w14:paraId="6E3C46E3" w14:textId="6BD815E8" w:rsidR="00BF274B" w:rsidRPr="00EF633E" w:rsidRDefault="00BF274B" w:rsidP="003E3226">
            <w:pPr>
              <w:jc w:val="center"/>
              <w:rPr>
                <w:rFonts w:ascii="Arial" w:hAnsi="Arial" w:cs="Arial"/>
              </w:rPr>
            </w:pPr>
          </w:p>
        </w:tc>
        <w:tc>
          <w:tcPr>
            <w:tcW w:w="4779" w:type="dxa"/>
            <w:gridSpan w:val="2"/>
          </w:tcPr>
          <w:p w14:paraId="5E166DF0" w14:textId="5BCD6089" w:rsidR="00106BDC" w:rsidRPr="00EF633E" w:rsidRDefault="00DD0AA6" w:rsidP="003E3226">
            <w:pPr>
              <w:jc w:val="center"/>
              <w:rPr>
                <w:rFonts w:ascii="Arial" w:hAnsi="Arial" w:cs="Arial"/>
                <w:spacing w:val="-3"/>
              </w:rPr>
            </w:pPr>
            <w:r w:rsidRPr="00EF633E">
              <w:rPr>
                <w:rFonts w:ascii="Arial" w:hAnsi="Arial"/>
              </w:rPr>
              <w:t>El Ministro de Trabajo,</w:t>
            </w:r>
          </w:p>
          <w:p w14:paraId="6C540621" w14:textId="77777777" w:rsidR="00106BDC" w:rsidRPr="00EF633E" w:rsidRDefault="00106BDC" w:rsidP="003E3226">
            <w:pPr>
              <w:jc w:val="center"/>
              <w:rPr>
                <w:rFonts w:ascii="Arial" w:hAnsi="Arial" w:cs="Arial"/>
                <w:spacing w:val="-3"/>
              </w:rPr>
            </w:pPr>
          </w:p>
          <w:p w14:paraId="2A5C1004" w14:textId="77777777" w:rsidR="00106BDC" w:rsidRPr="00EF633E" w:rsidRDefault="00106BDC" w:rsidP="003E3226">
            <w:pPr>
              <w:jc w:val="center"/>
              <w:rPr>
                <w:rFonts w:ascii="Arial" w:hAnsi="Arial" w:cs="Arial"/>
                <w:spacing w:val="-3"/>
              </w:rPr>
            </w:pPr>
          </w:p>
          <w:p w14:paraId="1584C42F" w14:textId="77777777" w:rsidR="00106BDC" w:rsidRPr="00EF633E" w:rsidRDefault="00106BDC" w:rsidP="003E3226">
            <w:pPr>
              <w:jc w:val="center"/>
              <w:rPr>
                <w:rFonts w:ascii="Arial" w:hAnsi="Arial" w:cs="Arial"/>
                <w:spacing w:val="-3"/>
              </w:rPr>
            </w:pPr>
          </w:p>
          <w:p w14:paraId="062BD49F" w14:textId="31BD28C1" w:rsidR="00106BDC" w:rsidRPr="00EF633E" w:rsidRDefault="00106BDC" w:rsidP="003E3226">
            <w:pPr>
              <w:jc w:val="center"/>
              <w:rPr>
                <w:rFonts w:ascii="Arial" w:hAnsi="Arial" w:cs="Arial"/>
                <w:spacing w:val="-3"/>
              </w:rPr>
            </w:pPr>
          </w:p>
          <w:p w14:paraId="40D14A35" w14:textId="5B00055D" w:rsidR="00406053" w:rsidRPr="00EF633E" w:rsidRDefault="00406053" w:rsidP="003E3226">
            <w:pPr>
              <w:jc w:val="center"/>
              <w:rPr>
                <w:rFonts w:ascii="Arial" w:hAnsi="Arial" w:cs="Arial"/>
                <w:spacing w:val="-3"/>
              </w:rPr>
            </w:pPr>
          </w:p>
          <w:p w14:paraId="2ADA9AA0" w14:textId="77777777" w:rsidR="003E3226" w:rsidRPr="00EF633E" w:rsidRDefault="003E3226" w:rsidP="003E3226">
            <w:pPr>
              <w:jc w:val="center"/>
              <w:rPr>
                <w:rFonts w:ascii="Arial" w:hAnsi="Arial" w:cs="Arial"/>
                <w:spacing w:val="-3"/>
              </w:rPr>
            </w:pPr>
          </w:p>
          <w:p w14:paraId="197858BF" w14:textId="2166F759" w:rsidR="00106BDC" w:rsidRPr="00EF633E" w:rsidRDefault="00106BDC" w:rsidP="003E3226">
            <w:pPr>
              <w:jc w:val="center"/>
              <w:rPr>
                <w:rFonts w:ascii="Arial" w:hAnsi="Arial" w:cs="Arial"/>
              </w:rPr>
            </w:pPr>
          </w:p>
        </w:tc>
      </w:tr>
      <w:tr w:rsidR="00BF274B" w:rsidRPr="00EF633E" w14:paraId="1B498759" w14:textId="77777777" w:rsidTr="00106BDC">
        <w:tc>
          <w:tcPr>
            <w:tcW w:w="9553" w:type="dxa"/>
            <w:gridSpan w:val="4"/>
          </w:tcPr>
          <w:p w14:paraId="381BDACD" w14:textId="77777777" w:rsidR="00BF274B" w:rsidRPr="00EF633E" w:rsidRDefault="00BF274B" w:rsidP="00BF274B">
            <w:pPr>
              <w:jc w:val="center"/>
              <w:rPr>
                <w:rFonts w:ascii="Arial" w:hAnsi="Arial" w:cs="Arial"/>
                <w:spacing w:val="-3"/>
              </w:rPr>
            </w:pPr>
            <w:r w:rsidRPr="00EF633E">
              <w:rPr>
                <w:rStyle w:val="acopre1"/>
                <w:rFonts w:ascii="Arial" w:hAnsi="Arial"/>
              </w:rPr>
              <w:t>Pierre-Yves Dermagne</w:t>
            </w:r>
            <w:r w:rsidRPr="00EF633E">
              <w:rPr>
                <w:rFonts w:ascii="Arial" w:hAnsi="Arial"/>
              </w:rPr>
              <w:t xml:space="preserve"> </w:t>
            </w:r>
          </w:p>
          <w:p w14:paraId="36454A8B" w14:textId="77777777" w:rsidR="00BF274B" w:rsidRPr="00EF633E" w:rsidRDefault="00BF274B" w:rsidP="00BF274B">
            <w:pPr>
              <w:jc w:val="both"/>
              <w:rPr>
                <w:rFonts w:ascii="Arial" w:hAnsi="Arial" w:cs="Arial"/>
                <w:spacing w:val="-3"/>
                <w:lang w:val="nl-BE"/>
              </w:rPr>
            </w:pPr>
          </w:p>
        </w:tc>
      </w:tr>
      <w:tr w:rsidR="00106BDC" w:rsidRPr="00EF633E" w14:paraId="1540C9BE" w14:textId="77777777" w:rsidTr="00106BDC">
        <w:tc>
          <w:tcPr>
            <w:tcW w:w="4774" w:type="dxa"/>
            <w:gridSpan w:val="2"/>
          </w:tcPr>
          <w:p w14:paraId="4A7CA506" w14:textId="3E2C0B5F" w:rsidR="00106BDC" w:rsidRPr="00EF633E" w:rsidRDefault="00106BDC" w:rsidP="003E3226">
            <w:pPr>
              <w:jc w:val="center"/>
              <w:rPr>
                <w:rFonts w:ascii="Arial" w:hAnsi="Arial" w:cs="Arial"/>
                <w:lang w:val="nl-NL"/>
              </w:rPr>
            </w:pPr>
          </w:p>
        </w:tc>
        <w:tc>
          <w:tcPr>
            <w:tcW w:w="4779" w:type="dxa"/>
            <w:gridSpan w:val="2"/>
          </w:tcPr>
          <w:p w14:paraId="43F92D55" w14:textId="337C69EB" w:rsidR="00106BDC" w:rsidRPr="00EF633E" w:rsidRDefault="00DD0AA6" w:rsidP="003E3226">
            <w:pPr>
              <w:jc w:val="center"/>
              <w:rPr>
                <w:rFonts w:ascii="Arial" w:hAnsi="Arial" w:cs="Arial"/>
              </w:rPr>
            </w:pPr>
            <w:r w:rsidRPr="00EF633E">
              <w:rPr>
                <w:rFonts w:ascii="Arial" w:hAnsi="Arial"/>
              </w:rPr>
              <w:t>La Ministra de Energía,</w:t>
            </w:r>
          </w:p>
          <w:p w14:paraId="7F8D760D" w14:textId="77777777" w:rsidR="00106BDC" w:rsidRPr="00EF633E" w:rsidRDefault="00106BDC" w:rsidP="00106BDC">
            <w:pPr>
              <w:jc w:val="both"/>
              <w:rPr>
                <w:rFonts w:ascii="Arial" w:hAnsi="Arial" w:cs="Arial"/>
                <w:lang w:val="nl-BE"/>
              </w:rPr>
            </w:pPr>
          </w:p>
          <w:p w14:paraId="2630C78E" w14:textId="77777777" w:rsidR="00106BDC" w:rsidRPr="00EF633E" w:rsidRDefault="00106BDC" w:rsidP="00106BDC">
            <w:pPr>
              <w:jc w:val="both"/>
              <w:rPr>
                <w:rFonts w:ascii="Arial" w:hAnsi="Arial" w:cs="Arial"/>
                <w:lang w:val="nl-BE"/>
              </w:rPr>
            </w:pPr>
          </w:p>
          <w:p w14:paraId="7BA6D10C" w14:textId="77777777" w:rsidR="00106BDC" w:rsidRPr="00EF633E" w:rsidRDefault="00106BDC" w:rsidP="00106BDC">
            <w:pPr>
              <w:jc w:val="both"/>
              <w:rPr>
                <w:rFonts w:ascii="Arial" w:hAnsi="Arial" w:cs="Arial"/>
                <w:lang w:val="nl-BE"/>
              </w:rPr>
            </w:pPr>
          </w:p>
          <w:p w14:paraId="4F289A06" w14:textId="77777777" w:rsidR="00106BDC" w:rsidRPr="00EF633E" w:rsidRDefault="00106BDC" w:rsidP="00106BDC">
            <w:pPr>
              <w:jc w:val="both"/>
              <w:rPr>
                <w:rFonts w:ascii="Arial" w:hAnsi="Arial" w:cs="Arial"/>
                <w:lang w:val="nl-BE"/>
              </w:rPr>
            </w:pPr>
          </w:p>
          <w:p w14:paraId="01E846EE" w14:textId="77777777" w:rsidR="00106BDC" w:rsidRPr="00EF633E" w:rsidRDefault="00106BDC" w:rsidP="00106BDC">
            <w:pPr>
              <w:jc w:val="both"/>
              <w:rPr>
                <w:rFonts w:ascii="Arial" w:hAnsi="Arial" w:cs="Arial"/>
                <w:lang w:val="nl-BE"/>
              </w:rPr>
            </w:pPr>
          </w:p>
          <w:p w14:paraId="5D00147F" w14:textId="77777777" w:rsidR="00106BDC" w:rsidRPr="00EF633E" w:rsidRDefault="00106BDC" w:rsidP="00106BDC">
            <w:pPr>
              <w:jc w:val="both"/>
              <w:rPr>
                <w:rFonts w:ascii="Arial" w:hAnsi="Arial" w:cs="Arial"/>
                <w:spacing w:val="-3"/>
                <w:lang w:val="nl-BE"/>
              </w:rPr>
            </w:pPr>
          </w:p>
          <w:p w14:paraId="2AD3AA80" w14:textId="472E922C" w:rsidR="003C2DF7" w:rsidRPr="00EF633E" w:rsidRDefault="003C2DF7" w:rsidP="00106BDC">
            <w:pPr>
              <w:jc w:val="both"/>
              <w:rPr>
                <w:rFonts w:ascii="Arial" w:hAnsi="Arial" w:cs="Arial"/>
                <w:spacing w:val="-3"/>
                <w:lang w:val="nl-BE"/>
              </w:rPr>
            </w:pPr>
          </w:p>
        </w:tc>
      </w:tr>
      <w:tr w:rsidR="00106BDC" w:rsidRPr="00EF633E" w14:paraId="68257E2F" w14:textId="77777777" w:rsidTr="00106BDC">
        <w:tc>
          <w:tcPr>
            <w:tcW w:w="9553" w:type="dxa"/>
            <w:gridSpan w:val="4"/>
          </w:tcPr>
          <w:p w14:paraId="74FEA5A4" w14:textId="1D68146F" w:rsidR="00106BDC" w:rsidRPr="00EF633E" w:rsidRDefault="00106BDC" w:rsidP="00844802">
            <w:pPr>
              <w:jc w:val="center"/>
              <w:rPr>
                <w:rFonts w:ascii="Arial" w:hAnsi="Arial" w:cs="Arial"/>
                <w:spacing w:val="-3"/>
              </w:rPr>
            </w:pPr>
            <w:r w:rsidRPr="00EF633E">
              <w:rPr>
                <w:rFonts w:ascii="Arial" w:hAnsi="Arial"/>
              </w:rPr>
              <w:t>Tinne Van der Straeten</w:t>
            </w:r>
          </w:p>
        </w:tc>
      </w:tr>
      <w:bookmarkEnd w:id="0"/>
    </w:tbl>
    <w:p w14:paraId="57A461D4" w14:textId="77777777" w:rsidR="00996E0F" w:rsidRPr="00BF274B" w:rsidRDefault="00996E0F" w:rsidP="00996E0F">
      <w:pPr>
        <w:jc w:val="both"/>
        <w:rPr>
          <w:lang w:val="nl-NL"/>
        </w:rPr>
      </w:pPr>
    </w:p>
    <w:sectPr w:rsidR="00996E0F" w:rsidRPr="00BF274B">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4787D" w14:textId="77777777" w:rsidR="00D66D8B" w:rsidRDefault="00D66D8B" w:rsidP="00CD031E">
      <w:pPr>
        <w:spacing w:after="0" w:line="240" w:lineRule="auto"/>
      </w:pPr>
      <w:r>
        <w:separator/>
      </w:r>
    </w:p>
  </w:endnote>
  <w:endnote w:type="continuationSeparator" w:id="0">
    <w:p w14:paraId="7E08C0D4" w14:textId="77777777" w:rsidR="00D66D8B" w:rsidRDefault="00D66D8B"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71DF" w14:textId="77777777" w:rsidR="00944B04" w:rsidRDefault="00944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CEF9" w14:textId="77777777" w:rsidR="00944B04" w:rsidRDefault="00944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9082" w14:textId="77777777" w:rsidR="00944B04" w:rsidRDefault="0094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6F38" w14:textId="77777777" w:rsidR="00D66D8B" w:rsidRDefault="00D66D8B" w:rsidP="00CD031E">
      <w:pPr>
        <w:spacing w:after="0" w:line="240" w:lineRule="auto"/>
      </w:pPr>
      <w:r>
        <w:separator/>
      </w:r>
    </w:p>
  </w:footnote>
  <w:footnote w:type="continuationSeparator" w:id="0">
    <w:p w14:paraId="72E8BD79" w14:textId="77777777" w:rsidR="00D66D8B" w:rsidRDefault="00D66D8B"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3195" w14:textId="77777777" w:rsidR="00944B04" w:rsidRDefault="00944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59B9" w14:textId="77777777" w:rsidR="00944B04" w:rsidRDefault="00944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0EC7" w14:textId="77777777" w:rsidR="00944B04" w:rsidRDefault="00944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303392610">
    <w:abstractNumId w:val="0"/>
  </w:num>
  <w:num w:numId="2" w16cid:durableId="190926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0F"/>
    <w:rsid w:val="000047B5"/>
    <w:rsid w:val="000049F2"/>
    <w:rsid w:val="00015EEB"/>
    <w:rsid w:val="0001776B"/>
    <w:rsid w:val="00023196"/>
    <w:rsid w:val="00025D92"/>
    <w:rsid w:val="0003236E"/>
    <w:rsid w:val="00037346"/>
    <w:rsid w:val="00047B0F"/>
    <w:rsid w:val="00054FAF"/>
    <w:rsid w:val="0005541B"/>
    <w:rsid w:val="00067D4A"/>
    <w:rsid w:val="00072724"/>
    <w:rsid w:val="00074EBC"/>
    <w:rsid w:val="00081E33"/>
    <w:rsid w:val="000958DA"/>
    <w:rsid w:val="000A56F6"/>
    <w:rsid w:val="000B4DCC"/>
    <w:rsid w:val="000D5501"/>
    <w:rsid w:val="000E1CFB"/>
    <w:rsid w:val="000E6287"/>
    <w:rsid w:val="000F0B2C"/>
    <w:rsid w:val="000F66B0"/>
    <w:rsid w:val="000F69A5"/>
    <w:rsid w:val="00105E76"/>
    <w:rsid w:val="00106A77"/>
    <w:rsid w:val="00106BDC"/>
    <w:rsid w:val="00117A19"/>
    <w:rsid w:val="00120BBC"/>
    <w:rsid w:val="001324E8"/>
    <w:rsid w:val="0013258E"/>
    <w:rsid w:val="00140B06"/>
    <w:rsid w:val="00143445"/>
    <w:rsid w:val="00143E45"/>
    <w:rsid w:val="001542A2"/>
    <w:rsid w:val="001660B6"/>
    <w:rsid w:val="00172FD8"/>
    <w:rsid w:val="001756A7"/>
    <w:rsid w:val="0018036A"/>
    <w:rsid w:val="00182C87"/>
    <w:rsid w:val="00182CCE"/>
    <w:rsid w:val="001860E9"/>
    <w:rsid w:val="001904B8"/>
    <w:rsid w:val="001A2519"/>
    <w:rsid w:val="001B2143"/>
    <w:rsid w:val="001B71A6"/>
    <w:rsid w:val="001C7631"/>
    <w:rsid w:val="001C7F32"/>
    <w:rsid w:val="001E0133"/>
    <w:rsid w:val="001E1124"/>
    <w:rsid w:val="002024C7"/>
    <w:rsid w:val="00207A1A"/>
    <w:rsid w:val="00211196"/>
    <w:rsid w:val="002170BD"/>
    <w:rsid w:val="00227E68"/>
    <w:rsid w:val="00232534"/>
    <w:rsid w:val="00240FFF"/>
    <w:rsid w:val="002530B5"/>
    <w:rsid w:val="00257254"/>
    <w:rsid w:val="002624D8"/>
    <w:rsid w:val="00265339"/>
    <w:rsid w:val="00265466"/>
    <w:rsid w:val="00281BCA"/>
    <w:rsid w:val="002921E5"/>
    <w:rsid w:val="002A0683"/>
    <w:rsid w:val="002A68F6"/>
    <w:rsid w:val="002B517E"/>
    <w:rsid w:val="002C1226"/>
    <w:rsid w:val="002C1F89"/>
    <w:rsid w:val="002D46BA"/>
    <w:rsid w:val="002E6222"/>
    <w:rsid w:val="00301B32"/>
    <w:rsid w:val="00307F37"/>
    <w:rsid w:val="00310CBE"/>
    <w:rsid w:val="003225F3"/>
    <w:rsid w:val="003273CB"/>
    <w:rsid w:val="00332025"/>
    <w:rsid w:val="00336D1A"/>
    <w:rsid w:val="00357B13"/>
    <w:rsid w:val="0036669D"/>
    <w:rsid w:val="00370020"/>
    <w:rsid w:val="0037189A"/>
    <w:rsid w:val="003914EB"/>
    <w:rsid w:val="003A363D"/>
    <w:rsid w:val="003A446F"/>
    <w:rsid w:val="003B0BEB"/>
    <w:rsid w:val="003C2DF7"/>
    <w:rsid w:val="003E3226"/>
    <w:rsid w:val="003E4714"/>
    <w:rsid w:val="003F0FBA"/>
    <w:rsid w:val="003F3E3D"/>
    <w:rsid w:val="003F5613"/>
    <w:rsid w:val="00406053"/>
    <w:rsid w:val="00406081"/>
    <w:rsid w:val="00410190"/>
    <w:rsid w:val="004138CA"/>
    <w:rsid w:val="0042511F"/>
    <w:rsid w:val="00427297"/>
    <w:rsid w:val="004462AD"/>
    <w:rsid w:val="004531EB"/>
    <w:rsid w:val="004634F1"/>
    <w:rsid w:val="004672AE"/>
    <w:rsid w:val="00476886"/>
    <w:rsid w:val="00476EE1"/>
    <w:rsid w:val="00485911"/>
    <w:rsid w:val="00487BE0"/>
    <w:rsid w:val="00490F9A"/>
    <w:rsid w:val="00495F94"/>
    <w:rsid w:val="00497D89"/>
    <w:rsid w:val="004A7381"/>
    <w:rsid w:val="004B6089"/>
    <w:rsid w:val="004D1C04"/>
    <w:rsid w:val="004D1D74"/>
    <w:rsid w:val="004D2829"/>
    <w:rsid w:val="004E7D27"/>
    <w:rsid w:val="004F23B8"/>
    <w:rsid w:val="004F4538"/>
    <w:rsid w:val="004F5AB2"/>
    <w:rsid w:val="00502ECF"/>
    <w:rsid w:val="0050575F"/>
    <w:rsid w:val="00505B46"/>
    <w:rsid w:val="00516466"/>
    <w:rsid w:val="0053287B"/>
    <w:rsid w:val="00537FBD"/>
    <w:rsid w:val="005452ED"/>
    <w:rsid w:val="005633A9"/>
    <w:rsid w:val="00566182"/>
    <w:rsid w:val="00567E26"/>
    <w:rsid w:val="00572C34"/>
    <w:rsid w:val="00575547"/>
    <w:rsid w:val="00575657"/>
    <w:rsid w:val="00577BC7"/>
    <w:rsid w:val="005842CC"/>
    <w:rsid w:val="00591C15"/>
    <w:rsid w:val="005A309E"/>
    <w:rsid w:val="005B1D5A"/>
    <w:rsid w:val="005F1AC0"/>
    <w:rsid w:val="005F1ACD"/>
    <w:rsid w:val="005F3080"/>
    <w:rsid w:val="005F3B3D"/>
    <w:rsid w:val="005F556A"/>
    <w:rsid w:val="00600571"/>
    <w:rsid w:val="00603412"/>
    <w:rsid w:val="0061036D"/>
    <w:rsid w:val="00614A41"/>
    <w:rsid w:val="006307CF"/>
    <w:rsid w:val="00633E10"/>
    <w:rsid w:val="0063477A"/>
    <w:rsid w:val="00637409"/>
    <w:rsid w:val="006406E0"/>
    <w:rsid w:val="00652F23"/>
    <w:rsid w:val="00655824"/>
    <w:rsid w:val="0066352E"/>
    <w:rsid w:val="006656DB"/>
    <w:rsid w:val="0068248D"/>
    <w:rsid w:val="00687334"/>
    <w:rsid w:val="00687844"/>
    <w:rsid w:val="00687E2F"/>
    <w:rsid w:val="006947C0"/>
    <w:rsid w:val="006A128A"/>
    <w:rsid w:val="006A216E"/>
    <w:rsid w:val="006A3C8D"/>
    <w:rsid w:val="00701C3D"/>
    <w:rsid w:val="0071645D"/>
    <w:rsid w:val="00717AB5"/>
    <w:rsid w:val="00725E91"/>
    <w:rsid w:val="00735838"/>
    <w:rsid w:val="0074119F"/>
    <w:rsid w:val="00742313"/>
    <w:rsid w:val="00755396"/>
    <w:rsid w:val="0075561E"/>
    <w:rsid w:val="007761B2"/>
    <w:rsid w:val="00776A7C"/>
    <w:rsid w:val="00776C82"/>
    <w:rsid w:val="007770D3"/>
    <w:rsid w:val="00780955"/>
    <w:rsid w:val="00791A46"/>
    <w:rsid w:val="0079460A"/>
    <w:rsid w:val="007C08E5"/>
    <w:rsid w:val="007C32EB"/>
    <w:rsid w:val="007D1226"/>
    <w:rsid w:val="007D28CA"/>
    <w:rsid w:val="007D5658"/>
    <w:rsid w:val="007D602F"/>
    <w:rsid w:val="007E6966"/>
    <w:rsid w:val="007E70B7"/>
    <w:rsid w:val="007F5D52"/>
    <w:rsid w:val="0083280A"/>
    <w:rsid w:val="00844802"/>
    <w:rsid w:val="00845E61"/>
    <w:rsid w:val="0085731C"/>
    <w:rsid w:val="008605BB"/>
    <w:rsid w:val="00860E8A"/>
    <w:rsid w:val="00861B3D"/>
    <w:rsid w:val="00875FF8"/>
    <w:rsid w:val="00880316"/>
    <w:rsid w:val="0088673A"/>
    <w:rsid w:val="008A3C0D"/>
    <w:rsid w:val="008A4A15"/>
    <w:rsid w:val="008A4CD5"/>
    <w:rsid w:val="008A5464"/>
    <w:rsid w:val="008E235D"/>
    <w:rsid w:val="008E66D0"/>
    <w:rsid w:val="008F0566"/>
    <w:rsid w:val="008F172E"/>
    <w:rsid w:val="00901BBE"/>
    <w:rsid w:val="009056E9"/>
    <w:rsid w:val="009260BC"/>
    <w:rsid w:val="00932147"/>
    <w:rsid w:val="009337E2"/>
    <w:rsid w:val="0093718C"/>
    <w:rsid w:val="00937997"/>
    <w:rsid w:val="00944288"/>
    <w:rsid w:val="00944B04"/>
    <w:rsid w:val="0094591A"/>
    <w:rsid w:val="00955C50"/>
    <w:rsid w:val="00973DB3"/>
    <w:rsid w:val="00981CC8"/>
    <w:rsid w:val="00991162"/>
    <w:rsid w:val="00996E0F"/>
    <w:rsid w:val="00997863"/>
    <w:rsid w:val="009A021B"/>
    <w:rsid w:val="009A5A33"/>
    <w:rsid w:val="009B5528"/>
    <w:rsid w:val="009B74FF"/>
    <w:rsid w:val="009D3040"/>
    <w:rsid w:val="009D7280"/>
    <w:rsid w:val="009E2ACF"/>
    <w:rsid w:val="00A00775"/>
    <w:rsid w:val="00A024C6"/>
    <w:rsid w:val="00A148EB"/>
    <w:rsid w:val="00A15D87"/>
    <w:rsid w:val="00A34B49"/>
    <w:rsid w:val="00A4604E"/>
    <w:rsid w:val="00A4736C"/>
    <w:rsid w:val="00A532BA"/>
    <w:rsid w:val="00A56B0F"/>
    <w:rsid w:val="00A65898"/>
    <w:rsid w:val="00A674E7"/>
    <w:rsid w:val="00A73EC1"/>
    <w:rsid w:val="00A8557E"/>
    <w:rsid w:val="00A95816"/>
    <w:rsid w:val="00AA226D"/>
    <w:rsid w:val="00AA390B"/>
    <w:rsid w:val="00AA6780"/>
    <w:rsid w:val="00AA7607"/>
    <w:rsid w:val="00AB1152"/>
    <w:rsid w:val="00AB172E"/>
    <w:rsid w:val="00AB7A97"/>
    <w:rsid w:val="00AC72EC"/>
    <w:rsid w:val="00AD1E02"/>
    <w:rsid w:val="00AF3D82"/>
    <w:rsid w:val="00B0784B"/>
    <w:rsid w:val="00B145FD"/>
    <w:rsid w:val="00B25B63"/>
    <w:rsid w:val="00B27D85"/>
    <w:rsid w:val="00B34BD6"/>
    <w:rsid w:val="00B375E3"/>
    <w:rsid w:val="00B41567"/>
    <w:rsid w:val="00B42602"/>
    <w:rsid w:val="00B52732"/>
    <w:rsid w:val="00B54C4B"/>
    <w:rsid w:val="00B54DD7"/>
    <w:rsid w:val="00B571B9"/>
    <w:rsid w:val="00B65DF5"/>
    <w:rsid w:val="00B72487"/>
    <w:rsid w:val="00B736CC"/>
    <w:rsid w:val="00B73EBF"/>
    <w:rsid w:val="00B74C40"/>
    <w:rsid w:val="00B77124"/>
    <w:rsid w:val="00B7774E"/>
    <w:rsid w:val="00B77F85"/>
    <w:rsid w:val="00B81201"/>
    <w:rsid w:val="00B81466"/>
    <w:rsid w:val="00B91CBE"/>
    <w:rsid w:val="00B9258F"/>
    <w:rsid w:val="00BA05F3"/>
    <w:rsid w:val="00BA186D"/>
    <w:rsid w:val="00BB12E6"/>
    <w:rsid w:val="00BB2010"/>
    <w:rsid w:val="00BB405F"/>
    <w:rsid w:val="00BB40C8"/>
    <w:rsid w:val="00BB6DE6"/>
    <w:rsid w:val="00BB74F2"/>
    <w:rsid w:val="00BD2B51"/>
    <w:rsid w:val="00BD359D"/>
    <w:rsid w:val="00BF274B"/>
    <w:rsid w:val="00BF53A4"/>
    <w:rsid w:val="00C00A44"/>
    <w:rsid w:val="00C117C2"/>
    <w:rsid w:val="00C118D6"/>
    <w:rsid w:val="00C149B7"/>
    <w:rsid w:val="00C16696"/>
    <w:rsid w:val="00C16823"/>
    <w:rsid w:val="00C224EC"/>
    <w:rsid w:val="00C263C8"/>
    <w:rsid w:val="00C278CE"/>
    <w:rsid w:val="00C31945"/>
    <w:rsid w:val="00C461FD"/>
    <w:rsid w:val="00C51871"/>
    <w:rsid w:val="00C51B77"/>
    <w:rsid w:val="00C54FC2"/>
    <w:rsid w:val="00C62682"/>
    <w:rsid w:val="00C66AB4"/>
    <w:rsid w:val="00C72127"/>
    <w:rsid w:val="00C82951"/>
    <w:rsid w:val="00C829C2"/>
    <w:rsid w:val="00C83202"/>
    <w:rsid w:val="00C8547B"/>
    <w:rsid w:val="00C906E8"/>
    <w:rsid w:val="00C91AEB"/>
    <w:rsid w:val="00C92C74"/>
    <w:rsid w:val="00CA0F71"/>
    <w:rsid w:val="00CB125B"/>
    <w:rsid w:val="00CB63C4"/>
    <w:rsid w:val="00CB687A"/>
    <w:rsid w:val="00CC1644"/>
    <w:rsid w:val="00CC3CDF"/>
    <w:rsid w:val="00CD031E"/>
    <w:rsid w:val="00CE1F4A"/>
    <w:rsid w:val="00CE274D"/>
    <w:rsid w:val="00CE5310"/>
    <w:rsid w:val="00CE5D27"/>
    <w:rsid w:val="00CE707F"/>
    <w:rsid w:val="00D01267"/>
    <w:rsid w:val="00D044DF"/>
    <w:rsid w:val="00D121B9"/>
    <w:rsid w:val="00D1473E"/>
    <w:rsid w:val="00D23C6A"/>
    <w:rsid w:val="00D2585B"/>
    <w:rsid w:val="00D27A23"/>
    <w:rsid w:val="00D30FD5"/>
    <w:rsid w:val="00D33220"/>
    <w:rsid w:val="00D34603"/>
    <w:rsid w:val="00D44A7B"/>
    <w:rsid w:val="00D47186"/>
    <w:rsid w:val="00D51A93"/>
    <w:rsid w:val="00D53E58"/>
    <w:rsid w:val="00D552D1"/>
    <w:rsid w:val="00D66355"/>
    <w:rsid w:val="00D66D8B"/>
    <w:rsid w:val="00D71389"/>
    <w:rsid w:val="00D74197"/>
    <w:rsid w:val="00D85246"/>
    <w:rsid w:val="00D903DF"/>
    <w:rsid w:val="00DA3A03"/>
    <w:rsid w:val="00DB40C8"/>
    <w:rsid w:val="00DB6BC3"/>
    <w:rsid w:val="00DC12A9"/>
    <w:rsid w:val="00DD0AA6"/>
    <w:rsid w:val="00DD5447"/>
    <w:rsid w:val="00DD6525"/>
    <w:rsid w:val="00DD6609"/>
    <w:rsid w:val="00DD7BA5"/>
    <w:rsid w:val="00DE1B25"/>
    <w:rsid w:val="00DE2C82"/>
    <w:rsid w:val="00DF17B7"/>
    <w:rsid w:val="00E0023E"/>
    <w:rsid w:val="00E03621"/>
    <w:rsid w:val="00E13326"/>
    <w:rsid w:val="00E16F50"/>
    <w:rsid w:val="00E207F2"/>
    <w:rsid w:val="00E3501E"/>
    <w:rsid w:val="00E353C7"/>
    <w:rsid w:val="00E41E13"/>
    <w:rsid w:val="00E50807"/>
    <w:rsid w:val="00E51C1E"/>
    <w:rsid w:val="00E5727E"/>
    <w:rsid w:val="00E57474"/>
    <w:rsid w:val="00E756C3"/>
    <w:rsid w:val="00E82C35"/>
    <w:rsid w:val="00E934B7"/>
    <w:rsid w:val="00E938C9"/>
    <w:rsid w:val="00EA2D0C"/>
    <w:rsid w:val="00EB55C9"/>
    <w:rsid w:val="00EB6A7E"/>
    <w:rsid w:val="00ED01E5"/>
    <w:rsid w:val="00ED2796"/>
    <w:rsid w:val="00EE015E"/>
    <w:rsid w:val="00EE19B7"/>
    <w:rsid w:val="00EE43C3"/>
    <w:rsid w:val="00EF338F"/>
    <w:rsid w:val="00EF4E66"/>
    <w:rsid w:val="00EF633E"/>
    <w:rsid w:val="00EF741C"/>
    <w:rsid w:val="00F01D5E"/>
    <w:rsid w:val="00F0213F"/>
    <w:rsid w:val="00F26147"/>
    <w:rsid w:val="00F27F73"/>
    <w:rsid w:val="00F35973"/>
    <w:rsid w:val="00F531F1"/>
    <w:rsid w:val="00F54103"/>
    <w:rsid w:val="00F55AB2"/>
    <w:rsid w:val="00F579B1"/>
    <w:rsid w:val="00F63BA3"/>
    <w:rsid w:val="00F752E7"/>
    <w:rsid w:val="00F817B1"/>
    <w:rsid w:val="00F93B62"/>
    <w:rsid w:val="00F97474"/>
    <w:rsid w:val="00FB0C32"/>
    <w:rsid w:val="00FD7873"/>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paragraph" w:styleId="Revision">
    <w:name w:val="Revision"/>
    <w:hidden/>
    <w:uiPriority w:val="99"/>
    <w:semiHidden/>
    <w:rsid w:val="00B27D85"/>
    <w:pPr>
      <w:spacing w:after="0" w:line="240" w:lineRule="auto"/>
    </w:pPr>
  </w:style>
  <w:style w:type="paragraph" w:customStyle="1" w:styleId="CITAAT1">
    <w:name w:val="CITAAT1"/>
    <w:basedOn w:val="Quote"/>
    <w:uiPriority w:val="99"/>
    <w:rsid w:val="00C83202"/>
    <w:pPr>
      <w:spacing w:before="120" w:after="280" w:line="240" w:lineRule="auto"/>
      <w:ind w:left="709" w:right="0" w:firstLine="709"/>
      <w:jc w:val="both"/>
    </w:pPr>
    <w:rPr>
      <w:rFonts w:ascii="Times New Roman" w:eastAsia="Calibri" w:hAnsi="Times New Roman" w:cs="Times New Roman"/>
      <w:i w:val="0"/>
      <w:color w:val="000000"/>
      <w:sz w:val="24"/>
      <w:szCs w:val="24"/>
    </w:rPr>
  </w:style>
  <w:style w:type="paragraph" w:styleId="Quote">
    <w:name w:val="Quote"/>
    <w:basedOn w:val="Normal"/>
    <w:next w:val="Normal"/>
    <w:link w:val="QuoteChar"/>
    <w:uiPriority w:val="29"/>
    <w:qFormat/>
    <w:rsid w:val="00C8320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8320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NDExtra_DocField1 xmlns="766d371f-f3f8-43d9-b061-9186835be81f" xsi:nil="true"/>
    <INDType xmlns="766d371f-f3f8-43d9-b061-9186835be81f">Note</INDType>
    <INDResponsiblePerson xmlns="766d371f-f3f8-43d9-b061-9186835be81f">
      <UserInfo>
        <DisplayName/>
        <AccountId xsi:nil="true"/>
        <AccountType/>
      </UserInfo>
    </INDResponsiblePerson>
    <INDToBeSigned xmlns="766d371f-f3f8-43d9-b061-9186835be81f" xsi:nil="true"/>
    <INDMailroomRef xmlns="766d371f-f3f8-43d9-b061-9186835be81f" xsi:nil="true"/>
    <INDDivision xmlns="766d371f-f3f8-43d9-b061-9186835be81f">SJ-JD</INDDivision>
    <INDBoards xmlns="766d371f-f3f8-43d9-b061-9186835be81f">T</INDBoards>
    <INDIndicationNr xmlns="766d371f-f3f8-43d9-b061-9186835be81f">E2-HTEIP-2022-000505</INDIndicationNr>
    <INDComments xmlns="766d371f-f3f8-43d9-b061-9186835be81f" xsi:nil="true"/>
    <INDExtra_DocDate1 xmlns="766d371f-f3f8-43d9-b061-9186835be81f" xsi:nil="true"/>
    <INDIsSigned xmlns="766d371f-f3f8-43d9-b061-9186835be81f" xsi:nil="true"/>
    <INDStartDocument xmlns="766d371f-f3f8-43d9-b061-9186835be81f">E2-HTEIP-2022-000272</INDStartDocument>
    <_dlc_DocId xmlns="766d371f-f3f8-43d9-b061-9186835be81f">85b7d79e-9ab6-4f3c-99b2-e490f3afa4e4</_dlc_DocId>
    <_dlc_DocIdUrl xmlns="766d371f-f3f8-43d9-b061-9186835be81f">
      <Url>http://indicateur.internal.economie.fgov.be/sites/T/DG/_layouts/DocIdRedir.aspx?ID=85b7d79e-9ab6-4f3c-99b2-e490f3afa4e4</Url>
      <Description>85b7d79e-9ab6-4f3c-99b2-e490f3afa4e4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IND_Document" ma:contentTypeID="0x010100E04F66D73F674408B15F33E995327ED200BBD1BC78D2BB5840AD447D2140E0117F" ma:contentTypeVersion="1" ma:contentTypeDescription="Description" ma:contentTypeScope="" ma:versionID="664ead3dccd4ad41863e1f29df55a66c">
  <xsd:schema xmlns:xsd="http://www.w3.org/2001/XMLSchema" xmlns:xs="http://www.w3.org/2001/XMLSchema" xmlns:p="http://schemas.microsoft.com/office/2006/metadata/properties" xmlns:ns2="766d371f-f3f8-43d9-b061-9186835be81f" targetNamespace="http://schemas.microsoft.com/office/2006/metadata/properties" ma:root="true" ma:fieldsID="03b5982385aa64a2b6a48933c096070d" ns2:_="">
    <xsd:import namespace="766d371f-f3f8-43d9-b061-9186835be81f"/>
    <xsd:element name="properties">
      <xsd:complexType>
        <xsd:sequence>
          <xsd:element name="documentManagement">
            <xsd:complexType>
              <xsd:all>
                <xsd:element ref="ns2:INDIndicationNr"/>
                <xsd:element ref="ns2:INDType"/>
                <xsd:element ref="ns2:INDBoards"/>
                <xsd:element ref="ns2:INDDivision"/>
                <xsd:element ref="ns2:INDStartDocument"/>
                <xsd:element ref="ns2:INDResponsiblePerson" minOccurs="0"/>
                <xsd:element ref="ns2:INDToBeSigned" minOccurs="0"/>
                <xsd:element ref="ns2:INDIsSigned" minOccurs="0"/>
                <xsd:element ref="ns2:INDComments" minOccurs="0"/>
                <xsd:element ref="ns2:INDMailroomRef" minOccurs="0"/>
                <xsd:element ref="ns2:INDExtra_DocField1" minOccurs="0"/>
                <xsd:element ref="ns2:INDExtra_DocDate1"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d371f-f3f8-43d9-b061-9186835be81f" elementFormDefault="qualified">
    <xsd:import namespace="http://schemas.microsoft.com/office/2006/documentManagement/types"/>
    <xsd:import namespace="http://schemas.microsoft.com/office/infopath/2007/PartnerControls"/>
    <xsd:element name="INDIndicationNr" ma:index="7" ma:displayName="Indication Nr" ma:indexed="true" ma:internalName="INDIndicationNr" ma:readOnly="false">
      <xsd:simpleType>
        <xsd:restriction base="dms:Text"/>
      </xsd:simpleType>
    </xsd:element>
    <xsd:element name="INDType" ma:index="8" ma:displayName="Type" ma:internalName="INDType">
      <xsd:simpleType>
        <xsd:restriction base="dms:Text"/>
      </xsd:simpleType>
    </xsd:element>
    <xsd:element name="INDBoards" ma:index="9" ma:displayName="Boards" ma:internalName="INDBoards">
      <xsd:simpleType>
        <xsd:restriction base="dms:Text"/>
      </xsd:simpleType>
    </xsd:element>
    <xsd:element name="INDDivision" ma:index="10" ma:displayName="Division" ma:internalName="INDDivision">
      <xsd:simpleType>
        <xsd:restriction base="dms:Text"/>
      </xsd:simpleType>
    </xsd:element>
    <xsd:element name="INDStartDocument" ma:index="11" ma:displayName="Start Document" ma:internalName="INDStartDocument">
      <xsd:simpleType>
        <xsd:restriction base="dms:Text"/>
      </xsd:simpleType>
    </xsd:element>
    <xsd:element name="INDResponsiblePerson" ma:index="12" nillable="true" ma:displayName="Responsible Person" ma:list="UserInfo" ma:SharePointGroup="0" ma:internalName="IND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DToBeSigned" ma:index="13" nillable="true" ma:displayName="ToBeSigned" ma:internalName="INDToBeSigned">
      <xsd:simpleType>
        <xsd:restriction base="dms:Boolean"/>
      </xsd:simpleType>
    </xsd:element>
    <xsd:element name="INDIsSigned" ma:index="14" nillable="true" ma:displayName="IsSigned" ma:internalName="INDIsSigned">
      <xsd:simpleType>
        <xsd:restriction base="dms:Boolean"/>
      </xsd:simpleType>
    </xsd:element>
    <xsd:element name="INDComments" ma:index="15" nillable="true" ma:displayName="Comments" ma:internalName="INDComments">
      <xsd:simpleType>
        <xsd:restriction base="dms:Note">
          <xsd:maxLength value="255"/>
        </xsd:restriction>
      </xsd:simpleType>
    </xsd:element>
    <xsd:element name="INDMailroomRef" ma:index="16" nillable="true" ma:displayName="Mailroom Reference" ma:internalName="INDMailroomRef">
      <xsd:simpleType>
        <xsd:restriction base="dms:Text"/>
      </xsd:simpleType>
    </xsd:element>
    <xsd:element name="INDExtra_DocField1" ma:index="17" nillable="true" ma:displayName="INDExtra_DocField1_Title" ma:internalName="INDExtra_DocField1">
      <xsd:simpleType>
        <xsd:restriction base="dms:Text"/>
      </xsd:simpleType>
    </xsd:element>
    <xsd:element name="INDExtra_DocDate1" ma:index="18" nillable="true" ma:displayName="INDExtra_DocDate1_Title" ma:internalName="INDExtra_DocDate1">
      <xsd:simpleType>
        <xsd:restriction base="dms:DateTim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 ds:uri="766d371f-f3f8-43d9-b061-9186835be81f"/>
  </ds:schemaRefs>
</ds:datastoreItem>
</file>

<file path=customXml/itemProps2.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3.xml><?xml version="1.0" encoding="utf-8"?>
<ds:datastoreItem xmlns:ds="http://schemas.openxmlformats.org/officeDocument/2006/customXml" ds:itemID="{B24CAB95-316B-4D8D-A2B9-9C5174850C29}">
  <ds:schemaRefs>
    <ds:schemaRef ds:uri="http://schemas.microsoft.com/sharepoint/events"/>
  </ds:schemaRefs>
</ds:datastoreItem>
</file>

<file path=customXml/itemProps4.xml><?xml version="1.0" encoding="utf-8"?>
<ds:datastoreItem xmlns:ds="http://schemas.openxmlformats.org/officeDocument/2006/customXml" ds:itemID="{BBFB148F-926E-413F-9BE6-9F2AB841A5AA}">
  <ds:schemaRefs>
    <ds:schemaRef ds:uri="http://schemas.openxmlformats.org/officeDocument/2006/bibliography"/>
  </ds:schemaRefs>
</ds:datastoreItem>
</file>

<file path=customXml/itemProps5.xml><?xml version="1.0" encoding="utf-8"?>
<ds:datastoreItem xmlns:ds="http://schemas.openxmlformats.org/officeDocument/2006/customXml" ds:itemID="{41A91DC0-F5DF-42A3-A0BF-C89498D0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d371f-f3f8-43d9-b061-9186835be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3098</Words>
  <Characters>17662</Characters>
  <Application>Microsoft Office Word</Application>
  <DocSecurity>0</DocSecurity>
  <Lines>147</Lines>
  <Paragraphs>41</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
  <dc:description/>
  <cp:lastModifiedBy>Dimitris Dimitriadis</cp:lastModifiedBy>
  <cp:revision>7</cp:revision>
  <cp:lastPrinted>2022-06-07T09:17:00Z</cp:lastPrinted>
  <dcterms:created xsi:type="dcterms:W3CDTF">2022-08-17T17:04:00Z</dcterms:created>
  <dcterms:modified xsi:type="dcterms:W3CDTF">2022-10-31T14:17:00Z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0x010100E04F66D73F674408B15F33E995327ED200BBD1BC78D2BB5840AD447D2140E0117F</vt:lpwstr>
  </property>
  <property fmtid="{D5CDD505-2E9C-101B-9397-08002B2CF9AE}" pid="3" name="_dlc_DocIdItemGuid">
    <vt:lpwstr>85b7d79e-9ab6-4f3c-99b2-e490f3afa4e4</vt:lpwstr>
  </property>
</Properties>
</file>