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FDF6A" w14:textId="544CAA38" w:rsidR="00056AAB" w:rsidRDefault="00104411" w:rsidP="003667D0">
      <w:pPr>
        <w:tabs>
          <w:tab w:val="left" w:leader="dot" w:pos="3384"/>
          <w:tab w:val="left" w:leader="dot" w:pos="3888"/>
          <w:tab w:val="left" w:leader="dot" w:pos="4824"/>
        </w:tabs>
        <w:spacing w:line="276" w:lineRule="auto"/>
        <w:ind w:left="1296"/>
        <w:jc w:val="center"/>
        <w:textAlignment w:val="baseline"/>
        <w:rPr>
          <w:rFonts w:asciiTheme="minorHAnsi" w:eastAsia="Calibri" w:hAnsiTheme="minorHAnsi"/>
          <w:b/>
          <w:sz w:val="28"/>
        </w:rPr>
      </w:pPr>
      <w:r>
        <w:rPr>
          <w:rFonts w:asciiTheme="minorHAnsi" w:hAnsiTheme="minorHAnsi"/>
          <w:b/>
          <w:color w:val="000000"/>
          <w:sz w:val="28"/>
        </w:rPr>
        <w:t>KUNINKAAN ASETUS nro .../..., annettu [päivämäärä], maanjäristyksiä kestävää rakentamista koskevan standardin NCSR-</w:t>
      </w:r>
      <w:r>
        <w:rPr>
          <w:rFonts w:asciiTheme="minorHAnsi" w:hAnsiTheme="minorHAnsi"/>
          <w:b/>
          <w:sz w:val="28"/>
        </w:rPr>
        <w:t>23 hyväksymisestä</w:t>
      </w:r>
    </w:p>
    <w:p w14:paraId="227AE49F" w14:textId="77777777" w:rsidR="003667D0" w:rsidRPr="006D4B4B" w:rsidRDefault="003667D0" w:rsidP="003667D0">
      <w:pPr>
        <w:tabs>
          <w:tab w:val="left" w:leader="dot" w:pos="3384"/>
          <w:tab w:val="left" w:leader="dot" w:pos="3888"/>
          <w:tab w:val="left" w:leader="dot" w:pos="4824"/>
        </w:tabs>
        <w:spacing w:line="276" w:lineRule="auto"/>
        <w:ind w:left="1296"/>
        <w:textAlignment w:val="baseline"/>
        <w:rPr>
          <w:rFonts w:asciiTheme="minorHAnsi" w:eastAsia="Calibri" w:hAnsiTheme="minorHAnsi"/>
          <w:b/>
          <w:sz w:val="28"/>
          <w:lang w:val="es-ES"/>
        </w:rPr>
      </w:pPr>
    </w:p>
    <w:p w14:paraId="418AC172" w14:textId="37EBFE33" w:rsidR="00A44FF2" w:rsidRDefault="00104411"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Maanjäristyksiä kestävää rakentamista koskevia standardeja käsittelevän pysyvän komitean, joka on 30 päivänä elokuuta annetulla asetuksella 3209/1974 perustettu ministeriöiden välinen kollegiaalinen elin liikenteestä, liikkumisesta ja kaupunkiagendasta vastaavan ministeriön yhteydessä ja kansallisen maantieteellisen instituutin pääosastossa, sellaisena kuin siitä säädetään liikenteen, liikkumisen ja kaupunkiagendan perusrakenteen kehittämisestä 7 päivänä heinäkuuta annetussa kuninkaan asetuksessa nro 645/2020, tehtävänä on muun muassa ajantasaistaa maanjäristyksiä kestävää rakentamista koskevaa sääntelyä, kuten sen kokoonpanon uudelleenjärjestämisestä 22 päivänä helmikuuta annetun kuninkaan asetuksen nro 518/1984 2 §:n B momentissa säädetään.</w:t>
      </w:r>
    </w:p>
    <w:p w14:paraId="032C0763" w14:textId="4901726A" w:rsidR="00C25687" w:rsidRDefault="00757E5B"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Määräykset ovat tähän saakka sisältyneet maanjäristyksiä kestävää rakentamista koskevan standardin osaan ”yleinen osa ja talonrakennustyöt” (NCSE-02), joka on hyväksytty 27 päivänä syyskuuta annetulla kuninkaan asetuksella nro 997/2002, ja maanjäristyksiä kestävää rakentamista koskevan standardin siltoja koskevaan osaan (NCSP-07), joka on hyväksytty 18 päivänä toukokuuta annetulla kuninkaan asetuksella nro 637/2007. Ottaen huomioon, kuinka paljon aikaa niiden antamisesta on kulunut, on tarpeen tarkistaa ja päivittää niitä sekä teknisistä että sääntelyyn liittyvistä syistä, jotta säännökset voidaan mukauttaa seismologian ja seismisen tekniikan nykytilanteeseen sekä niiden toimintaa koskevaan sääntelykehykseen.</w:t>
      </w:r>
    </w:p>
    <w:p w14:paraId="00D9E943" w14:textId="08D48EDA" w:rsidR="0008161F" w:rsidRDefault="0008161F"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Maanjäristyksiä kestävää rakentamista koskevia standardeja käsittelevä pysyvä komitea on tehtäviään hoitaessaan laatinut uuden maanjäristyksiä kestävää rakentamista koskevan standardin, jolla korvataan edellä mainitut standardit ja joka sisältää rakenteiden suunnittelua koskevien eurooppalaisten säännösten tärkeimmät näkökohdat rakennuskohteita koskevien eurokoodien mukaisesti ja jolla laajennetaan niiden sisältöä lisäämällä rakennetyyppejä. Uudessa standardissa vahvistetaan tekniset edellytykset, jotka rakenteiden osien ja maa- ja vesirakennustöiden on täytettävä, jotta niiden seisminen kestävyys ei aiheuttaisi vakavia seurauksia ihmisten terveydelle ja turvallisuudelle eikä taloudellisia menetyksiä, ja edistetään yhteiskunnan peruspalvelujen ylläpitoa voimakkaiden maanjäristysten sattuessa.</w:t>
      </w:r>
    </w:p>
    <w:p w14:paraId="6F2451EE"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Tämä kuninkaan asetus on julkishallinnon yhteisestä hallintomenettelystä 1 päivänä lokakuuta 2015 annetun lain nro 39/2015 129 §:ssä vahvistettujen välttämättömyyden, vaikuttavuuden, oikeasuhteisuuden, oikeusvarmuuden, avoimuuden ja tehokkuuden periaatteiden mukainen. </w:t>
      </w:r>
    </w:p>
    <w:p w14:paraId="4A3F3D5F" w14:textId="0682A2D0" w:rsidR="001D206B" w:rsidRDefault="007F2FE2"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Se on tarpeellisuuden ja tehokkuuden periaatteiden mukainen, koska uuden maanjäristyksiä kestävää rakentamista koskevan standardin soveltaminen merkitsee edistystä seismisen toiminnan tuntemuksessa ja määrittämisessä edellisiin määräyksiin nähden. Lisäksi selkiytetään seismisen lujuuden ja sitkeyden käsitteiden käyttöä ja vaatimuksia maanjäristysalueilla sijaitsevien rakenteiden osalta. Hanke ei vääristä kilpailua markkinoilla, vaan edistää kilpailua sääntelemällä näkökohtia, jotka eivät kuulu nykyisten asetusten soveltamisalaan. Standardi on myös suhteellisuusperiaatteen mukainen, koska se sisältää säännöt, jotka ovat tarpeen edellä kuvatun tarpeen täyttämiseksi ilman, että on olemassa muita toimenpiteitä, jotka rajoittavat oikeuksia vähemmän tai asettavat vähemmän velvoitteita niille, joille asetus on osoitettu. Standardi on oikeusvarmuuden periaatteen mukainen, kun otetaan huomioon sisällyttäminen oikeusjärjestykseen täysin johdonmukaisesti voimassa olevien </w:t>
      </w:r>
      <w:r>
        <w:rPr>
          <w:rFonts w:asciiTheme="minorHAnsi" w:hAnsiTheme="minorHAnsi"/>
          <w:color w:val="000000" w:themeColor="text1"/>
        </w:rPr>
        <w:lastRenderedPageBreak/>
        <w:t>kansallisten ja unionin säädösten kanssa. Avoimuuden periaatteen mukaisuus on taattu, koska kaikkia 27 päivänä marraskuuta 1997 annetussa hallituksen laissa nro 50/1997 mainittuja tiedotusmenettelyjä on noudatettu, ja tiedot on julkaistu Espanjan hallituksen avoimuusportaalissa. Tehokkuuden periaatteen mukaisesti tämä standardi ei lisää hallinnollista rasitetta eikä lisää julkisia menoja.</w:t>
      </w:r>
    </w:p>
    <w:p w14:paraId="53F4DA01" w14:textId="712176A3"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Tämä kuninkaan asetus annetaan </w:t>
      </w:r>
      <w:r>
        <w:rPr>
          <w:rFonts w:asciiTheme="minorHAnsi" w:hAnsiTheme="minorHAnsi"/>
        </w:rPr>
        <w:t xml:space="preserve">Espanjan perustuslain 149.1.13a §:n nojalla, </w:t>
      </w:r>
      <w:r>
        <w:rPr>
          <w:rFonts w:asciiTheme="minorHAnsi" w:hAnsiTheme="minorHAnsi"/>
          <w:color w:val="000000" w:themeColor="text1"/>
        </w:rPr>
        <w:t>jonka mukaan valtiolla on toimivalta taloudellisen toiminnan yleisen suunnittelun perusteisiin ja yhteensovittamiseen liittyvissä asioissa.</w:t>
      </w:r>
    </w:p>
    <w:p w14:paraId="343DD835"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Tämän kuninkaan asetuksen laatimisprosessilla saatiin päätökseen 27 päivänä marraskuuta 1997 annetussa hallituksen laissa nro 50/1997 ja teknisiä määräyksiä ja tietoyhteiskunnan palveluja koskevia määräyksiä koskevien tietojen toimittamisessa noudatettavasta menettelystä 9 päivänä syyskuuta 2015 annetussa Euroopan parlamentin ja neuvoston direktiivissä (EU) 2015/1535 sekä tietoyhteiskunnan palveluja koskevia teknisiä määräyksiä ja määräyksiä koskevien tietojen toimittamisesta 31 päivänä heinäkuuta 1999 annetussa kuninkaan asetuksessa nro 1337/1999 säädetty menettely. </w:t>
      </w:r>
    </w:p>
    <w:p w14:paraId="288E1E12" w14:textId="6459E5E4" w:rsid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Tämä kuninkaan asetus annetaan maanjäristyksiä kestävää rakentamista koskevia standardeja käsittelevän pysyvän komitean aloitteesta.</w:t>
      </w:r>
    </w:p>
    <w:p w14:paraId="42144605" w14:textId="312B0DF6" w:rsidR="00056AAB" w:rsidRDefault="004459F4" w:rsidP="00870C22">
      <w:pPr>
        <w:suppressAutoHyphens/>
        <w:spacing w:after="240" w:line="276" w:lineRule="auto"/>
        <w:ind w:firstLine="425"/>
        <w:jc w:val="both"/>
        <w:rPr>
          <w:rFonts w:asciiTheme="minorHAnsi" w:eastAsia="Times New Roman" w:hAnsiTheme="minorHAnsi" w:cstheme="minorHAnsi"/>
          <w:color w:val="000000"/>
        </w:rPr>
      </w:pPr>
      <w:r>
        <w:rPr>
          <w:rFonts w:asciiTheme="minorHAnsi" w:hAnsiTheme="minorHAnsi"/>
          <w:color w:val="000000" w:themeColor="text1"/>
        </w:rPr>
        <w:t xml:space="preserve">Sen nojalla liikenteestä, liikkumisesta ja kaupunkiagendasta vastaavan ministerin ehdotuksesta </w:t>
      </w:r>
      <w:r>
        <w:rPr>
          <w:rFonts w:asciiTheme="minorHAnsi" w:hAnsiTheme="minorHAnsi"/>
          <w:color w:val="000000"/>
        </w:rPr>
        <w:t>ja ministerineuvostossa [päivämäärä] pidetyn käsittelyn jälkeen,</w:t>
      </w:r>
    </w:p>
    <w:p w14:paraId="01FC4263" w14:textId="77777777" w:rsidR="004459F4" w:rsidRPr="002073D4" w:rsidRDefault="004459F4" w:rsidP="004459F4">
      <w:pPr>
        <w:suppressAutoHyphens/>
        <w:ind w:firstLine="425"/>
        <w:jc w:val="both"/>
        <w:rPr>
          <w:rFonts w:asciiTheme="minorHAnsi" w:eastAsia="Times New Roman" w:hAnsiTheme="minorHAnsi" w:cstheme="minorHAnsi"/>
          <w:color w:val="000000"/>
        </w:rPr>
      </w:pPr>
    </w:p>
    <w:p w14:paraId="1ECEFAB2" w14:textId="77777777" w:rsidR="00056AAB" w:rsidRPr="006D4B4B" w:rsidRDefault="00104411" w:rsidP="00AD035F">
      <w:pPr>
        <w:spacing w:after="240" w:line="276" w:lineRule="auto"/>
        <w:jc w:val="center"/>
        <w:textAlignment w:val="baseline"/>
        <w:rPr>
          <w:rFonts w:asciiTheme="minorHAnsi" w:eastAsia="Times New Roman" w:hAnsiTheme="minorHAnsi"/>
          <w:color w:val="000000"/>
          <w:sz w:val="24"/>
          <w:szCs w:val="24"/>
        </w:rPr>
      </w:pPr>
      <w:r>
        <w:rPr>
          <w:rFonts w:asciiTheme="minorHAnsi" w:hAnsiTheme="minorHAnsi"/>
          <w:color w:val="000000"/>
          <w:sz w:val="24"/>
        </w:rPr>
        <w:t>MÄÄRÄÄN SEURAAVAA</w:t>
      </w:r>
    </w:p>
    <w:p w14:paraId="05744015" w14:textId="77777777"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t>1 § Tarkoitus</w:t>
      </w:r>
    </w:p>
    <w:p w14:paraId="721FFEF1" w14:textId="46A6063B" w:rsidR="0046432E"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Hyväksytään maanjäristyksiä kestävää rakentamista koskeva standardi NCSR-23, jossa vahvistetaan olennaiset käsitteet ja vaatimukset, jotka Espanjan seismisillä vyöhykkeillä sijaitsevien rakenteiden on täytettävä sen lisäksi, että rakenteita koskevia muita voimassa olevia säännöksiä noudatetaan. </w:t>
      </w:r>
    </w:p>
    <w:p w14:paraId="78734A0A" w14:textId="7654B8F0"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Rakenteet ja rakennelmat, jotka voivat olla alttiina maanjäristyksille, on suunniteltava, toteutettava ja dokumentoitava seisminen toiminta huomioon ottaen niissä kuudessa liitteessä olevien määräysten mukaisesti, jotka muodostavat tämän maanjäristyksiä kestävää rakentamista koskevan standardin ja jotka ovat:</w:t>
      </w:r>
    </w:p>
    <w:p w14:paraId="79EC5159"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Liite 1: Yleiset säännöt, seisminen toiminta ja rakentamista koskevat säännöt.</w:t>
      </w:r>
    </w:p>
    <w:p w14:paraId="79F9BCF0"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Liite 2: Sillat</w:t>
      </w:r>
    </w:p>
    <w:p w14:paraId="7CD23BE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Liite 3: Rakennusten arviointi ja maanjäristysriskeihin mukauttaminen.</w:t>
      </w:r>
    </w:p>
    <w:p w14:paraId="2850B202"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Liite 4: Siilot, säiliöt ja putket.</w:t>
      </w:r>
    </w:p>
    <w:p w14:paraId="3AC9CD4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Liite 5: Perustukset, suojarakenteet ja geotekniset näkökohdat.</w:t>
      </w:r>
    </w:p>
    <w:p w14:paraId="6AD4A209" w14:textId="1CF81FB4" w:rsid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Liite 6: Tornit, mastot ja savupiiput.</w:t>
      </w:r>
    </w:p>
    <w:p w14:paraId="75E4EE37" w14:textId="77777777" w:rsidR="00870C22" w:rsidRPr="002073D4" w:rsidRDefault="00870C22" w:rsidP="006D4B4B">
      <w:pPr>
        <w:spacing w:line="276" w:lineRule="auto"/>
        <w:ind w:left="567"/>
        <w:jc w:val="both"/>
        <w:textAlignment w:val="baseline"/>
        <w:rPr>
          <w:rFonts w:asciiTheme="minorHAnsi" w:eastAsia="Times New Roman" w:hAnsiTheme="minorHAnsi"/>
          <w:color w:val="000000"/>
          <w:spacing w:val="2"/>
          <w:lang w:val="en-US"/>
        </w:rPr>
      </w:pPr>
    </w:p>
    <w:p w14:paraId="7A592887" w14:textId="3BD133CC"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Vaihtoehtoisesti hankkeen toteuttaja ja vapaaehtoinen työnjohto voivat toimivaltaansa käyttäessään, omalla vastuullaan ja kiinteistöä koskevalla ennakkosuostumuksella, hyväksyä muita ratkaisuja, jotka poikkeavat osittain tai kokonaan edellisissä liitteissä tarkoitetuista menettelyistä (eri laskentajärjestelmien, rakenteita koskevien järjestelyjen jne. avulla), edellyttäen, että osoitetaan </w:t>
      </w:r>
      <w:r>
        <w:rPr>
          <w:rFonts w:asciiTheme="minorHAnsi" w:hAnsiTheme="minorHAnsi"/>
          <w:color w:val="000000"/>
        </w:rPr>
        <w:lastRenderedPageBreak/>
        <w:t>asiakirjoilla, että rakenne täyttää tämän maanjäristyksiä kestävää rakentamista koskevan standardin vaatimukset ja että ratkaisuilla toteutetaan vastaavat palvelut kuin ne, jotka saadaan soveltamalla tämän standardin mukaisia menettelyjä.</w:t>
      </w:r>
    </w:p>
    <w:p w14:paraId="23196ECE" w14:textId="77777777"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t>2 § Soveltamisala</w:t>
      </w:r>
    </w:p>
    <w:p w14:paraId="1B40A98A" w14:textId="0DDD90E1"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Tämän standardin vaatimukset maanjäristyksiä kestävän rakentamisen osalta koskevat kaikkia uusia rakennuksia, siltoja, torneja, mastoja, savupiippuja, siiloja, säiliöitä, putkia, suojarakenteita ja niiden perusrakenteita koskevia hankkeita ja rakennustöitä sekä geoteknistä hanketta. </w:t>
      </w:r>
    </w:p>
    <w:p w14:paraId="7968B2C8" w14:textId="3FBBAE08"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Tätä standardia sovelletaan myös olemassa olevien rakennusten seismiseen arviointiin ja tarvittaessa myös niiden seismiseen mukauttamiseen tapauksissa, joissa suoritetaan huomattavia korjaus- tai kunnostustöitä tai joissa tällainen arviointi tai mukauttaminen on tarpeen. Tässä maanjäristyksiä kestävää rakentamista koskevassa standardissa seisminen mukauttaminen kattaa sekä vahingoittumattomien rakenteiden vahvistamisen että maanjäristyksen vahingoittamien rakenteiden vahvistamisen.</w:t>
      </w:r>
    </w:p>
    <w:p w14:paraId="3286098A" w14:textId="1B39F053"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Olosuhteet, jotka saattavat edellyttää yksittäisten rakennusten seismistä arviointia, joka mahdollisesti johtaa seismiseen mukauttamiseen, eivät kuulu tämän standardin kohteeseen ja soveltamisalaan.</w:t>
      </w:r>
    </w:p>
    <w:p w14:paraId="2602E605" w14:textId="25143B7E"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Tarvittaessa tätä maanjäristyksiä kestävää rakentamista koskevaa standardia voidaan soveltaa myös muihin rakennetyyppeihin, joita ei ole nimenomaisesti sisällytetty sen soveltamisalaan, jos niitä varten ei ole olemassa erityisiä standardeja tai määräyksiä ja edellyttäen, että niitä ei ole nimenomaisesti suljettu sen soveltamisalan ulkopuolelle.</w:t>
      </w:r>
    </w:p>
    <w:p w14:paraId="163A6949" w14:textId="735DB3B4" w:rsidR="00671CE6" w:rsidRPr="00D35EA2" w:rsidRDefault="00671CE6" w:rsidP="00AD035F">
      <w:pPr>
        <w:pStyle w:val="parrafo"/>
        <w:shd w:val="clear" w:color="auto" w:fill="FFFFFF"/>
        <w:spacing w:before="0" w:beforeAutospacing="0" w:after="240" w:afterAutospacing="0" w:line="276" w:lineRule="auto"/>
        <w:jc w:val="both"/>
        <w:rPr>
          <w:rFonts w:asciiTheme="minorHAnsi" w:hAnsiTheme="minorHAnsi"/>
          <w:b/>
          <w:color w:val="000000"/>
          <w:sz w:val="22"/>
          <w:szCs w:val="22"/>
        </w:rPr>
      </w:pPr>
      <w:r>
        <w:rPr>
          <w:rFonts w:asciiTheme="minorHAnsi" w:hAnsiTheme="minorHAnsi"/>
          <w:b/>
          <w:color w:val="000000"/>
          <w:sz w:val="22"/>
        </w:rPr>
        <w:t>Ainoa siirtymäsäännös. Soveltaminen hankkeisiin ja töihin.</w:t>
      </w:r>
    </w:p>
    <w:p w14:paraId="7E1DEF06" w14:textId="77777777" w:rsidR="006D4B4B" w:rsidRPr="00870C22" w:rsidRDefault="006D4B4B"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Tämän kuninkaan asetuksen säännöksiä ei sovelleta rakennusurakoissa hankkeisiin, joiden suunnittelua tai tutkimusta julkishallintojen alalla tai muissa tapauksissa toteuttamista koskeva tilaus on tehty ennen tämän kuninkaan asetuksen voimaantuloa, eikä rakennustöihin, jotka on aloitettu enintään kahden vuoden kuluessa tämän asetuksen voimaantulosta, ellei toimivaltainen julkishallinto tai tapauksen mukaan hankkeen toteuttaja ole sitä mieltä, että se on pakollista. </w:t>
      </w:r>
    </w:p>
    <w:p w14:paraId="7A84DDAE" w14:textId="781A6671" w:rsidR="00870C22" w:rsidRPr="006D4B4B" w:rsidRDefault="006D4B4B" w:rsidP="00870C22">
      <w:pPr>
        <w:spacing w:after="240" w:line="276" w:lineRule="auto"/>
        <w:jc w:val="both"/>
        <w:textAlignment w:val="baseline"/>
        <w:rPr>
          <w:rFonts w:asciiTheme="minorHAnsi" w:eastAsia="Times New Roman" w:hAnsiTheme="minorHAnsi"/>
          <w:color w:val="000000"/>
          <w:spacing w:val="2"/>
        </w:rPr>
      </w:pPr>
      <w:r>
        <w:rPr>
          <w:rFonts w:asciiTheme="minorHAnsi" w:hAnsiTheme="minorHAnsi"/>
          <w:color w:val="000000"/>
        </w:rPr>
        <w:t xml:space="preserve">Tämän kuninkaan asetuksen säännöksiä ei sovelleta rakennuksiin hankkeissa, jotka ovat hakeneet kunnallista rakennuslupaa tai jotka ovat pyytäneet sitä yhdeksän kuukauden kuluessa tämän kuninkaan asetuksen voimaantulosta, joissa tapauksissa sovelletaan 27 päivänä syyskuuta annettua kuninkaan asetusta nro 997/2002 ”Maanjäristyksiä kestävää rakentamista koskeva standardi: Yleinen osa ja talonrakennustyöt (NCSE-02). Tällaiset työt on aloitettava edellä mainitun luvan voimassaoloajan enimmäiskeston kuluessa sen sääntelyn mukaisesti ja, jos se ei ole mahdollista, enintään kuuden kuukauden kuluessa edellä mainitun luvan myöntämispäivästä. Hankkeet on muutoin mukautettava tämän kuninkaan asetuksen säännöksiin. </w:t>
      </w:r>
    </w:p>
    <w:p w14:paraId="620031EA" w14:textId="77777777" w:rsidR="008A1694" w:rsidRPr="00D35EA2" w:rsidRDefault="008A1694" w:rsidP="00AD035F">
      <w:pPr>
        <w:spacing w:after="240" w:line="276" w:lineRule="auto"/>
        <w:jc w:val="both"/>
        <w:textAlignment w:val="baseline"/>
        <w:rPr>
          <w:rFonts w:asciiTheme="minorHAnsi" w:eastAsia="Times New Roman" w:hAnsiTheme="minorHAnsi"/>
          <w:b/>
          <w:color w:val="000000"/>
        </w:rPr>
      </w:pPr>
      <w:r>
        <w:rPr>
          <w:rFonts w:asciiTheme="minorHAnsi" w:hAnsiTheme="minorHAnsi"/>
          <w:b/>
          <w:color w:val="000000"/>
        </w:rPr>
        <w:t>Ainoa kumoava säännös. Säädösten kumoaminen</w:t>
      </w:r>
    </w:p>
    <w:p w14:paraId="3C87D465" w14:textId="41A1036B" w:rsidR="002B1514" w:rsidRPr="00870C22" w:rsidRDefault="002B1514"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Kumotaan tämän kuninkaan asetuksen tultua voimaan 27 päivänä syyskuuta 2002 annettu kuninkaan asetus nro 997/2002, jolla hyväksyttiin maanjäristyksiä kestävää rakentamista koskeva standardi: Yleinen osa ja talonrakennustyöt (NCSE-02) ja 18 päivänä toukokuuta 2007 annettu kuninkaan asetus </w:t>
      </w:r>
      <w:r>
        <w:rPr>
          <w:rFonts w:asciiTheme="minorHAnsi" w:hAnsiTheme="minorHAnsi"/>
          <w:color w:val="000000"/>
        </w:rPr>
        <w:lastRenderedPageBreak/>
        <w:t>nro 637/2007, jolla hyväksyttiin maanjäristyksiä kestävää rakentamista koskeva standardi: Sillat (NCSP-07).</w:t>
      </w:r>
    </w:p>
    <w:p w14:paraId="590D095E" w14:textId="77777777" w:rsidR="00870C22" w:rsidRPr="002073D4" w:rsidRDefault="00870C22" w:rsidP="00870C22">
      <w:pPr>
        <w:spacing w:after="120"/>
        <w:jc w:val="both"/>
        <w:textAlignment w:val="baseline"/>
        <w:rPr>
          <w:rFonts w:asciiTheme="minorHAnsi" w:eastAsia="Times New Roman" w:hAnsiTheme="minorHAnsi"/>
          <w:color w:val="000000"/>
          <w:spacing w:val="2"/>
        </w:rPr>
      </w:pPr>
    </w:p>
    <w:p w14:paraId="41EC003B" w14:textId="24B0084C" w:rsidR="00EC6A57" w:rsidRPr="00D35EA2" w:rsidRDefault="00EC6A57"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Ensimmäinen loppusäännös. Toimivaltuudet</w:t>
      </w:r>
    </w:p>
    <w:p w14:paraId="15D1B399" w14:textId="52F39719" w:rsidR="00EC6A57" w:rsidRPr="00870C22" w:rsidRDefault="00EC6A57"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Tämä kuninkaan asetus on luonteeltaan perusluonteinen, ja se on annettu Espanjan perustuslain 149.1.13a §:n nojalla. Kyseisessä pykälässä annetaan valtiolle yksinomainen toimivalta taloudellisen toiminnan yleisen suunnittelun perusteisiin ja yhteensovittamiseen liittyvissä asioissa. </w:t>
      </w:r>
    </w:p>
    <w:p w14:paraId="28E3B818" w14:textId="77777777" w:rsidR="00671CE6" w:rsidRPr="00AD035F" w:rsidRDefault="002B1514"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 xml:space="preserve">Toinen loppusäännös. </w:t>
      </w:r>
      <w:r>
        <w:rPr>
          <w:rFonts w:asciiTheme="minorHAnsi" w:hAnsiTheme="minorHAnsi"/>
          <w:b/>
          <w:color w:val="333333"/>
        </w:rPr>
        <w:t>Täytäntöönpanosta vastaava viranomainen</w:t>
      </w:r>
    </w:p>
    <w:p w14:paraId="431A3D72" w14:textId="7CF39534" w:rsidR="00671CE6" w:rsidRPr="00870C22" w:rsidRDefault="00671CE6"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Liikenteestä, liikkumisesta ja kaupunkiagendasta vastaavalla ministerillä on valtuudet antaa tarvittavat säännökset tämän kuninkaan asetuksen säännösten kehittämiseksi ja soveltamiseksi.</w:t>
      </w:r>
    </w:p>
    <w:p w14:paraId="3568A83D" w14:textId="72D1D66B" w:rsidR="00391221" w:rsidRDefault="00391221" w:rsidP="00391221">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Kolmas loppusäännös. Valtuutus maanjäristyksiä kestävää rakentamista koskevan standardin liitteen 1 lisäysten E, F ja G päivittämiseen.</w:t>
      </w:r>
    </w:p>
    <w:p w14:paraId="272F5E7E" w14:textId="319390A4" w:rsidR="00391221" w:rsidRPr="00870C22" w:rsidRDefault="0039122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Liikenteestä, liikkumisesta ja kaupunkiagendasta vastaavalla ministerillä on lupa saattaa ajan tasalle liitteen 1 lisäyksissä E ja F määritelty vaarakartta ja liitteen 1 lisäyksessä G tarkoitettu standardien luettelo, jos päivityksen tarkoituksena on saattaa kyseinen sisältö tekniikan kehityksen tai yhteisön lainsäädännön mukaiseksi.</w:t>
      </w:r>
    </w:p>
    <w:p w14:paraId="60B41840" w14:textId="4C5BA609" w:rsidR="002B1514" w:rsidRPr="00D35EA2" w:rsidRDefault="00671CE6"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Neljäs loppusäännös. Voimaantulo</w:t>
      </w:r>
    </w:p>
    <w:p w14:paraId="78134748" w14:textId="57E2AFC7" w:rsidR="00066186" w:rsidRPr="00870C22" w:rsidRDefault="00066186"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Tämä kuninkaan asetus tulee voimaan </w:t>
      </w:r>
      <w:r>
        <w:rPr>
          <w:rFonts w:asciiTheme="minorHAnsi" w:hAnsiTheme="minorHAnsi"/>
          <w:color w:val="000000"/>
          <w:highlight w:val="yellow"/>
        </w:rPr>
        <w:t>1 päivänä heinäkuuta 2023</w:t>
      </w:r>
      <w:r>
        <w:rPr>
          <w:rFonts w:asciiTheme="minorHAnsi" w:hAnsiTheme="minorHAnsi"/>
          <w:color w:val="000000"/>
        </w:rPr>
        <w:t>.</w:t>
      </w:r>
    </w:p>
    <w:p w14:paraId="16A294E9" w14:textId="77777777" w:rsidR="00056AAB" w:rsidRPr="002073D4" w:rsidRDefault="00056AAB" w:rsidP="00870C22">
      <w:pPr>
        <w:spacing w:after="120"/>
        <w:jc w:val="both"/>
        <w:textAlignment w:val="baseline"/>
        <w:rPr>
          <w:rFonts w:asciiTheme="minorHAnsi" w:eastAsia="Times New Roman" w:hAnsiTheme="minorHAnsi"/>
          <w:color w:val="000000"/>
          <w:spacing w:val="2"/>
        </w:rPr>
      </w:pPr>
    </w:p>
    <w:sectPr w:rsidR="00056AAB" w:rsidRPr="002073D4" w:rsidSect="00AD035F">
      <w:pgSz w:w="11904" w:h="16843"/>
      <w:pgMar w:top="1418"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alibri">
    <w:charset w:val="00"/>
    <w:pitch w:val="variable"/>
    <w:family w:val="swiss"/>
    <w:panose1 w:val="02020603050405020304"/>
  </w:font>
  <w:font w:name="Times New Roman">
    <w:charset w:val="00"/>
    <w:pitch w:val="variable"/>
    <w:family w:val="roman"/>
    <w:panose1 w:val="02020603050405020304"/>
  </w:font>
  <w:font w:name="Symbo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B4E5C"/>
    <w:multiLevelType w:val="hybridMultilevel"/>
    <w:tmpl w:val="8282418A"/>
    <w:lvl w:ilvl="0" w:tplc="9EE2D7E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4D5081E"/>
    <w:multiLevelType w:val="hybridMultilevel"/>
    <w:tmpl w:val="A1AA66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09764CB"/>
    <w:multiLevelType w:val="hybridMultilevel"/>
    <w:tmpl w:val="648E0C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0E63DD5"/>
    <w:multiLevelType w:val="hybridMultilevel"/>
    <w:tmpl w:val="7E6A3C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7CF6DA7"/>
    <w:multiLevelType w:val="hybridMultilevel"/>
    <w:tmpl w:val="5952024C"/>
    <w:lvl w:ilvl="0" w:tplc="8BDE2DF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8924DB"/>
    <w:multiLevelType w:val="hybridMultilevel"/>
    <w:tmpl w:val="38A478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3293A6A"/>
    <w:multiLevelType w:val="hybridMultilevel"/>
    <w:tmpl w:val="68D8974C"/>
    <w:lvl w:ilvl="0" w:tplc="0C0A0001">
      <w:start w:val="1"/>
      <w:numFmt w:val="bullet"/>
      <w:lvlText w:val=""/>
      <w:lvlJc w:val="left"/>
      <w:pPr>
        <w:ind w:left="1080" w:hanging="360"/>
      </w:pPr>
      <w:rPr>
        <w:rFonts w:ascii="Symbol" w:hAnsi="Symbol" w:hint="default"/>
      </w:rPr>
    </w:lvl>
    <w:lvl w:ilvl="1" w:tplc="FEFEF88C">
      <w:numFmt w:val="bullet"/>
      <w:lvlText w:val="−"/>
      <w:lvlJc w:val="left"/>
      <w:pPr>
        <w:ind w:left="1800" w:hanging="360"/>
      </w:pPr>
      <w:rPr>
        <w:rFonts w:ascii="Symbol" w:eastAsia="Symbol" w:hAnsi="Symbol"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7CBE5E98"/>
    <w:multiLevelType w:val="multilevel"/>
    <w:tmpl w:val="6BF032CE"/>
    <w:lvl w:ilvl="0">
      <w:start w:val="1"/>
      <w:numFmt w:val="lowerLetter"/>
      <w:lvlText w:val="%1)"/>
      <w:lvlJc w:val="left"/>
      <w:pPr>
        <w:tabs>
          <w:tab w:val="left" w:pos="288"/>
        </w:tabs>
        <w:ind w:left="720"/>
      </w:pPr>
      <w:rPr>
        <w:rFonts w:ascii="Times New Roman" w:eastAsia="Times New Roman" w:hAnsi="Times New Roman"/>
        <w:i/>
        <w:strike w:val="0"/>
        <w:color w:val="000000"/>
        <w:spacing w:val="-1"/>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2145648">
    <w:abstractNumId w:val="7"/>
  </w:num>
  <w:num w:numId="2" w16cid:durableId="122771378">
    <w:abstractNumId w:val="6"/>
  </w:num>
  <w:num w:numId="3" w16cid:durableId="851191015">
    <w:abstractNumId w:val="1"/>
  </w:num>
  <w:num w:numId="4" w16cid:durableId="1200095656">
    <w:abstractNumId w:val="5"/>
  </w:num>
  <w:num w:numId="5" w16cid:durableId="781075475">
    <w:abstractNumId w:val="3"/>
  </w:num>
  <w:num w:numId="6" w16cid:durableId="1567036530">
    <w:abstractNumId w:val="2"/>
  </w:num>
  <w:num w:numId="7" w16cid:durableId="153647272">
    <w:abstractNumId w:val="0"/>
  </w:num>
  <w:num w:numId="8" w16cid:durableId="642393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AB"/>
    <w:rsid w:val="00002183"/>
    <w:rsid w:val="0003132D"/>
    <w:rsid w:val="0003636B"/>
    <w:rsid w:val="00056AAB"/>
    <w:rsid w:val="00066186"/>
    <w:rsid w:val="0008161F"/>
    <w:rsid w:val="000E2974"/>
    <w:rsid w:val="00104411"/>
    <w:rsid w:val="00130D08"/>
    <w:rsid w:val="00136068"/>
    <w:rsid w:val="0013710F"/>
    <w:rsid w:val="00152A30"/>
    <w:rsid w:val="001C12F0"/>
    <w:rsid w:val="001C2399"/>
    <w:rsid w:val="001D206B"/>
    <w:rsid w:val="001E4C3F"/>
    <w:rsid w:val="001F1C94"/>
    <w:rsid w:val="002073D4"/>
    <w:rsid w:val="00210209"/>
    <w:rsid w:val="002A3B32"/>
    <w:rsid w:val="002B1514"/>
    <w:rsid w:val="002C6DA3"/>
    <w:rsid w:val="002D0987"/>
    <w:rsid w:val="002D2E92"/>
    <w:rsid w:val="002E7538"/>
    <w:rsid w:val="0030003E"/>
    <w:rsid w:val="00342738"/>
    <w:rsid w:val="00365BA2"/>
    <w:rsid w:val="003667D0"/>
    <w:rsid w:val="00391221"/>
    <w:rsid w:val="003D354D"/>
    <w:rsid w:val="003F52BD"/>
    <w:rsid w:val="00401E8F"/>
    <w:rsid w:val="00434546"/>
    <w:rsid w:val="004459F4"/>
    <w:rsid w:val="00455175"/>
    <w:rsid w:val="0046432E"/>
    <w:rsid w:val="004B0B49"/>
    <w:rsid w:val="004B543F"/>
    <w:rsid w:val="004B66B6"/>
    <w:rsid w:val="004C145B"/>
    <w:rsid w:val="004C422D"/>
    <w:rsid w:val="004D7B7B"/>
    <w:rsid w:val="004E3665"/>
    <w:rsid w:val="004F7A2A"/>
    <w:rsid w:val="004F7A3E"/>
    <w:rsid w:val="00503AEE"/>
    <w:rsid w:val="00520FBD"/>
    <w:rsid w:val="0056199D"/>
    <w:rsid w:val="00561DF5"/>
    <w:rsid w:val="005941F1"/>
    <w:rsid w:val="005B5A4A"/>
    <w:rsid w:val="006258F9"/>
    <w:rsid w:val="00627472"/>
    <w:rsid w:val="00635ED0"/>
    <w:rsid w:val="0066229B"/>
    <w:rsid w:val="00671CE6"/>
    <w:rsid w:val="00684B40"/>
    <w:rsid w:val="006D4B4B"/>
    <w:rsid w:val="006F452F"/>
    <w:rsid w:val="00751B2B"/>
    <w:rsid w:val="00757E5B"/>
    <w:rsid w:val="007759A4"/>
    <w:rsid w:val="007779ED"/>
    <w:rsid w:val="007C0BC6"/>
    <w:rsid w:val="007C1533"/>
    <w:rsid w:val="007D1EA2"/>
    <w:rsid w:val="007D4EDB"/>
    <w:rsid w:val="007E79FC"/>
    <w:rsid w:val="007F2FE2"/>
    <w:rsid w:val="00812799"/>
    <w:rsid w:val="00816242"/>
    <w:rsid w:val="0085711C"/>
    <w:rsid w:val="00870C22"/>
    <w:rsid w:val="0087216F"/>
    <w:rsid w:val="00875897"/>
    <w:rsid w:val="00875F75"/>
    <w:rsid w:val="008A1694"/>
    <w:rsid w:val="008A5EAC"/>
    <w:rsid w:val="008F3B9A"/>
    <w:rsid w:val="008F448A"/>
    <w:rsid w:val="0090284B"/>
    <w:rsid w:val="0092197D"/>
    <w:rsid w:val="00941C30"/>
    <w:rsid w:val="00961FB7"/>
    <w:rsid w:val="0099627E"/>
    <w:rsid w:val="009A14BF"/>
    <w:rsid w:val="009C173C"/>
    <w:rsid w:val="00A03734"/>
    <w:rsid w:val="00A11575"/>
    <w:rsid w:val="00A23F54"/>
    <w:rsid w:val="00A4123A"/>
    <w:rsid w:val="00A44FF2"/>
    <w:rsid w:val="00A623A2"/>
    <w:rsid w:val="00A65116"/>
    <w:rsid w:val="00A8506E"/>
    <w:rsid w:val="00A86943"/>
    <w:rsid w:val="00A953ED"/>
    <w:rsid w:val="00AA0AA7"/>
    <w:rsid w:val="00AB2735"/>
    <w:rsid w:val="00AB4370"/>
    <w:rsid w:val="00AC62C6"/>
    <w:rsid w:val="00AD035F"/>
    <w:rsid w:val="00AD4F83"/>
    <w:rsid w:val="00AE18FE"/>
    <w:rsid w:val="00AE64D3"/>
    <w:rsid w:val="00B06375"/>
    <w:rsid w:val="00B15BD6"/>
    <w:rsid w:val="00B66C50"/>
    <w:rsid w:val="00B8158C"/>
    <w:rsid w:val="00B85F2E"/>
    <w:rsid w:val="00BC4DEC"/>
    <w:rsid w:val="00BF08C0"/>
    <w:rsid w:val="00C24625"/>
    <w:rsid w:val="00C25687"/>
    <w:rsid w:val="00C42C4C"/>
    <w:rsid w:val="00C56500"/>
    <w:rsid w:val="00C56E96"/>
    <w:rsid w:val="00C67310"/>
    <w:rsid w:val="00C67639"/>
    <w:rsid w:val="00C726AF"/>
    <w:rsid w:val="00C8179D"/>
    <w:rsid w:val="00CF1EDD"/>
    <w:rsid w:val="00D047F0"/>
    <w:rsid w:val="00D05ABE"/>
    <w:rsid w:val="00D06621"/>
    <w:rsid w:val="00D13113"/>
    <w:rsid w:val="00D32AC2"/>
    <w:rsid w:val="00D35EA2"/>
    <w:rsid w:val="00D3777E"/>
    <w:rsid w:val="00D42767"/>
    <w:rsid w:val="00D67613"/>
    <w:rsid w:val="00D85648"/>
    <w:rsid w:val="00DC7ED2"/>
    <w:rsid w:val="00DD25A7"/>
    <w:rsid w:val="00DF0C32"/>
    <w:rsid w:val="00E2216E"/>
    <w:rsid w:val="00E4356E"/>
    <w:rsid w:val="00E44A93"/>
    <w:rsid w:val="00E65D34"/>
    <w:rsid w:val="00E72C90"/>
    <w:rsid w:val="00E920E0"/>
    <w:rsid w:val="00EC6A57"/>
    <w:rsid w:val="00EE3876"/>
    <w:rsid w:val="00EE3B24"/>
    <w:rsid w:val="00EF3F4C"/>
    <w:rsid w:val="00F03832"/>
    <w:rsid w:val="00F04B63"/>
    <w:rsid w:val="00F82079"/>
    <w:rsid w:val="00F95923"/>
    <w:rsid w:val="00FB627E"/>
    <w:rsid w:val="00FC7390"/>
    <w:rsid w:val="00FD34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22A2"/>
  <w15:docId w15:val="{5A6698CD-469E-4174-8D24-404E854D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B2B"/>
    <w:pPr>
      <w:ind w:left="720"/>
      <w:contextualSpacing/>
    </w:pPr>
  </w:style>
  <w:style w:type="paragraph" w:styleId="BalloonText">
    <w:name w:val="Balloon Text"/>
    <w:basedOn w:val="Normal"/>
    <w:link w:val="BalloonTextChar"/>
    <w:uiPriority w:val="99"/>
    <w:semiHidden/>
    <w:unhideWhenUsed/>
    <w:rsid w:val="00816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242"/>
    <w:rPr>
      <w:rFonts w:ascii="Segoe UI" w:hAnsi="Segoe UI" w:cs="Segoe UI"/>
      <w:sz w:val="18"/>
      <w:szCs w:val="18"/>
    </w:rPr>
  </w:style>
  <w:style w:type="paragraph" w:customStyle="1" w:styleId="parrafo">
    <w:name w:val="parrafo"/>
    <w:basedOn w:val="Normal"/>
    <w:rsid w:val="00671CE6"/>
    <w:pPr>
      <w:spacing w:before="100" w:beforeAutospacing="1" w:after="100" w:afterAutospacing="1"/>
    </w:pPr>
    <w:rPr>
      <w:rFonts w:eastAsia="Times New Roman"/>
      <w:sz w:val="24"/>
      <w:szCs w:val="24"/>
      <w:lang w:eastAsia="es-ES"/>
    </w:rPr>
  </w:style>
  <w:style w:type="character" w:styleId="CommentReference">
    <w:name w:val="annotation reference"/>
    <w:basedOn w:val="DefaultParagraphFont"/>
    <w:uiPriority w:val="99"/>
    <w:semiHidden/>
    <w:unhideWhenUsed/>
    <w:rsid w:val="0085711C"/>
    <w:rPr>
      <w:sz w:val="16"/>
      <w:szCs w:val="16"/>
    </w:rPr>
  </w:style>
  <w:style w:type="paragraph" w:styleId="CommentText">
    <w:name w:val="annotation text"/>
    <w:basedOn w:val="Normal"/>
    <w:link w:val="CommentTextChar"/>
    <w:uiPriority w:val="99"/>
    <w:unhideWhenUsed/>
    <w:rsid w:val="0085711C"/>
    <w:rPr>
      <w:sz w:val="20"/>
      <w:szCs w:val="20"/>
    </w:rPr>
  </w:style>
  <w:style w:type="character" w:customStyle="1" w:styleId="CommentTextChar">
    <w:name w:val="Comment Text Char"/>
    <w:basedOn w:val="DefaultParagraphFont"/>
    <w:link w:val="CommentText"/>
    <w:uiPriority w:val="99"/>
    <w:rsid w:val="0085711C"/>
    <w:rPr>
      <w:sz w:val="20"/>
      <w:szCs w:val="20"/>
    </w:rPr>
  </w:style>
  <w:style w:type="paragraph" w:styleId="CommentSubject">
    <w:name w:val="annotation subject"/>
    <w:basedOn w:val="CommentText"/>
    <w:next w:val="CommentText"/>
    <w:link w:val="CommentSubjectChar"/>
    <w:uiPriority w:val="99"/>
    <w:semiHidden/>
    <w:unhideWhenUsed/>
    <w:rsid w:val="0085711C"/>
    <w:rPr>
      <w:b/>
      <w:bCs/>
    </w:rPr>
  </w:style>
  <w:style w:type="character" w:customStyle="1" w:styleId="CommentSubjectChar">
    <w:name w:val="Comment Subject Char"/>
    <w:basedOn w:val="CommentTextChar"/>
    <w:link w:val="CommentSubject"/>
    <w:uiPriority w:val="99"/>
    <w:semiHidden/>
    <w:rsid w:val="0085711C"/>
    <w:rPr>
      <w:b/>
      <w:bCs/>
      <w:sz w:val="20"/>
      <w:szCs w:val="20"/>
    </w:rPr>
  </w:style>
  <w:style w:type="paragraph" w:styleId="Revision">
    <w:name w:val="Revision"/>
    <w:hidden/>
    <w:uiPriority w:val="99"/>
    <w:semiHidden/>
    <w:rsid w:val="00AE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40032">
      <w:bodyDiv w:val="1"/>
      <w:marLeft w:val="0"/>
      <w:marRight w:val="0"/>
      <w:marTop w:val="0"/>
      <w:marBottom w:val="0"/>
      <w:divBdr>
        <w:top w:val="none" w:sz="0" w:space="0" w:color="auto"/>
        <w:left w:val="none" w:sz="0" w:space="0" w:color="auto"/>
        <w:bottom w:val="none" w:sz="0" w:space="0" w:color="auto"/>
        <w:right w:val="none" w:sz="0" w:space="0" w:color="auto"/>
      </w:divBdr>
    </w:div>
    <w:div w:id="1107694819">
      <w:bodyDiv w:val="1"/>
      <w:marLeft w:val="0"/>
      <w:marRight w:val="0"/>
      <w:marTop w:val="0"/>
      <w:marBottom w:val="0"/>
      <w:divBdr>
        <w:top w:val="none" w:sz="0" w:space="0" w:color="auto"/>
        <w:left w:val="none" w:sz="0" w:space="0" w:color="auto"/>
        <w:bottom w:val="none" w:sz="0" w:space="0" w:color="auto"/>
        <w:right w:val="none" w:sz="0" w:space="0" w:color="auto"/>
      </w:divBdr>
    </w:div>
    <w:div w:id="1996643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18A3F-B80B-403D-ADAD-BBAEBBAA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1622</Words>
  <Characters>9250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Groba López Mónica</dc:creator>
  <cp:lastModifiedBy>Anastasia Stavroulaki</cp:lastModifiedBy>
  <cp:revision>12</cp:revision>
  <cp:lastPrinted>2021-08-26T09:18:00Z</cp:lastPrinted>
  <dcterms:created xsi:type="dcterms:W3CDTF">2022-09-20T11:25:00Z</dcterms:created>
  <dcterms:modified xsi:type="dcterms:W3CDTF">2023-03-31T14:09:00Z</dcterms:modified>
</cp:coreProperties>
</file>