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F6A" w14:textId="231973C4" w:rsidR="00056AAB" w:rsidRDefault="00104411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jc w:val="center"/>
        <w:textAlignment w:val="baseline"/>
        <w:rPr>
          <w:rFonts w:asciiTheme="minorHAnsi" w:eastAsia="Calibri" w:hAnsiTheme="minorHAnsi"/>
          <w:b/>
          <w:sz w:val="28"/>
        </w:rPr>
      </w:pPr>
      <w:r>
        <w:rPr>
          <w:rFonts w:asciiTheme="minorHAnsi" w:hAnsiTheme="minorHAnsi"/>
          <w:b/>
          <w:color w:val="000000"/>
          <w:sz w:val="28"/>
        </w:rPr>
        <w:t>DEKRET KRÓLEWSKI</w:t>
      </w:r>
      <w:r>
        <w:rPr>
          <w:rFonts w:asciiTheme="minorHAnsi" w:hAnsiTheme="minorHAnsi"/>
          <w:b/>
          <w:color w:val="000000"/>
          <w:sz w:val="28"/>
        </w:rPr>
        <w:tab/>
        <w:t>/</w:t>
      </w:r>
      <w:r>
        <w:rPr>
          <w:rFonts w:asciiTheme="minorHAnsi" w:hAnsiTheme="minorHAnsi"/>
          <w:b/>
          <w:color w:val="000000"/>
          <w:sz w:val="28"/>
        </w:rPr>
        <w:tab/>
        <w:t xml:space="preserve">z dnia </w:t>
      </w:r>
      <w:r>
        <w:rPr>
          <w:rFonts w:asciiTheme="minorHAnsi" w:hAnsiTheme="minorHAnsi"/>
          <w:b/>
          <w:color w:val="000000"/>
          <w:sz w:val="28"/>
        </w:rPr>
        <w:tab/>
        <w:t>zatwierdzający standard budowlany odporności na trzęsienia ziemi NCSR-</w:t>
      </w:r>
      <w:r>
        <w:rPr>
          <w:rFonts w:asciiTheme="minorHAnsi" w:hAnsiTheme="minorHAnsi"/>
          <w:b/>
          <w:sz w:val="28"/>
        </w:rPr>
        <w:t>23</w:t>
      </w:r>
    </w:p>
    <w:p w14:paraId="227AE49F" w14:textId="77777777" w:rsidR="003667D0" w:rsidRPr="006D4B4B" w:rsidRDefault="003667D0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textAlignment w:val="baseline"/>
        <w:rPr>
          <w:rFonts w:asciiTheme="minorHAnsi" w:eastAsia="Calibri" w:hAnsiTheme="minorHAnsi"/>
          <w:b/>
          <w:sz w:val="28"/>
          <w:lang w:val="es-ES"/>
        </w:rPr>
      </w:pPr>
    </w:p>
    <w:p w14:paraId="418AC172" w14:textId="37EBFE33" w:rsidR="00A44FF2" w:rsidRDefault="00104411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Stałemu Komitetowi ds. Norm Odporności na Trzęsienia Ziemi, międzyresortowemu organowi kolegialnemu, utworzonemu dekretem nr 3209/1974 z dnia 30 sierpnia, włączonemu do Ministerstwa Transportu, Mobilności i Agendy Miejskiej oraz Dyrekcji Generalnej Narodowego Instytutu Geograficznego, jak określono w dekrecie królewskim 645/2020 z dnia 7 lipca rozwijającym podstawową strukturę organizacyjną Ministerstwa Transportu, Mobilności i Agendy Miejskiej, wśród jego funkcji powierza się uaktualnienie przepisów dotyczących odporności na trzęsienia ziemi, jak przewidziano w art. 2 lit. B dekretu królewskiego 518/1984 z dnia 22 lutego, który reorganizuje jego skład.</w:t>
      </w:r>
    </w:p>
    <w:p w14:paraId="032C0763" w14:textId="4901726A" w:rsidR="00C25687" w:rsidRDefault="00757E5B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Do tej pory obecne przepisy są zawarte w „Normie budowlanej dotyczącej odporności na trzęsienia ziemi: sekcja ogólna i budynki (NCSE-02)” zatwierdzonej dekretem królewskim 997/2002 z dnia 27 września oraz w „normie budowlanej odporności na trzęsienia ziemi: mosty (NCSP-07)” zatwierdzonej dekretem królewskim 637/2007 z dnia 18 maja. Czas, jaki upłynął od ich zatwierdzenia, wymaga ich przeglądu i aktualizacji, zarówno ze względów technicznych, jak i regulacyjnych, w celu dostosowania przepisów do aktualnego stanu wiedzy na temat sejsmologii i inżynierii sejsmicznej, a także do ram regulacyjnych, w których muszą działać.</w:t>
      </w:r>
    </w:p>
    <w:p w14:paraId="00D9E943" w14:textId="08D48EDA" w:rsidR="0008161F" w:rsidRDefault="0008161F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Stały Komitet ds. Norm Odporności na Trzęsienia Ziemi, wykonując swoje funkcje, opracował nową normę budowlaną dotyczącą odporności na trzęsienia ziemi, która zastępuje wyżej wymienione normy, uwzględniając najistotniejsze aspekty prawodawstwa europejskiego w zakresie obliczania konstrukcji, zgodnie z procedurami ustanowionymi w Eurokodach budowlanych i rozszerzając ich zawartość o bardziej budowlane typologie. Nowa norma ustanawia warunki techniczne, jakie muszą spełniać obiekty budowlane i inżynierii lądowej, tak aby ich zachowanie w obliczu zjawisk sejsmicznych pozwoliło uniknąć poważnych skutków dla zdrowia i bezpieczeństwa ludzi oraz strat gospodarczych, jak również sprzyjało utrzymaniu podstawowych usług dla społeczeństwa w przypadku trzęsień ziemi o dużej intensywności.</w:t>
      </w:r>
    </w:p>
    <w:p w14:paraId="6F2451EE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Dekret królewski jest zgodny z zasadami konieczności, efektywności, proporcjonalności, pewności prawa, przejrzystości i skuteczności określonymi w art. 129 ustawy 39/2015 z dnia 1 października o powszechnym postępowaniu administracyjnym organów administracji publicznej. </w:t>
      </w:r>
    </w:p>
    <w:p w14:paraId="4A3F3D5F" w14:textId="0682A2D0" w:rsidR="001D206B" w:rsidRDefault="007F2FE2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Jest on zgodny z zasadami konieczności i efektywności, ponieważ zastosowanie nowej normy odporności na trzęsienia ziemi odzwierciedla, w odniesieniu do poprzednich przepisów, postęp w zakresie wiedzy na temat aktywności sejsmicznej i jej określania, a także zawiera wyjaśnienia dotyczące stosowania koncepcji i wymagań odporności na trzęsienia ziemi i plastyczności, które muszą być wymagane od konstrukcji w strefach sejsmicznych. Projekt nie zakłóca konkurencji na rynku, ale sprzyja konkurencji poprzez regulację aspektów nieobjętych obowiązującymi obecnie przepisami. Jest on również zgodny z zasadą proporcjonalności, ponieważ norma zawiera przepisy niezbędne do zaspokojenia opisanej powyżej potrzeby bez możliwości zastosowania innych środków, które w mniejszym stopniu ograniczają prawa lub nakładają mniej obowiązków na adresatów, oraz z zasadą pewności prawa, ze względu na włączenie przepisów do porządku prawnego w pełnej zgodności z obowiązującymi przepisami krajowymi i europejskimi. Zasada przejrzystości jest zagwarantowana, ponieważ wszystkie procedury informacyjne wskazane w ustawie rządowej nr 50/1997 z dnia 27 </w:t>
      </w:r>
      <w:r>
        <w:rPr>
          <w:rFonts w:asciiTheme="minorHAnsi" w:hAnsiTheme="minorHAnsi"/>
          <w:color w:val="000000" w:themeColor="text1"/>
        </w:rPr>
        <w:lastRenderedPageBreak/>
        <w:t>listopada zostały spełnione, co zostało opublikowane na portalu dotyczącym przejrzystości rządu hiszpańskiego. Wreszcie, stosując zasadę skuteczności, norma ta nie pociąga za sobą zwiększenia obciążeń administracyjnych ani wydatków publicznych.</w:t>
      </w:r>
    </w:p>
    <w:p w14:paraId="53F4DA01" w14:textId="712176A3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Ten dekret królewski został wydany na podstawie przepisów zawartych </w:t>
      </w:r>
      <w:r>
        <w:rPr>
          <w:rFonts w:asciiTheme="minorHAnsi" w:hAnsiTheme="minorHAnsi"/>
        </w:rPr>
        <w:t xml:space="preserve">w art. 149.1.13a konstytucji hiszpańskiej, </w:t>
      </w:r>
      <w:r>
        <w:rPr>
          <w:rFonts w:asciiTheme="minorHAnsi" w:hAnsiTheme="minorHAnsi"/>
          <w:color w:val="000000" w:themeColor="text1"/>
        </w:rPr>
        <w:t>który przypisuje państwu kompetencję w sprawach podstaw i koordynacji ogólnego planowania działalności gospodarczej.</w:t>
      </w:r>
    </w:p>
    <w:p w14:paraId="343DD835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Proces opracowywania tego dekretu królewskiego zakończył procedurę określoną w ustawie rządowej nr 50/1997 z dnia 27 listopada oraz w dyrektywie Parlamentu Europejskiego i Rady (UE) 2015/1535 z dnia 9 września ustanawiającej procedurę udzielania informacji w dziedzinie przepisów technicznych oraz zasad dotyczących usług społeczeństwa informacyjnego, a także w dekrecie królewskim 1337/1999 z dnia 31 lipca, dotyczącym udzielania informacji w dziedzinie przepisów technicznych oraz zasad dotyczących usług społeczeństwa informacyjnego. </w:t>
      </w:r>
    </w:p>
    <w:p w14:paraId="288E1E12" w14:textId="6459E5E4" w:rsid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Ten dekret królewski został przyjęty z inicjatywy Stałego Komitetu ds. Norm Odporności na Trzęsienia Ziemi.</w:t>
      </w:r>
    </w:p>
    <w:p w14:paraId="42144605" w14:textId="312B0DF6" w:rsidR="00056AAB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 w:themeColor="text1"/>
        </w:rPr>
        <w:t xml:space="preserve">Z tego tytułu, na wniosek Ministra Transportu, Mobilności i Agendy Miejskiej </w:t>
      </w:r>
      <w:r>
        <w:rPr>
          <w:rFonts w:asciiTheme="minorHAnsi" w:hAnsiTheme="minorHAnsi"/>
          <w:color w:val="000000"/>
        </w:rPr>
        <w:t>i po obradach w Radzie Ministrów w dniu...</w:t>
      </w:r>
    </w:p>
    <w:p w14:paraId="01FC4263" w14:textId="77777777" w:rsidR="004459F4" w:rsidRPr="00EB4081" w:rsidRDefault="004459F4" w:rsidP="004459F4">
      <w:pPr>
        <w:suppressAutoHyphens/>
        <w:ind w:firstLine="425"/>
        <w:jc w:val="both"/>
        <w:rPr>
          <w:rFonts w:asciiTheme="minorHAnsi" w:eastAsia="Times New Roman" w:hAnsiTheme="minorHAnsi" w:cstheme="minorHAnsi"/>
          <w:color w:val="000000"/>
        </w:rPr>
      </w:pPr>
    </w:p>
    <w:p w14:paraId="1ECEFAB2" w14:textId="77777777" w:rsidR="00056AAB" w:rsidRPr="006D4B4B" w:rsidRDefault="00104411" w:rsidP="00AD035F">
      <w:pPr>
        <w:spacing w:after="240" w:line="276" w:lineRule="auto"/>
        <w:jc w:val="center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>NINIEJSZYM ZARZĄDZAM</w:t>
      </w:r>
    </w:p>
    <w:p w14:paraId="05744015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Artykuł 1. Cel</w:t>
      </w:r>
    </w:p>
    <w:p w14:paraId="721FFEF1" w14:textId="46A6063B" w:rsidR="0046432E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Zatwierdzono normę budowlaną dotyczącą odporności na trzęsienia ziemi NCSR-23, która ustanawia podstawowe pojęcia i wymogi, jakie muszą spełniać obiekty znajdujące się w strefach sejsmicznych w Hiszpanii, oprócz przestrzegania pozostałych obowiązujących przepisów szczegółowych dotyczących obiektów. </w:t>
      </w:r>
    </w:p>
    <w:p w14:paraId="78734A0A" w14:textId="7654B8F0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Obiekty budowlane oraz konstrukcje, które mogą być poddane działaniu trzęsień ziemi, projektuje się, wykonuje i dokumentuje z uwzględnieniem aktywności sejsmicznej zgodnie z postanowieniami sześciu załączników, które tworzą tę normę odporności na trzęsienia ziemi:</w:t>
      </w:r>
    </w:p>
    <w:p w14:paraId="79EC5159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Załącznik 1: Zasady ogólne, aktywność sejsmiczna i przepisy budowlane.</w:t>
      </w:r>
    </w:p>
    <w:p w14:paraId="79F9BCF0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Załącznik 2: Mosty</w:t>
      </w:r>
    </w:p>
    <w:p w14:paraId="7CD23BE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Załącznik 3: Ocena i adaptacja sejsmiczna budynków.</w:t>
      </w:r>
    </w:p>
    <w:p w14:paraId="2850B202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Załącznik 4: Silosy, zbiorniki i rury.</w:t>
      </w:r>
    </w:p>
    <w:p w14:paraId="3AC9CD4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Załącznik 5: Fundamenty, konstrukcje zabezpieczające i aspekty geotechniczne.</w:t>
      </w:r>
    </w:p>
    <w:p w14:paraId="6AD4A209" w14:textId="1CF81FB4" w:rsid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Załącznik 6: Wieże, maszty i kominy.</w:t>
      </w:r>
    </w:p>
    <w:p w14:paraId="75E4EE37" w14:textId="77777777" w:rsidR="00870C22" w:rsidRPr="00EB4081" w:rsidRDefault="00870C22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p w14:paraId="7A592887" w14:textId="3BD133CC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Alternatywnie, autor projektu i kierownictwo fakultatywne mogą, korzystając ze swoich uprawnień, w ramach swojej odpowiedzialności i po uprzednim uzyskaniu zgody właściciela nieruchomości, przyjąć inne rozwiązania, które częściowo lub całkowicie odbiegają od procedur, o których mowa w poprzednich załącznikach (za pomocą innych systemów obliczeniowych, konstruktywnych ustaleń itp.), pod warunkiem, że zostanie udokumentowane, że konstrukcja spełnia wymagania tej normy </w:t>
      </w:r>
      <w:r>
        <w:rPr>
          <w:rFonts w:asciiTheme="minorHAnsi" w:hAnsiTheme="minorHAnsi"/>
          <w:color w:val="000000"/>
        </w:rPr>
        <w:lastRenderedPageBreak/>
        <w:t>odporności na trzęsienia ziemi, osiągając parametry co najmniej równoważne parametrom uzyskanym w wyniku zastosowania procedur tej normy.</w:t>
      </w:r>
    </w:p>
    <w:p w14:paraId="23196ECE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Artykuł 2. Zakres stosowania</w:t>
      </w:r>
    </w:p>
    <w:p w14:paraId="1B40A98A" w14:textId="0DDD90E1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Wymagania dotyczące odporności na trzęsienia ziemi tej normy mają zastosowanie do wszystkich projektów i prac budowlanych związanych z nowymi budynkami, mostami, wieżami, masztami, kominami, silosami, zbiornikami, rurami, konstrukcjami zabezpieczającymi i ich fundamentami, a także do projektu geotechnicznego. </w:t>
      </w:r>
    </w:p>
    <w:p w14:paraId="7968B2C8" w14:textId="3FBBAE08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Podobnie, norma ta ma zastosowanie do oceny sejsmicznej istniejących budynków, a także, w stosownych przypadkach, do ich adaptacji sejsmicznej, w przypadkach, gdy prowadzone są prace renowacyjne lub remontowe o wystarczającym zakresie lub gdy wymagana jest taka ocena lub adaptacja. Do celów tej normy odporności na trzęsienia ziemi adaptacja sejsmiczna obejmuje zarówno wzmocnienie nieuszkodzonych konstrukcji, jak i wzmocnienie konstrukcji uszkodzonych przez trzęsienie ziemi.</w:t>
      </w:r>
    </w:p>
    <w:p w14:paraId="3286098A" w14:textId="1B39F053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Warunki, które mogą wymagać oceny sejsmicznej poszczególnych budynków, co może prowadzić do uzyskania adekwatności sejsmicznej, nie wchodzą w zakres tej normy.</w:t>
      </w:r>
    </w:p>
    <w:p w14:paraId="2602E605" w14:textId="25143B7E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W stosownych przypadkach ta norma odporności na trzęsienia ziemi może być również stosowana w uzupełnieniu do innych typów konstrukcji, które nie są wyraźnie objęte jej zakresem, jeżeli nie występują one w odniesieniu do takich samych szczegółowych przepisów oraz pod warunkiem, że nie są one wyraźnie wyłączone z jego zakresu.</w:t>
      </w:r>
    </w:p>
    <w:p w14:paraId="163A6949" w14:textId="735DB3B4" w:rsidR="00671CE6" w:rsidRPr="00D35EA2" w:rsidRDefault="00671CE6" w:rsidP="00AD035F">
      <w:pPr>
        <w:pStyle w:val="parrafo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Jedyny przepis przejściowy. Zastosowanie do projektów i prac.</w:t>
      </w:r>
    </w:p>
    <w:p w14:paraId="7E1DEF06" w14:textId="4D10ABF9" w:rsidR="006D4B4B" w:rsidRPr="00870C22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Postanowienia niniejszego dekretu królewskiego nie mają zastosowania do robót budowlanych w przypadku projektów, których proces projektowania lub analizowania w obszarze administracji publicznej lub — w innych przypadkach — zamawiania, został przeprowadzony przed wejściem w życie tego dekretu królewskiego, jak również do prac wykonywanych w ramach ich opracowywania, pod warunkiem że zostaną one zainicjowane w terminie nieprzekraczającym dwóch lat od tego wejścia w życie, chyba że właściwa administracja publiczna lub, w stosownych przypadkach, promotor, wyrazi zgodę na to, że jest to obowiązkowe.</w:t>
      </w:r>
    </w:p>
    <w:p w14:paraId="7A84DDAE" w14:textId="781A6671" w:rsidR="00870C22" w:rsidRPr="006D4B4B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 xml:space="preserve">Postanowienia tego dekretu królewskiego nie mają zastosowania w obszarze budownictwa w przypadku projektów, dla których złożono wcześniej wniosek o wydanie licencji na roboty komunalne lub złożono taki wniosek w ciągu dziewięciu miesięcy od wejścia w życie tego dekretu królewskiego, w tym przypadku dekretu królewskiego 997/2002 z dnia 27 września zatwierdzającego standard budowlany odporności na trzęsienia ziemi: sekcja ogólna i budynki (NCSE-02). Takie prace muszą rozpocząć się w maksymalnym okresie skuteczności wspomnianej licencji, zgodnie z jej przepisami regulacyjnymi, a w przypadku ich braku, w terminie nieprzekraczającym sześciu miesięcy od daty przyznania tej licencji. W przeciwnym razie projekty muszą być dostosowane do postanowień tego dekretu królewskiego. </w:t>
      </w:r>
    </w:p>
    <w:p w14:paraId="620031EA" w14:textId="77777777" w:rsidR="008A1694" w:rsidRPr="00D35EA2" w:rsidRDefault="008A169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Jedyny przepis uchylający. Uchylenie przepisów</w:t>
      </w:r>
    </w:p>
    <w:p w14:paraId="3C87D465" w14:textId="41A1036B" w:rsidR="002B1514" w:rsidRPr="00870C22" w:rsidRDefault="002B1514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Z dniem wejścia w życie tego dekretu królewskiego uchyla się dekret królewski 997/2002 z dnia 27 września zatwierdzający standard budowlany odporności na trzęsienia ziemi: sekcja ogólna i budynki (NCSE-02) oraz dekret królewski 637/2007 z dnia 18 maja zatwierdzający standard budowlany odporności na trzęsienia ziemi: mosty (NCSP-07).</w:t>
      </w:r>
    </w:p>
    <w:p w14:paraId="590D095E" w14:textId="77777777" w:rsidR="00870C22" w:rsidRPr="00EB4081" w:rsidRDefault="00870C22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p w14:paraId="41EC003B" w14:textId="77291452" w:rsidR="00EC6A57" w:rsidRPr="00FC021D" w:rsidRDefault="00EC6A57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lang w:val="el-GR"/>
        </w:rPr>
      </w:pPr>
      <w:r>
        <w:rPr>
          <w:rFonts w:asciiTheme="minorHAnsi" w:hAnsiTheme="minorHAnsi"/>
          <w:b/>
          <w:color w:val="000000"/>
        </w:rPr>
        <w:t>Pierwszy przepis końcowy. Powierzenie uprawnień</w:t>
      </w:r>
    </w:p>
    <w:p w14:paraId="15D1B399" w14:textId="52F39719" w:rsidR="00EC6A57" w:rsidRPr="00870C22" w:rsidRDefault="00EC6A57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Ten dekret królewski ma charakter podstawowy i został wydany na podstawie przepisów zawartych w art. 149.1.13a konstytucji hiszpańskiej, który przypisuje państwu wyłączną kompetencję w sprawach podstaw i koordynacji ogólnego planowania działalności gospodarczej. </w:t>
      </w:r>
    </w:p>
    <w:p w14:paraId="28E3B818" w14:textId="791D261B" w:rsidR="00671CE6" w:rsidRPr="00CD799B" w:rsidRDefault="002B151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lang w:val="el-GR"/>
        </w:rPr>
      </w:pPr>
      <w:r>
        <w:rPr>
          <w:rFonts w:asciiTheme="minorHAnsi" w:hAnsiTheme="minorHAnsi"/>
          <w:b/>
          <w:color w:val="000000"/>
        </w:rPr>
        <w:t xml:space="preserve">Drugi przepis końcowy. </w:t>
      </w:r>
      <w:r>
        <w:rPr>
          <w:rFonts w:asciiTheme="minorHAnsi" w:hAnsiTheme="minorHAnsi"/>
          <w:b/>
          <w:color w:val="333333"/>
        </w:rPr>
        <w:t>Organ wdrażający</w:t>
      </w:r>
    </w:p>
    <w:p w14:paraId="431A3D72" w14:textId="7CF39534" w:rsidR="00671CE6" w:rsidRPr="00870C22" w:rsidRDefault="00671CE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Kierownictwo Ministerstwa Transportu, Mobilności i Agendy Miejskiej jest upoważnione do wydawania przepisów niezbędnych do opracowania i stosowania przepisów tego dekretu królewskiego.</w:t>
      </w:r>
    </w:p>
    <w:p w14:paraId="3568A83D" w14:textId="72D1D66B" w:rsidR="00391221" w:rsidRDefault="00391221" w:rsidP="00391221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Trzeci przepis końcowy. Zezwolenie na aktualizację dodatków E, F i G załącznika 1 do standardu budowlanego odporności na trzęsienia ziemi.</w:t>
      </w:r>
    </w:p>
    <w:p w14:paraId="272F5E7E" w14:textId="319390A4" w:rsidR="00391221" w:rsidRPr="00870C22" w:rsidRDefault="0039122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Kierownictwo Ministerstwa Transportu, Mobilności i Agendy Miejskiej jest upoważnione do aktualizacji mapy zagrożeń określonej w dodatkach E i F do załącznika 1 oraz wykazu norm, o których mowa w dodatku G do załącznika 1, jeżeli takie aktualizacje mają na celu dostosowanie tych treści do postępu technicznego lub prawodawstwa wspólnotowego.</w:t>
      </w:r>
    </w:p>
    <w:p w14:paraId="60B41840" w14:textId="4C5BA609" w:rsidR="002B1514" w:rsidRPr="00D35EA2" w:rsidRDefault="00671CE6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Czwarty przepis końcowy. Wejście w życie</w:t>
      </w:r>
    </w:p>
    <w:p w14:paraId="78134748" w14:textId="73B9C48F" w:rsidR="00066186" w:rsidRPr="00870C22" w:rsidRDefault="0006618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Ten dekret królewski wchodzi w życie w dniu </w:t>
      </w:r>
      <w:r>
        <w:rPr>
          <w:rFonts w:asciiTheme="minorHAnsi" w:hAnsiTheme="minorHAnsi"/>
          <w:color w:val="000000"/>
          <w:highlight w:val="yellow"/>
        </w:rPr>
        <w:t>1 lipca 2023 r.</w:t>
      </w:r>
    </w:p>
    <w:p w14:paraId="16A294E9" w14:textId="77777777" w:rsidR="00056AAB" w:rsidRPr="00EB4081" w:rsidRDefault="00056AAB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sectPr w:rsidR="00056AAB" w:rsidRPr="00EB4081" w:rsidSect="00AD035F">
      <w:pgSz w:w="11904" w:h="16843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4E5C"/>
    <w:multiLevelType w:val="hybridMultilevel"/>
    <w:tmpl w:val="8282418A"/>
    <w:lvl w:ilvl="0" w:tplc="9EE2D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081E"/>
    <w:multiLevelType w:val="hybridMultilevel"/>
    <w:tmpl w:val="A1AA6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64CB"/>
    <w:multiLevelType w:val="hybridMultilevel"/>
    <w:tmpl w:val="648E0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3DD5"/>
    <w:multiLevelType w:val="hybridMultilevel"/>
    <w:tmpl w:val="7E6A3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6DA7"/>
    <w:multiLevelType w:val="hybridMultilevel"/>
    <w:tmpl w:val="5952024C"/>
    <w:lvl w:ilvl="0" w:tplc="8BDE2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24DB"/>
    <w:multiLevelType w:val="hybridMultilevel"/>
    <w:tmpl w:val="38A47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3A6A"/>
    <w:multiLevelType w:val="hybridMultilevel"/>
    <w:tmpl w:val="68D897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FEF88C">
      <w:numFmt w:val="bullet"/>
      <w:lvlText w:val="−"/>
      <w:lvlJc w:val="left"/>
      <w:pPr>
        <w:ind w:left="1800" w:hanging="360"/>
      </w:pPr>
      <w:rPr>
        <w:rFonts w:ascii="Symbol" w:eastAsia="Symbol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BE5E98"/>
    <w:multiLevelType w:val="multilevel"/>
    <w:tmpl w:val="6BF032C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2145648">
    <w:abstractNumId w:val="7"/>
  </w:num>
  <w:num w:numId="2" w16cid:durableId="122771378">
    <w:abstractNumId w:val="6"/>
  </w:num>
  <w:num w:numId="3" w16cid:durableId="851191015">
    <w:abstractNumId w:val="1"/>
  </w:num>
  <w:num w:numId="4" w16cid:durableId="1200095656">
    <w:abstractNumId w:val="5"/>
  </w:num>
  <w:num w:numId="5" w16cid:durableId="781075475">
    <w:abstractNumId w:val="3"/>
  </w:num>
  <w:num w:numId="6" w16cid:durableId="1567036530">
    <w:abstractNumId w:val="2"/>
  </w:num>
  <w:num w:numId="7" w16cid:durableId="153647272">
    <w:abstractNumId w:val="0"/>
  </w:num>
  <w:num w:numId="8" w16cid:durableId="64239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AB"/>
    <w:rsid w:val="00002183"/>
    <w:rsid w:val="0003132D"/>
    <w:rsid w:val="0003636B"/>
    <w:rsid w:val="00056AAB"/>
    <w:rsid w:val="00066186"/>
    <w:rsid w:val="0008161F"/>
    <w:rsid w:val="000E2974"/>
    <w:rsid w:val="00104411"/>
    <w:rsid w:val="00130D08"/>
    <w:rsid w:val="00136068"/>
    <w:rsid w:val="0013710F"/>
    <w:rsid w:val="00152A30"/>
    <w:rsid w:val="001C12F0"/>
    <w:rsid w:val="001C2399"/>
    <w:rsid w:val="001D206B"/>
    <w:rsid w:val="001F1C94"/>
    <w:rsid w:val="00210209"/>
    <w:rsid w:val="00280FD4"/>
    <w:rsid w:val="002A3B32"/>
    <w:rsid w:val="002B1514"/>
    <w:rsid w:val="002C6DA3"/>
    <w:rsid w:val="002D0987"/>
    <w:rsid w:val="002D2E92"/>
    <w:rsid w:val="002E7538"/>
    <w:rsid w:val="0030003E"/>
    <w:rsid w:val="00342738"/>
    <w:rsid w:val="00365BA2"/>
    <w:rsid w:val="003667D0"/>
    <w:rsid w:val="00391221"/>
    <w:rsid w:val="003D354D"/>
    <w:rsid w:val="003F52BD"/>
    <w:rsid w:val="00401E8F"/>
    <w:rsid w:val="00434546"/>
    <w:rsid w:val="004459F4"/>
    <w:rsid w:val="00455175"/>
    <w:rsid w:val="0046432E"/>
    <w:rsid w:val="004B0B49"/>
    <w:rsid w:val="004B543F"/>
    <w:rsid w:val="004B66B6"/>
    <w:rsid w:val="004C145B"/>
    <w:rsid w:val="004C422D"/>
    <w:rsid w:val="004D7B7B"/>
    <w:rsid w:val="004E3665"/>
    <w:rsid w:val="004F7A2A"/>
    <w:rsid w:val="004F7A3E"/>
    <w:rsid w:val="00503AEE"/>
    <w:rsid w:val="00520FBD"/>
    <w:rsid w:val="0056199D"/>
    <w:rsid w:val="00561DF5"/>
    <w:rsid w:val="005941F1"/>
    <w:rsid w:val="005B5A4A"/>
    <w:rsid w:val="006258F9"/>
    <w:rsid w:val="00627472"/>
    <w:rsid w:val="00635ED0"/>
    <w:rsid w:val="0066229B"/>
    <w:rsid w:val="00671CE6"/>
    <w:rsid w:val="00684B40"/>
    <w:rsid w:val="006D4B4B"/>
    <w:rsid w:val="006F452F"/>
    <w:rsid w:val="00751B2B"/>
    <w:rsid w:val="00757E5B"/>
    <w:rsid w:val="007759A4"/>
    <w:rsid w:val="007779ED"/>
    <w:rsid w:val="007C0BC6"/>
    <w:rsid w:val="007C1533"/>
    <w:rsid w:val="007D1EA2"/>
    <w:rsid w:val="007D4EDB"/>
    <w:rsid w:val="007E79FC"/>
    <w:rsid w:val="007F2FE2"/>
    <w:rsid w:val="00812799"/>
    <w:rsid w:val="00816242"/>
    <w:rsid w:val="0085711C"/>
    <w:rsid w:val="00870C22"/>
    <w:rsid w:val="0087216F"/>
    <w:rsid w:val="00875897"/>
    <w:rsid w:val="00875F75"/>
    <w:rsid w:val="008A1694"/>
    <w:rsid w:val="008A5EAC"/>
    <w:rsid w:val="008F3B9A"/>
    <w:rsid w:val="008F448A"/>
    <w:rsid w:val="0090284B"/>
    <w:rsid w:val="0092197D"/>
    <w:rsid w:val="00941C30"/>
    <w:rsid w:val="00961FB7"/>
    <w:rsid w:val="0099627E"/>
    <w:rsid w:val="009A14BF"/>
    <w:rsid w:val="009C173C"/>
    <w:rsid w:val="00A03734"/>
    <w:rsid w:val="00A11575"/>
    <w:rsid w:val="00A23F54"/>
    <w:rsid w:val="00A4123A"/>
    <w:rsid w:val="00A44FF2"/>
    <w:rsid w:val="00A623A2"/>
    <w:rsid w:val="00A65116"/>
    <w:rsid w:val="00A8506E"/>
    <w:rsid w:val="00A86943"/>
    <w:rsid w:val="00A953ED"/>
    <w:rsid w:val="00AA0AA7"/>
    <w:rsid w:val="00AB2735"/>
    <w:rsid w:val="00AB4370"/>
    <w:rsid w:val="00AC62C6"/>
    <w:rsid w:val="00AD035F"/>
    <w:rsid w:val="00AD4F83"/>
    <w:rsid w:val="00AE18FE"/>
    <w:rsid w:val="00AE64D3"/>
    <w:rsid w:val="00B06375"/>
    <w:rsid w:val="00B15BD6"/>
    <w:rsid w:val="00B66C50"/>
    <w:rsid w:val="00B8158C"/>
    <w:rsid w:val="00B85F2E"/>
    <w:rsid w:val="00BC4DEC"/>
    <w:rsid w:val="00BF08C0"/>
    <w:rsid w:val="00C24625"/>
    <w:rsid w:val="00C25687"/>
    <w:rsid w:val="00C42C4C"/>
    <w:rsid w:val="00C56500"/>
    <w:rsid w:val="00C56E96"/>
    <w:rsid w:val="00C67310"/>
    <w:rsid w:val="00C67639"/>
    <w:rsid w:val="00C726AF"/>
    <w:rsid w:val="00C8179D"/>
    <w:rsid w:val="00CD799B"/>
    <w:rsid w:val="00CF1EDD"/>
    <w:rsid w:val="00D047F0"/>
    <w:rsid w:val="00D05ABE"/>
    <w:rsid w:val="00D06621"/>
    <w:rsid w:val="00D13113"/>
    <w:rsid w:val="00D32AC2"/>
    <w:rsid w:val="00D338E9"/>
    <w:rsid w:val="00D35EA2"/>
    <w:rsid w:val="00D3777E"/>
    <w:rsid w:val="00D42767"/>
    <w:rsid w:val="00D67613"/>
    <w:rsid w:val="00D85648"/>
    <w:rsid w:val="00DC7ED2"/>
    <w:rsid w:val="00DD25A7"/>
    <w:rsid w:val="00DF0C32"/>
    <w:rsid w:val="00E2216E"/>
    <w:rsid w:val="00E4356E"/>
    <w:rsid w:val="00E44A93"/>
    <w:rsid w:val="00E65D34"/>
    <w:rsid w:val="00E72C90"/>
    <w:rsid w:val="00E920E0"/>
    <w:rsid w:val="00EB4081"/>
    <w:rsid w:val="00EC6A57"/>
    <w:rsid w:val="00EE3876"/>
    <w:rsid w:val="00EE3B24"/>
    <w:rsid w:val="00EF3F4C"/>
    <w:rsid w:val="00F03832"/>
    <w:rsid w:val="00F04B63"/>
    <w:rsid w:val="00F82079"/>
    <w:rsid w:val="00F95923"/>
    <w:rsid w:val="00FC021D"/>
    <w:rsid w:val="00FC7390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22A2"/>
  <w15:docId w15:val="{5A6698CD-469E-4174-8D24-404E854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2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671CE6"/>
    <w:pPr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5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8A3F-B80B-403D-ADAD-BBAEBBAA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Groba López Mónica</dc:creator>
  <cp:lastModifiedBy>Anastasia Stavroulaki</cp:lastModifiedBy>
  <cp:revision>16</cp:revision>
  <cp:lastPrinted>2021-08-26T09:18:00Z</cp:lastPrinted>
  <dcterms:created xsi:type="dcterms:W3CDTF">2022-09-20T11:25:00Z</dcterms:created>
  <dcterms:modified xsi:type="dcterms:W3CDTF">2023-03-31T12:50:00Z</dcterms:modified>
</cp:coreProperties>
</file>