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DE0A"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r>
        <w:rPr>
          <w:sz w:val="24"/>
          <w:rFonts w:ascii="Garamond" w:hAnsi="Garamond"/>
        </w:rPr>
        <w:t xml:space="preserve">UREDBA Z ZAKONSKO MOČJO ŠT. XX/2020</w:t>
      </w:r>
      <w:r>
        <w:rPr>
          <w:sz w:val="24"/>
          <w:rFonts w:ascii="Garamond" w:hAnsi="Garamond"/>
        </w:rPr>
        <w:t xml:space="preserve"> </w:t>
      </w:r>
    </w:p>
    <w:p w14:paraId="5D0DF49B"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bookmarkStart w:id="0" w:name="_Hlk61623095"/>
      <w:r>
        <w:t xml:space="preserve">Uredba z zakonsko močjo št. 102-D/2020 z dne 10. decembra</w:t>
      </w:r>
      <w:bookmarkEnd w:id="0"/>
      <w:r>
        <w:t xml:space="preserve">, kakor je bila posodobljena z </w:t>
      </w:r>
      <w:hyperlink r:id="rId8" w:tooltip="Uredba z zakonsko močjo št. 152-D/2017" w:history="1">
        <w:r>
          <w:rPr>
            <w:sz w:val="24"/>
            <w:rFonts w:ascii="Garamond" w:hAnsi="Garamond"/>
          </w:rPr>
          <w:t xml:space="preserve">Uredbo z zakonsko močjo št. 152-D/2017</w:t>
        </w:r>
      </w:hyperlink>
      <w:r>
        <w:t xml:space="preserve"> z dne 11. decembra o prenosu v notranjo pravo </w:t>
      </w:r>
      <w:hyperlink r:id="rId9" w:tooltip="Povezava do direktive Evropske unije" w:history="1">
        <w:r>
          <w:rPr>
            <w:sz w:val="24"/>
            <w:rFonts w:ascii="Garamond" w:hAnsi="Garamond"/>
          </w:rPr>
          <w:t xml:space="preserve">Direktive 94/62/ES</w:t>
        </w:r>
      </w:hyperlink>
      <w:r>
        <w:t xml:space="preserve"> Evropskega parlamenta in Sveta z dne 20. decembra 1994 o embalaži in odpadni embalaži, kakor je bila spremenjena z Direktivo (EU) </w:t>
      </w:r>
      <w:hyperlink r:id="rId10" w:tooltip="Povezava do direktive Evropske unije" w:history="1">
        <w:r>
          <w:rPr>
            <w:sz w:val="24"/>
            <w:rFonts w:ascii="Garamond" w:hAnsi="Garamond"/>
          </w:rPr>
          <w:t xml:space="preserve">2018/852</w:t>
        </w:r>
      </w:hyperlink>
      <w:r>
        <w:t xml:space="preserve"> Evropskega parlamenta in Sveta z dne 30. maja 2018, ter </w:t>
      </w:r>
      <w:hyperlink r:id="rId11" w:tooltip="Povezava do direktive Evropske unije" w:history="1">
        <w:r>
          <w:rPr>
            <w:sz w:val="24"/>
            <w:rFonts w:ascii="Garamond" w:hAnsi="Garamond"/>
          </w:rPr>
          <w:t xml:space="preserve">Direktive 2000/53/ES</w:t>
        </w:r>
      </w:hyperlink>
      <w:r>
        <w:t xml:space="preserve"> o izrabljenih vozilih, </w:t>
      </w:r>
      <w:hyperlink r:id="rId12" w:tooltip="Povezava do direktive Evropske unije" w:history="1">
        <w:r>
          <w:rPr>
            <w:sz w:val="24"/>
            <w:rFonts w:ascii="Garamond" w:hAnsi="Garamond"/>
          </w:rPr>
          <w:t xml:space="preserve">Direktive 2006/66/ES</w:t>
        </w:r>
      </w:hyperlink>
      <w:r>
        <w:t xml:space="preserve"> o baterijah in akumulatorjih ter odpadnih baterijah in akumulatorjih ter </w:t>
      </w:r>
      <w:hyperlink r:id="rId13" w:tooltip="Povezava do direktive Evropske unije" w:history="1">
        <w:r>
          <w:rPr>
            <w:sz w:val="24"/>
            <w:rFonts w:ascii="Garamond" w:hAnsi="Garamond"/>
          </w:rPr>
          <w:t xml:space="preserve">Direktive 2012/19/EU</w:t>
        </w:r>
      </w:hyperlink>
      <w:r>
        <w:t xml:space="preserve"> o odpadni električni in elektronski opremi, kakor je bila spremenjena z Direktivo (EU) </w:t>
      </w:r>
      <w:hyperlink r:id="rId14" w:tooltip="Povezava do direktive Evropske unije" w:history="1">
        <w:r>
          <w:rPr>
            <w:sz w:val="24"/>
            <w:rFonts w:ascii="Garamond" w:hAnsi="Garamond"/>
          </w:rPr>
          <w:t xml:space="preserve">2018/849</w:t>
        </w:r>
      </w:hyperlink>
      <w:r>
        <w:t xml:space="preserve"> Evropskega parlamenta in Sveta z dne 30. maja 2018.</w:t>
      </w:r>
    </w:p>
    <w:p w14:paraId="7B6DC961" w14:textId="7C6704AB" w:rsidR="006D6021" w:rsidRPr="008E5B84" w:rsidRDefault="00311339">
      <w:pPr>
        <w:spacing w:after="120" w:line="360" w:lineRule="auto"/>
        <w:jc w:val="both"/>
        <w:rPr>
          <w:sz w:val="24"/>
          <w:szCs w:val="24"/>
          <w:rFonts w:ascii="Garamond" w:hAnsi="Garamond"/>
        </w:rPr>
      </w:pPr>
      <w:r>
        <w:t xml:space="preserve">Za hiter prenos teh direktiv in uskladitev s postopkom obveščanja na področju tehničnih predpisov in pravil o storitvah informacijske družbe iz </w:t>
      </w:r>
      <w:hyperlink r:id="rId15" w:tooltip="Povezava do direktive Evropske unije" w:history="1">
        <w:r>
          <w:rPr>
            <w:sz w:val="24"/>
            <w:rFonts w:ascii="Garamond" w:hAnsi="Garamond"/>
          </w:rPr>
          <w:t xml:space="preserve">Direktive (EU) 2015/1535</w:t>
        </w:r>
      </w:hyperlink>
      <w:r>
        <w:t xml:space="preserve"> Evropskega parlamenta in Sveta z dne 9. septembra 2015, so bile nadaljnje potrebne spremembe </w:t>
      </w:r>
      <w:hyperlink r:id="rId16" w:tooltip="Uredba z zakonsko močjo št. 152-D/2017" w:history="1">
        <w:r>
          <w:rPr>
            <w:sz w:val="24"/>
            <w:rFonts w:ascii="Garamond" w:hAnsi="Garamond"/>
          </w:rPr>
          <w:t xml:space="preserve">Uredbe z zakonsko močjo št. 152-D/2017</w:t>
        </w:r>
      </w:hyperlink>
      <w:r>
        <w:t xml:space="preserve"> z dne 11. decembra predložene v odobritev pozneje.</w:t>
      </w:r>
      <w:r>
        <w:rPr>
          <w:sz w:val="24"/>
          <w:rFonts w:ascii="Garamond" w:hAnsi="Garamond"/>
        </w:rPr>
        <w:t xml:space="preserve"> </w:t>
      </w:r>
    </w:p>
    <w:p w14:paraId="3DD37DBB" w14:textId="6C301508" w:rsidR="006D6021" w:rsidRPr="008E5B84" w:rsidRDefault="00311339">
      <w:pPr>
        <w:spacing w:after="120" w:line="360" w:lineRule="auto"/>
        <w:jc w:val="both"/>
        <w:rPr>
          <w:sz w:val="24"/>
          <w:szCs w:val="24"/>
          <w:rFonts w:ascii="Garamond" w:hAnsi="Garamond"/>
        </w:rPr>
      </w:pPr>
      <w:r>
        <w:rPr>
          <w:sz w:val="24"/>
          <w:rFonts w:ascii="Garamond" w:hAnsi="Garamond"/>
        </w:rPr>
        <w:t xml:space="preserve">Ta uredba z zakonsko močjo tako odobrava zgoraj navedene posodobitve, zlasti uvedbo označevanja embalaže, ki jo je mogoče ponovno uporabiti, in embalaže, ki se upravlja v skladu s sistemom zbiranja, ter označevanja embalaže, ki jo je mogoče reciklirati, z ustreznimi navodili za razvrščanje.</w:t>
      </w:r>
      <w:r>
        <w:rPr>
          <w:sz w:val="24"/>
          <w:rFonts w:ascii="Garamond" w:hAnsi="Garamond"/>
        </w:rPr>
        <w:t xml:space="preserve"> </w:t>
      </w:r>
      <w:r>
        <w:rPr>
          <w:sz w:val="24"/>
          <w:rFonts w:ascii="Garamond" w:hAnsi="Garamond"/>
        </w:rPr>
        <w:t xml:space="preserve">Določa tudi obveznost izvajalcev obdelave odpadkov, da izdajatelju dovoljenja vsako leto predložijo dokazilo, ki ga izda usposobljeni preveritelj, o izpolnjevanju zahtev glede usposobljenosti in veljavnih standardov.</w:t>
      </w:r>
      <w:r>
        <w:rPr>
          <w:sz w:val="24"/>
          <w:rFonts w:ascii="Garamond" w:hAnsi="Garamond"/>
        </w:rPr>
        <w:t xml:space="preserve"> </w:t>
      </w:r>
    </w:p>
    <w:p w14:paraId="758B538F" w14:textId="77777777" w:rsidR="006D6021" w:rsidRPr="008E5B84" w:rsidRDefault="00311339">
      <w:pPr>
        <w:pStyle w:val="Ttulo4"/>
        <w:widowControl w:val="0"/>
        <w:spacing w:after="120" w:line="360" w:lineRule="auto"/>
        <w:ind w:firstLine="0"/>
        <w:jc w:val="left"/>
        <w:outlineLvl w:val="9"/>
        <w:rPr>
          <w:sz w:val="24"/>
          <w:szCs w:val="24"/>
          <w:rFonts w:ascii="Garamond" w:hAnsi="Garamond"/>
        </w:rPr>
      </w:pPr>
      <w:r>
        <w:rPr>
          <w:sz w:val="24"/>
          <w:rFonts w:ascii="Garamond" w:hAnsi="Garamond"/>
        </w:rPr>
        <w:t xml:space="preserve">Upoštevana so bila mnenja samoupravnih organov avtonomnih regij.</w:t>
      </w:r>
    </w:p>
    <w:p w14:paraId="7D1192FA"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Zato:</w:t>
      </w:r>
    </w:p>
    <w:p w14:paraId="26406EBE"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Vlada v skladu s členom 198(1)(a) Ustave s tem dokumentom odreja naslednje:</w:t>
      </w:r>
    </w:p>
    <w:p w14:paraId="10E5347C"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4D7E55DE" w14:textId="02B10543" w:rsidR="006D6021" w:rsidRPr="008E5B84" w:rsidRDefault="00BC4ADA" w:rsidP="00BC4ADA">
      <w:pPr>
        <w:suppressAutoHyphens w:val="0"/>
        <w:rPr>
          <w:color w:val="333333"/>
          <w:sz w:val="24"/>
          <w:szCs w:val="24"/>
          <w:rFonts w:ascii="Garamond" w:eastAsia="Times New Roman" w:hAnsi="Garamond"/>
        </w:rPr>
      </w:pPr>
      <w:r>
        <w:br w:type="page"/>
      </w:r>
    </w:p>
    <w:p w14:paraId="34A618C4"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Člen 1</w:t>
      </w:r>
    </w:p>
    <w:p w14:paraId="6310E1C1"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Predmet</w:t>
      </w:r>
    </w:p>
    <w:p w14:paraId="19B19F0E" w14:textId="3AE3B598" w:rsidR="006D6021" w:rsidRPr="008E5B84" w:rsidRDefault="00311339">
      <w:pPr>
        <w:pStyle w:val="Ttulo4"/>
        <w:widowControl w:val="0"/>
        <w:spacing w:after="120" w:line="360" w:lineRule="auto"/>
        <w:ind w:firstLine="0"/>
        <w:jc w:val="both"/>
        <w:outlineLvl w:val="9"/>
        <w:rPr>
          <w:sz w:val="24"/>
          <w:szCs w:val="24"/>
          <w:rFonts w:ascii="Garamond" w:hAnsi="Garamond"/>
        </w:rPr>
      </w:pPr>
      <w:r>
        <w:t xml:space="preserve">Ta uredba z zakonsko močjo vsebuje peto spremembo </w:t>
      </w:r>
      <w:hyperlink r:id="rId17" w:tooltip="Uredba z zakonsko močjo št. 152-D/2017" w:history="1">
        <w:r>
          <w:rPr>
            <w:sz w:val="24"/>
            <w:rFonts w:ascii="Garamond" w:hAnsi="Garamond"/>
          </w:rPr>
          <w:t xml:space="preserve">Uredbe z zakonsko močjo št. 152-D/2017</w:t>
        </w:r>
      </w:hyperlink>
      <w:r>
        <w:t xml:space="preserve"> z dne 11. decembra, kakor je bila spremenjena z zakonoma št. </w:t>
      </w:r>
      <w:hyperlink r:id="rId18" w:tooltip="Zakon št. 69/2018" w:history="1">
        <w:r>
          <w:rPr>
            <w:sz w:val="24"/>
            <w:rFonts w:ascii="Garamond" w:hAnsi="Garamond"/>
          </w:rPr>
          <w:t xml:space="preserve">69/2018</w:t>
        </w:r>
      </w:hyperlink>
      <w:r>
        <w:t xml:space="preserve"> z dne 26. decembra in št. </w:t>
      </w:r>
      <w:hyperlink r:id="rId19" w:tooltip="Zakon št. 41/2019" w:history="1">
        <w:r>
          <w:rPr>
            <w:sz w:val="24"/>
            <w:rFonts w:ascii="Garamond" w:hAnsi="Garamond"/>
          </w:rPr>
          <w:t xml:space="preserve">41/2019</w:t>
        </w:r>
      </w:hyperlink>
      <w:r>
        <w:t xml:space="preserve"> z dne 21. junija, </w:t>
      </w:r>
      <w:hyperlink r:id="rId20" w:tooltip="Zakonski odlok št. 86/2020" w:history="1">
        <w:r>
          <w:rPr>
            <w:sz w:val="24"/>
            <w:rFonts w:ascii="Garamond" w:hAnsi="Garamond"/>
          </w:rPr>
          <w:t xml:space="preserve">Uredbo z zakonsko močjo št. 86/2020</w:t>
        </w:r>
      </w:hyperlink>
      <w:r>
        <w:t xml:space="preserve"> z dne 14. oktobra ter spremenjena in ponovno objavljena z Uredbo z zakonsko močjo št. 102-D/2020 z dne 10. decembra.</w:t>
      </w:r>
      <w:r>
        <w:rPr>
          <w:sz w:val="24"/>
          <w:rFonts w:ascii="Garamond" w:hAnsi="Garamond"/>
        </w:rPr>
        <w:t xml:space="preserve"> </w:t>
      </w:r>
    </w:p>
    <w:p w14:paraId="11139F74" w14:textId="77777777" w:rsidR="006D6021" w:rsidRPr="008E5B84" w:rsidRDefault="00311339">
      <w:pPr>
        <w:jc w:val="center"/>
        <w:rPr>
          <w:sz w:val="24"/>
          <w:szCs w:val="24"/>
          <w:rFonts w:ascii="Garamond" w:hAnsi="Garamond"/>
        </w:rPr>
      </w:pPr>
      <w:r>
        <w:rPr>
          <w:sz w:val="24"/>
          <w:rFonts w:ascii="Garamond" w:hAnsi="Garamond"/>
        </w:rPr>
        <w:t xml:space="preserve">Člen 2</w:t>
      </w:r>
    </w:p>
    <w:p w14:paraId="38D8E667" w14:textId="77777777" w:rsidR="006D6021" w:rsidRPr="008E5B84" w:rsidRDefault="00311339">
      <w:pPr>
        <w:jc w:val="center"/>
        <w:rPr>
          <w:sz w:val="24"/>
          <w:szCs w:val="24"/>
          <w:rFonts w:ascii="Garamond" w:hAnsi="Garamond"/>
        </w:rPr>
      </w:pPr>
      <w:r>
        <w:rPr>
          <w:sz w:val="24"/>
          <w:rFonts w:ascii="Garamond" w:hAnsi="Garamond"/>
        </w:rPr>
        <w:t xml:space="preserve">Sprememba k Uredbi z zakonsko močjo št. 152-D/2017 z dne 11. decembra</w:t>
      </w:r>
    </w:p>
    <w:p w14:paraId="740BDF45" w14:textId="1C138E32" w:rsidR="006D6021" w:rsidRPr="008E5B84" w:rsidRDefault="00311339">
      <w:pPr>
        <w:pStyle w:val="NormalWeb"/>
        <w:shd w:val="clear" w:color="auto" w:fill="FFFFFF"/>
        <w:spacing w:before="0" w:after="225" w:line="390" w:lineRule="atLeast"/>
        <w:jc w:val="both"/>
        <w:rPr>
          <w:rFonts w:ascii="Garamond" w:hAnsi="Garamond"/>
        </w:rPr>
      </w:pPr>
      <w:r>
        <w:t xml:space="preserve">Členi 8, 23, 28 in 90 </w:t>
      </w:r>
      <w:hyperlink r:id="rId21" w:tooltip="Uredba z zakonsko močjo št. 152-D/2017" w:history="1">
        <w:r>
          <w:rPr>
            <w:rFonts w:ascii="Garamond" w:hAnsi="Garamond"/>
          </w:rPr>
          <w:t xml:space="preserve">Uredbe z zakonsko močjo št. 152-D/2017</w:t>
        </w:r>
      </w:hyperlink>
      <w:r>
        <w:t xml:space="preserve"> z dne 11. decembra v sedanjem besedilu se nadomestijo z naslednjim:</w:t>
      </w:r>
    </w:p>
    <w:p w14:paraId="2CB88C12"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Člen 8</w:t>
      </w:r>
    </w:p>
    <w:p w14:paraId="3EE26575"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Usposobljenost izvajalcev obdelave odpadkov, vključno s skladiščenjem</w:t>
      </w:r>
    </w:p>
    <w:p w14:paraId="0E5B07F5" w14:textId="4679E0F2"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Brez poseganja v odstavka 5 in 6 izvajalci obdelave odpadkov, vključno s skladiščenjem, ki opravljajo dejavnost za določene tokove odpadkov, izpolnjujejo zahteve glede usposobljenosti za zagotovitev učinkovitega nadzora in sledljivosti obdelanih odpadkov v skladu s cilji, določenimi v tej uredbi z zakonsko močjo.</w:t>
      </w:r>
      <w:r>
        <w:rPr>
          <w:sz w:val="24"/>
          <w:rFonts w:ascii="Garamond" w:hAnsi="Garamond"/>
        </w:rPr>
        <w:t xml:space="preserve"> </w:t>
      </w:r>
    </w:p>
    <w:p w14:paraId="554CFC4C" w14:textId="400163F5"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Zahteve iz prejšnjega odstavka in njihovo področje uporabe določi </w:t>
      </w:r>
      <w:r>
        <w:rPr>
          <w:sz w:val="24"/>
          <w:shd w:val="clear" w:color="auto" w:fill="FFFFFF"/>
          <w:rFonts w:ascii="Garamond" w:hAnsi="Garamond"/>
        </w:rPr>
        <w:t xml:space="preserve">portugalska agencija za okolje, I.P.</w:t>
      </w:r>
      <w:r>
        <w:rPr>
          <w:sz w:val="24"/>
          <w:shd w:val="clear" w:color="auto" w:fill="FFFFFF"/>
          <w:rFonts w:ascii="Garamond" w:hAnsi="Garamond"/>
        </w:rPr>
        <w:t xml:space="preserve"> </w:t>
      </w:r>
      <w:r>
        <w:rPr>
          <w:sz w:val="24"/>
          <w:shd w:val="clear" w:color="auto" w:fill="FFFFFF"/>
          <w:rFonts w:ascii="Garamond" w:hAnsi="Garamond"/>
        </w:rPr>
        <w:t xml:space="preserve">(</w:t>
      </w:r>
      <w:r>
        <w:rPr>
          <w:sz w:val="24"/>
          <w:rFonts w:ascii="Garamond" w:hAnsi="Garamond"/>
        </w:rPr>
        <w:t xml:space="preserve">APA, I.P.) po zaslišanju predstavniških združenj izvajalcev ravnanja z odpadki, organov za izdajanje dovoljenj, subjektov, odgovornih za upravljanje integriranih sistemov ravnanja z odpadki, in drugih subjektov, za katere meni, da se je treba z njimi posvetovati, ob upoštevanju meril tehnične kakovosti in učinkovitosti, ter jih oglašuje na svojem spletnem mestu.</w:t>
      </w:r>
      <w:r>
        <w:rPr>
          <w:sz w:val="24"/>
          <w:rFonts w:ascii="Garamond" w:hAnsi="Garamond"/>
        </w:rPr>
        <w:t xml:space="preserve"> </w:t>
      </w:r>
    </w:p>
    <w:p w14:paraId="0577D597"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6149BD7F"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Zahteve iz prejšnjih odstavkov so določene v dovoljenjih izvajalcev obdelave odpadkov, njihova skladnost pa se dokaže v skladu z odstavkoma 8 in 10.</w:t>
      </w:r>
      <w:r>
        <w:rPr>
          <w:sz w:val="24"/>
          <w:rFonts w:ascii="Garamond" w:hAnsi="Garamond"/>
        </w:rPr>
        <w:t xml:space="preserve"> </w:t>
      </w:r>
    </w:p>
    <w:p w14:paraId="64F7A174"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Izvajalci obdelave odpadkov, vključno s skladiščenjem, ki delujejo v okviru specifičnega toka OEEO, pridobijo certifikat v skladu z NP EN 50625-1:2014 „Zahteve za zbiranje, logistiko in obdelavo odpadne električne in elektronske opreme – 1. del:</w:t>
      </w:r>
      <w:r>
        <w:rPr>
          <w:sz w:val="24"/>
          <w:rFonts w:ascii="Garamond" w:hAnsi="Garamond"/>
        </w:rPr>
        <w:t xml:space="preserve"> </w:t>
      </w:r>
      <w:r>
        <w:rPr>
          <w:sz w:val="24"/>
          <w:rFonts w:ascii="Garamond" w:hAnsi="Garamond"/>
        </w:rPr>
        <w:t xml:space="preserve">Splošne zahteve za obdelavo“, kakor je bil posodobljen ali nadomeščen z drugim standardom.</w:t>
      </w:r>
    </w:p>
    <w:p w14:paraId="0AF9C3B3" w14:textId="77777777" w:rsidR="006D6021" w:rsidRPr="008E5B84" w:rsidRDefault="00311339">
      <w:pPr>
        <w:pStyle w:val="ListParagraph"/>
        <w:widowControl w:val="0"/>
        <w:numPr>
          <w:ilvl w:val="0"/>
          <w:numId w:val="2"/>
        </w:numPr>
        <w:spacing w:after="120" w:line="360" w:lineRule="auto"/>
        <w:ind w:right="567"/>
        <w:jc w:val="both"/>
        <w:rPr>
          <w:sz w:val="24"/>
          <w:szCs w:val="24"/>
          <w:rFonts w:ascii="Garamond" w:hAnsi="Garamond"/>
        </w:rPr>
      </w:pPr>
      <w:r>
        <w:rPr>
          <w:sz w:val="24"/>
          <w:rFonts w:ascii="Garamond" w:hAnsi="Garamond"/>
        </w:rPr>
        <w:t xml:space="preserve">Izvajalci obdelave opreme OEEO, razvrščene kot nevarne, so poleg certificiranja iz prejšnjega odstavka certificirani z ustreznim standardom serije standardov EN 50625, in sicer za sijalke (NP EN 50625-2-1:2014), prikazovalnike in monitorje (NP EN 50625-2-2:2015) ter opremo za toplotno izmenjavo (EN 50625-2-3:2017), kakor so bili posodobljeni ali nadomeščeni z drugimi standardi.</w:t>
      </w:r>
      <w:r>
        <w:rPr>
          <w:sz w:val="24"/>
          <w:rFonts w:ascii="Garamond" w:hAnsi="Garamond"/>
        </w:rPr>
        <w:t xml:space="preserve"> </w:t>
      </w:r>
    </w:p>
    <w:p w14:paraId="2AD5545D" w14:textId="1D2B1236"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Odstavek 1 se ne uporablja za izvajalce, ki izvajajo obdelavo odpadkov v industrijskem obratu v okviru odgovornega industrijskega sistema (Responsible Industry System – SIR), razen v primeru objekta za obdelavo odpadkov, ki je zunaj industrijske dejavnosti.</w:t>
      </w:r>
    </w:p>
    <w:p w14:paraId="55123F50" w14:textId="5AFC3F8E"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Izvajalci obdelave odpadkov iz odstavkov 1, 5 in 6 vsako leto do 31. marca predložijo dokazila, da so bile izpolnjene zahteve glede usposobljenosti in standardi, ki so se uporabljali prejšnje leto, usklajevalnemu organu za izdajo dovoljenj, ob upoštevanju popolne ali delne prekinitve dovoljenja v skladu s členom 81 splošnega režima ravnanja z odpadki.</w:t>
      </w:r>
      <w:r>
        <w:rPr>
          <w:sz w:val="24"/>
          <w:rFonts w:ascii="Garamond" w:hAnsi="Garamond"/>
        </w:rPr>
        <w:t xml:space="preserve"> </w:t>
      </w:r>
    </w:p>
    <w:p w14:paraId="3813BD80"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Določbe prejšnjega odstavka se uporabljajo samo, če ima izvajalec 31. marca dovoljenje za obdelavo vsaj šest mesecev.</w:t>
      </w:r>
    </w:p>
    <w:p w14:paraId="68599E61" w14:textId="44D5CD63"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Dokazilo o skladnosti z zahtevami glede usposobljenosti iz odstavka 1 se predloži v obliki dokumenta, ki ga izdajo usposobljeni preveritelji.</w:t>
      </w:r>
      <w:bookmarkStart w:id="1" w:name="_Hlk52723080"/>
    </w:p>
    <w:bookmarkEnd w:id="1"/>
    <w:p w14:paraId="511DE8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Merila in metodologija za priznavanje subjektov, pristojnih za certificiranje, in usposobljenih preveriteljev so določena z odlokom člana vlade, pristojnega za okoljske zadeve.</w:t>
      </w:r>
    </w:p>
    <w:p w14:paraId="03805ED9" w14:textId="59353803" w:rsidR="006D6021" w:rsidRPr="008E5B84" w:rsidRDefault="00BC4ADA">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Certificiranje iz odstavkov 5 in 6 izvede akreditirana tretja oseba.</w:t>
      </w:r>
      <w:r>
        <w:rPr>
          <w:sz w:val="24"/>
          <w:rFonts w:ascii="Garamond" w:hAnsi="Garamond"/>
        </w:rPr>
        <w:t xml:space="preserve"> </w:t>
      </w:r>
    </w:p>
    <w:p w14:paraId="6EC366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Neizpolnjevanje zahtev ali standardov o usposobljenosti iz tega člena je razlog za popoln ali delni preklic dovoljenja v skladu s členom 81 splošnega režima ravnanja z odpadki.</w:t>
      </w:r>
      <w:r>
        <w:rPr>
          <w:sz w:val="24"/>
          <w:rFonts w:ascii="Garamond" w:hAnsi="Garamond"/>
        </w:rPr>
        <w:t xml:space="preserve"> </w:t>
      </w:r>
    </w:p>
    <w:p w14:paraId="69B2E75E" w14:textId="77777777" w:rsidR="006D6021" w:rsidRPr="008E5B84" w:rsidRDefault="00311339">
      <w:pPr>
        <w:widowControl w:val="0"/>
        <w:spacing w:after="120" w:line="360" w:lineRule="auto"/>
        <w:ind w:firstLine="284"/>
        <w:jc w:val="center"/>
        <w:rPr>
          <w:sz w:val="24"/>
          <w:szCs w:val="24"/>
          <w:rFonts w:ascii="Garamond" w:hAnsi="Garamond"/>
        </w:rPr>
      </w:pPr>
      <w:bookmarkStart w:id="2" w:name="_Hlk58518925"/>
      <w:r>
        <w:rPr>
          <w:sz w:val="24"/>
          <w:rFonts w:ascii="Garamond" w:hAnsi="Garamond"/>
        </w:rPr>
        <w:t xml:space="preserve">Člen 23</w:t>
      </w:r>
    </w:p>
    <w:p w14:paraId="0F62E269" w14:textId="34428259" w:rsidR="006D6021" w:rsidRPr="008E5B84" w:rsidRDefault="008B3D7C">
      <w:pPr>
        <w:widowControl w:val="0"/>
        <w:spacing w:after="120" w:line="360" w:lineRule="auto"/>
        <w:ind w:firstLine="284"/>
        <w:jc w:val="center"/>
        <w:rPr>
          <w:sz w:val="24"/>
          <w:szCs w:val="24"/>
          <w:rFonts w:ascii="Garamond" w:hAnsi="Garamond"/>
        </w:rPr>
      </w:pPr>
      <w:r>
        <w:rPr>
          <w:sz w:val="24"/>
          <w:rFonts w:ascii="Garamond" w:hAnsi="Garamond"/>
        </w:rPr>
        <w:t xml:space="preserve">[...]</w:t>
      </w:r>
    </w:p>
    <w:p w14:paraId="5F9480C7" w14:textId="454DC41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F1D39B1"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7F3B2E9D" w14:textId="53686E70"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1C782BC8" w14:textId="68618E7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9345D1D"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i/>
          <w:iCs/>
          <w:rFonts w:ascii="Garamond" w:hAnsi="Garamond"/>
        </w:rPr>
        <w:t xml:space="preserve">Razveljavljen</w:t>
      </w:r>
      <w:r>
        <w:rPr>
          <w:sz w:val="24"/>
          <w:rFonts w:ascii="Garamond" w:hAnsi="Garamond"/>
        </w:rPr>
        <w:t xml:space="preserve">];</w:t>
      </w:r>
    </w:p>
    <w:p w14:paraId="78E509FB"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05BCEA55" w14:textId="01A4160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3B767401" w14:textId="7091B311" w:rsidR="006D6021" w:rsidRPr="008E5B84" w:rsidRDefault="008600E0">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A4D1BE3" w14:textId="4898503B"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0B339EEC" w14:textId="208F75F9"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66473D6" w14:textId="164AC433"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3" w:name="_Hlk61626903"/>
      <w:r>
        <w:rPr>
          <w:sz w:val="24"/>
          <w:rFonts w:ascii="Garamond" w:hAnsi="Garamond"/>
        </w:rPr>
        <w:t xml:space="preserve">[…].</w:t>
      </w:r>
    </w:p>
    <w:p w14:paraId="66BCCA1B" w14:textId="4D55870F"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3A26731" w14:textId="652B1C92"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4" w:name="_Hlk61626654"/>
      <w:bookmarkEnd w:id="3"/>
      <w:r>
        <w:rPr>
          <w:sz w:val="24"/>
          <w:rFonts w:ascii="Garamond" w:hAnsi="Garamond"/>
        </w:rPr>
        <w:t xml:space="preserve">[…].</w:t>
      </w:r>
    </w:p>
    <w:bookmarkEnd w:id="4"/>
    <w:p w14:paraId="385DA688" w14:textId="0D95D9A5"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BCA8040" w14:textId="4560123D"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5" w:name="_Hlk52724639"/>
      <w:r>
        <w:rPr>
          <w:sz w:val="24"/>
          <w:rFonts w:ascii="Garamond" w:hAnsi="Garamond"/>
        </w:rPr>
        <w:t xml:space="preserve">[…].</w:t>
      </w:r>
    </w:p>
    <w:p w14:paraId="22A71714" w14:textId="11A87C2A"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6" w:name="_Hlk52724601"/>
      <w:bookmarkEnd w:id="5"/>
      <w:r>
        <w:rPr>
          <w:sz w:val="24"/>
          <w:rFonts w:ascii="Garamond" w:hAnsi="Garamond"/>
        </w:rPr>
        <w:t xml:space="preserve">[…].</w:t>
      </w:r>
    </w:p>
    <w:p w14:paraId="7F2D2F9B" w14:textId="47B01B05"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Za embalažo, ki jo je mogoče ponovno uporabiti, se uporablja zahteva glede označevanja, pri čemer se simbol in pravila označevanja določijo z odlokom članov vlade, pristojnih za gospodarske in okoljske zadeve, po posvetovanju z združenji, ki zastopajo zadevne sektorje.</w:t>
      </w:r>
    </w:p>
    <w:p w14:paraId="0388493E" w14:textId="282251FD"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Odlok iz prejšnjega odstavka se objavi do 31. decembra 2022, s katerim se določi prehodno obdobje za izpolnjevanje obveznosti označevanja, ki ni krajše od enega leta.</w:t>
      </w:r>
      <w:r>
        <w:rPr>
          <w:sz w:val="24"/>
          <w:rFonts w:ascii="Garamond" w:hAnsi="Garamond"/>
        </w:rPr>
        <w:t xml:space="preserve"> </w:t>
      </w:r>
    </w:p>
    <w:bookmarkEnd w:id="2"/>
    <w:bookmarkEnd w:id="6"/>
    <w:p w14:paraId="2073F806" w14:textId="77777777"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Člen 28</w:t>
      </w:r>
    </w:p>
    <w:p w14:paraId="1BFEB45B" w14:textId="255D8B70"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Označevanje embalaže</w:t>
      </w:r>
    </w:p>
    <w:p w14:paraId="1559C70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w:t>
      </w:r>
      <w:r>
        <w:rPr>
          <w:sz w:val="24"/>
          <w:i/>
          <w:iCs/>
          <w:rFonts w:ascii="Garamond" w:hAnsi="Garamond"/>
        </w:rPr>
        <w:t xml:space="preserve">Razveljavljen</w:t>
      </w:r>
      <w:r>
        <w:rPr>
          <w:sz w:val="24"/>
          <w:rFonts w:ascii="Garamond" w:hAnsi="Garamond"/>
        </w:rPr>
        <w:t xml:space="preserve">].</w:t>
      </w:r>
      <w:r>
        <w:rPr>
          <w:sz w:val="24"/>
          <w:rFonts w:ascii="Garamond" w:hAnsi="Garamond"/>
        </w:rPr>
        <w:t xml:space="preserve"> </w:t>
      </w:r>
    </w:p>
    <w:p w14:paraId="3035F5D8"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Brez poseganja v odstavek 9 se lahko primarna embalaža za enkratno uporabo iz drugih držav članic Evropske unije ali tretjih držav, označena s posebnim simbolom na mestu izvora, da na trg z navedenim simbolom.</w:t>
      </w:r>
      <w:r>
        <w:rPr>
          <w:sz w:val="24"/>
          <w:rFonts w:ascii="Garamond" w:hAnsi="Garamond"/>
        </w:rPr>
        <w:t xml:space="preserve"> </w:t>
      </w:r>
    </w:p>
    <w:p w14:paraId="21253B2F"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Embalaža, ravnanje s katero se izvaja v okviru sistema zbiranja iz člena 23-C, se označi s simbolom, opredeljenim v odloku, ki ga odobrijo člani vlade, pristojni za gospodarske in okoljske zadeve.</w:t>
      </w:r>
    </w:p>
    <w:p w14:paraId="2C5C3A24"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Da se omogoči lažje zbiranje, ponovna uporaba in predelava, vključno z recikliranjem, se na embalaži navede vrsta uporabljenega(-ih) materiala(-ov) za namen prepoznavanja in razvrščanja po s strani posamezne industrije v skladu s sistemom prepoznavanja iz Odločbe Komisije št. 97/129/ES z dne 28. januarja 1997, katerega režim je določen v Prilogi IX k tej uredbi z zakonsko močjo, ki tvori njen sestavni del.</w:t>
      </w:r>
    </w:p>
    <w:p w14:paraId="692F362A"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t xml:space="preserve">Za spodbujanje pravilnega ločevanja odpadkov ter povečanje ravni in kakovosti recikliranja se </w:t>
      </w:r>
      <w:bookmarkStart w:id="7" w:name="_Hlk61624722"/>
      <w:r>
        <w:t xml:space="preserve">embalaža, ki jo je mogoče reciklirati, dana na trg, označi z ustreznimi navodili za razvrščanje</w:t>
      </w:r>
      <w:bookmarkEnd w:id="7"/>
      <w:r>
        <w:t xml:space="preserve">, zlasti z barvo koša za recikliranje, v katerega je treba dati odpadno embalažo,  v skladu s pogoji iz odloka članov vlade, pristojnih za gospodarske in okoljske zadeve.</w:t>
      </w:r>
    </w:p>
    <w:p w14:paraId="533DE736"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Oznaka iz prejšnjega odstavka izpolnjuje naslednje zahteve:</w:t>
      </w:r>
    </w:p>
    <w:p w14:paraId="08DBE96C"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vsebuje lahko slikovni element ali pisno besedilo ali oboje;</w:t>
      </w:r>
    </w:p>
    <w:p w14:paraId="77968FCD"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natisne se v vidni, čitljivi in neizbrisni obliki.</w:t>
      </w:r>
    </w:p>
    <w:p w14:paraId="661794D2"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Za primarno embalažo in sekundarno embalažo, namenjeno potrošniku, velja obveznost označevanja iz odstavka 5.</w:t>
      </w:r>
    </w:p>
    <w:p w14:paraId="31B5251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Embalaža, katere velikost ne omogoča označevanja v skladu z odstavkom 6, je izvzeta iz obveznosti iz odstavka 5.</w:t>
      </w:r>
    </w:p>
    <w:p w14:paraId="0D5DA7CC" w14:textId="07B00E1C" w:rsidR="006D6021" w:rsidRPr="008B3D7C"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Za pojasnitev informacij potrošnikom in spodbujanje pravilnega pošiljanja odpadne embalaže je od datuma začetka veljavnosti obveznosti iz odstavka 5 prepovedano dajati na trg embalažo, ki jo je mogoče reciklirati in ponovno uporabiti, s simbolom smetnjaka.</w:t>
      </w:r>
    </w:p>
    <w:p w14:paraId="5CFB03EA" w14:textId="77777777" w:rsidR="006D6021" w:rsidRPr="008E5B84" w:rsidRDefault="00311339">
      <w:pPr>
        <w:widowControl w:val="0"/>
        <w:numPr>
          <w:ilvl w:val="0"/>
          <w:numId w:val="4"/>
        </w:numPr>
        <w:spacing w:after="120" w:line="360" w:lineRule="auto"/>
        <w:ind w:right="567"/>
        <w:jc w:val="both"/>
        <w:rPr>
          <w:sz w:val="24"/>
          <w:szCs w:val="24"/>
          <w:rFonts w:ascii="Garamond" w:hAnsi="Garamond"/>
        </w:rPr>
      </w:pPr>
      <w:r>
        <w:rPr>
          <w:sz w:val="24"/>
          <w:rFonts w:ascii="Garamond" w:hAnsi="Garamond"/>
        </w:rPr>
        <w:t xml:space="preserve">Odlok iz odstavka 5 se objavi do 31. decembra 2022, s katerim se določi prehodno obdobje za izpolnjevanje obveznosti označevanja, ki ni krajše od enega leta.</w:t>
      </w:r>
      <w:r>
        <w:rPr>
          <w:sz w:val="24"/>
          <w:rFonts w:ascii="Garamond" w:hAnsi="Garamond"/>
        </w:rPr>
        <w:t xml:space="preserve"> </w:t>
      </w:r>
    </w:p>
    <w:p w14:paraId="2B5AE871" w14:textId="77777777" w:rsidR="006D6021" w:rsidRPr="008E5B84" w:rsidRDefault="0031133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Člen 90</w:t>
      </w:r>
    </w:p>
    <w:p w14:paraId="5993F2D8" w14:textId="679E6390" w:rsidR="006D6021" w:rsidRPr="008E5B84" w:rsidRDefault="00BB199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w:t>
      </w:r>
    </w:p>
    <w:p w14:paraId="1BD8205D" w14:textId="1A72943D"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1 - [...].</w:t>
      </w:r>
    </w:p>
    <w:p w14:paraId="4D5E45BC" w14:textId="264AD440"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2 - Naslednja dejanja so huda upravna kršitev, ki se kaznuje v skladu z zakonodajo o upravnih prekrških:</w:t>
      </w:r>
    </w:p>
    <w:p w14:paraId="34A60EBF" w14:textId="26983D8A" w:rsidR="006D6021"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1F789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6331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05824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3D56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2FDC02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BC28BB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177A22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593CF5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28600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BC6BC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7EA91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290F3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C38F4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064F8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D256B3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8E3AE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766C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025FBF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4061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DF3C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B239DF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6F8F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2E3F6D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E8224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BFF0E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8A0F7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A7FDC2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62DF6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64AB0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D01A8C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3B4721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8ADFF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6BEAB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BD54DA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10FE05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700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61AB7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9F70C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5AAF43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7C96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581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A67ED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FD8B5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D7B2B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EF16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4203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87A0E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535D9B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DEE736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CF52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97F9A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5242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D3F49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5AD1E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F3308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E916B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18C53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53AAC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CC34B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0E49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41D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F2D2B9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EE4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3E78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A382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E0BA6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D5C7C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0FEF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5517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162670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1743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9079DF" w14:textId="3E22BD35"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Dejavnosti obdelave odpadkov s strani izvajalcev, ki ne izpolnjujejo zahtev o usposobljenosti ali standardov, kot se uporabljajo v skladu s členom 8(1), (5) in (6);</w:t>
      </w:r>
      <w:r>
        <w:rPr>
          <w:sz w:val="24"/>
          <w:rFonts w:ascii="Garamond" w:hAnsi="Garamond"/>
        </w:rPr>
        <w:t xml:space="preserve"> </w:t>
      </w:r>
    </w:p>
    <w:p w14:paraId="7EA03A99" w14:textId="76D22DF1"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Neizpolnjevanje obveznosti označevanja embalaže v skladu s členoma 23(11) in 28(3).</w:t>
      </w:r>
    </w:p>
    <w:p w14:paraId="63F4F092" w14:textId="77777777" w:rsidR="006D6021" w:rsidRPr="008E5B84" w:rsidRDefault="00311339" w:rsidP="008E5B84">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3 - Naslednja dejanja so lažja kršitev okoljskega upravnega postopka, ki se kaznuje v skladu z Okvirnim zakonom o okoljskih upravnih prekrških:</w:t>
      </w:r>
    </w:p>
    <w:p w14:paraId="717D1B1F" w14:textId="6632C3C4" w:rsidR="00AE3FD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786638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DAF0A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4EE665"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5E9A59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82066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A3C0C2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AC49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88AD3E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0F16E2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91B075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F63BA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D5C26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372D1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6CAD88E"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EE26E5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AFE6A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A2FA5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E63E2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BEAAE8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535C3B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1FB1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329FF90"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D3E144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19D916A"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4E02EE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93628B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429CEE4" w14:textId="7C04ACFC"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Neskladnost z obveznostjo identifikacije embalažnih materialov, uporabljenih v skladu s členom 28(4);</w:t>
      </w:r>
    </w:p>
    <w:p w14:paraId="52F2A95D" w14:textId="5A6D3D93"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Neizpolnjevanje obveznosti opredelitve namembnega kraja embalaže, kadar je to mogoče reciklirati v skladu s členoma 28(5) in (6);</w:t>
      </w:r>
    </w:p>
    <w:p w14:paraId="6D3571B6" w14:textId="2BE01E53" w:rsidR="007C12A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Uporaba simbola smetnjaka na embalaži, ki jo je mogoče reciklirati in ponovno uporabiti, v nasprotju s členom 28(9).</w:t>
      </w:r>
      <w:r>
        <w:rPr>
          <w:sz w:val="24"/>
          <w:rFonts w:ascii="Garamond" w:hAnsi="Garamond"/>
        </w:rPr>
        <w:t xml:space="preserve"> </w:t>
      </w:r>
    </w:p>
    <w:p w14:paraId="7C8C6BB9" w14:textId="1CA7F2E5"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4 - [...].</w:t>
      </w:r>
    </w:p>
    <w:p w14:paraId="320DA334" w14:textId="78F12E10"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5 - [...].</w:t>
      </w:r>
    </w:p>
    <w:p w14:paraId="503ACA32" w14:textId="77777777"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6 - [...].</w:t>
      </w:r>
      <w:r>
        <w:rPr>
          <w:sz w:val="24"/>
          <w:rFonts w:ascii="Garamond" w:hAnsi="Garamond"/>
        </w:rPr>
        <w:t xml:space="preserve"> </w:t>
      </w:r>
    </w:p>
    <w:p w14:paraId="425838E4" w14:textId="5781235B" w:rsidR="006D6021" w:rsidRPr="008E5B84"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7 - [...].“</w:t>
      </w:r>
    </w:p>
    <w:p w14:paraId="4D8B501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Člen 3</w:t>
      </w:r>
    </w:p>
    <w:p w14:paraId="748BF38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t xml:space="preserve">Dodatek k </w:t>
      </w:r>
      <w:hyperlink r:id="rId22" w:tooltip="Uredba z zakonsko močjo št. 152-D/2017" w:history="1">
        <w:r>
          <w:rPr>
            <w:sz w:val="24"/>
            <w:rFonts w:ascii="Garamond" w:hAnsi="Garamond"/>
          </w:rPr>
          <w:t xml:space="preserve">Uredbi z zakonsko močjo št. 152-D/2017</w:t>
        </w:r>
      </w:hyperlink>
      <w:r>
        <w:t xml:space="preserve"> z dne 11. decembra</w:t>
      </w:r>
    </w:p>
    <w:p w14:paraId="380A1081" w14:textId="6C021E2E" w:rsidR="006D6021" w:rsidRPr="008E5B84" w:rsidRDefault="00311339">
      <w:pPr>
        <w:shd w:val="clear" w:color="auto" w:fill="FFFFFF"/>
        <w:suppressAutoHyphens w:val="0"/>
        <w:spacing w:after="225" w:line="390" w:lineRule="atLeast"/>
        <w:jc w:val="both"/>
        <w:textAlignment w:val="auto"/>
        <w:rPr>
          <w:sz w:val="24"/>
          <w:szCs w:val="24"/>
          <w:rFonts w:ascii="Garamond" w:hAnsi="Garamond"/>
        </w:rPr>
      </w:pPr>
      <w:hyperlink r:id="rId23" w:tooltip="Uredba z zakonsko močjo št. 152-D/2017" w:history="1">
        <w:r>
          <w:rPr>
            <w:sz w:val="24"/>
            <w:rFonts w:ascii="Garamond" w:hAnsi="Garamond"/>
          </w:rPr>
          <w:t xml:space="preserve">Uredbi z zakonsko močjo št. 152-D/2017</w:t>
        </w:r>
      </w:hyperlink>
      <w:r>
        <w:t xml:space="preserve"> z dne 11. decembra, v sedanjem besedilu, se doda člen 20-A, ki se glasi:</w:t>
      </w:r>
    </w:p>
    <w:p w14:paraId="752800F2"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„Člen 20-A.</w:t>
      </w:r>
    </w:p>
    <w:p w14:paraId="1AB94D2F"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Odgovornost posrednega ponudnika omrežnih storitev</w:t>
      </w:r>
      <w:r>
        <w:rPr>
          <w:sz w:val="24"/>
          <w:rFonts w:ascii="Garamond" w:hAnsi="Garamond"/>
        </w:rPr>
        <w:t xml:space="preserve"> </w:t>
      </w:r>
    </w:p>
    <w:p w14:paraId="51D2D4EC"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Posredni ponudnik računalniško posredovanih komunikacijskih storitev, ki se ne šteje za proizvajalca za namene te uredbe z zakonsko močjo, ki z uporabo elektronskega vmesnika, kot so trg, platforma, portal ali podobna naprava, omogoča prodajo na daljavo ali dostavo proizvodov, za katere velja načelo razširjene odgovornosti proizvajalca, v imenu tretje osebe, zahteva te informacije, da se dokaže skladnost z obveznostmi v zvezi z:</w:t>
      </w:r>
    </w:p>
    <w:p w14:paraId="203F3B33"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vnosom in letno predložitvijo podatkov SIRER v skladu s členom 19(1);</w:t>
      </w:r>
    </w:p>
    <w:p w14:paraId="34CEE8B9"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sprejetjem enega od sistemov iz člena 7(1) za vrsto ali kategorijo proizvodov, ki so na voljo na platformi.</w:t>
      </w:r>
    </w:p>
    <w:p w14:paraId="00C2C8D8"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Za namene prejšnjega odstavka posredni ponudnik računalniško posredovanih komunikacijskih storitev zahteva zadevne informacije, ki so predpogoj za registracijo na platformi, in za namene pogodbenega postopka, ter da se te informacije vsako leto posodobijo.</w:t>
      </w:r>
    </w:p>
    <w:p w14:paraId="4B9FAC75" w14:textId="77777777" w:rsidR="006D6021"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Posredni ponudnik računalniško posredovanih komunikacijskih storitev, ki z uporabo elektronskega vmesnika, kot so trg, platforma, portal ali podobna naprava, omogoča prodajo na daljavo ali dostavo rabljenih delov OEEO in VFV za ponovno uporabo, od prodajalca zahteva informacije, ki dokazujejo skladnost z obveznostjo, da se zagotovi, da uporabljeni deli, prihajajo od licenciranih izvajalcev razstavljanja, ter med drugim zahteva informacije o številki pridobitelja dovoljenja izvajalca razgradnje, ki je na voljo na platformi.“</w:t>
      </w:r>
    </w:p>
    <w:p w14:paraId="41D1684A" w14:textId="77777777" w:rsidR="00E262CE" w:rsidRPr="008E5B84" w:rsidRDefault="00E262CE" w:rsidP="002E3B2F">
      <w:pPr>
        <w:spacing w:after="0" w:line="360" w:lineRule="auto"/>
        <w:ind w:left="993"/>
        <w:jc w:val="both"/>
        <w:rPr>
          <w:rFonts w:ascii="Garamond" w:hAnsi="Garamond"/>
          <w:sz w:val="24"/>
          <w:szCs w:val="24"/>
        </w:rPr>
      </w:pPr>
    </w:p>
    <w:p w14:paraId="6416550A"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Člen 4</w:t>
      </w:r>
    </w:p>
    <w:p w14:paraId="47C9561F"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Prehodne določbe</w:t>
      </w:r>
      <w:r>
        <w:rPr>
          <w:sz w:val="24"/>
          <w:rFonts w:ascii="Garamond" w:hAnsi="Garamond"/>
        </w:rPr>
        <w:t xml:space="preserve"> </w:t>
      </w:r>
    </w:p>
    <w:p w14:paraId="11F9B5E9" w14:textId="77777777" w:rsidR="006D6021" w:rsidRPr="008E5B84" w:rsidRDefault="00311339" w:rsidP="008E5B84">
      <w:pPr>
        <w:pStyle w:val="ListParagraph"/>
        <w:widowControl w:val="0"/>
        <w:numPr>
          <w:ilvl w:val="0"/>
          <w:numId w:val="7"/>
        </w:numPr>
        <w:spacing w:after="120" w:line="360" w:lineRule="auto"/>
        <w:ind w:left="993" w:hanging="709"/>
        <w:jc w:val="both"/>
        <w:rPr>
          <w:sz w:val="24"/>
          <w:szCs w:val="24"/>
          <w:rFonts w:ascii="Garamond" w:hAnsi="Garamond"/>
        </w:rPr>
      </w:pPr>
      <w:r>
        <w:rPr>
          <w:sz w:val="24"/>
          <w:rFonts w:ascii="Garamond" w:hAnsi="Garamond"/>
        </w:rPr>
        <w:t xml:space="preserve">Določbe člena 8(5) Uredbe z zakonsko močjo št. 152-D/2017 z dne 11. decembra, kakor je bila spremenjena s to uredbo z zakonsko močjo, se začnejo uporabljati eno leto po začetku veljavnosti te uredbe z zakonsko močjo.</w:t>
      </w:r>
      <w:r>
        <w:rPr>
          <w:sz w:val="24"/>
          <w:rFonts w:ascii="Garamond" w:hAnsi="Garamond"/>
        </w:rPr>
        <w:t xml:space="preserve"> </w:t>
      </w:r>
    </w:p>
    <w:p w14:paraId="33C46C89"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Določbe člena 8(6) Uredbe z zakonsko močjo št. 152-D/2017 z dne 11. decembra, kakor je bila spremenjena s to uredbo z zakonsko močjo, se začnejo uporabljati dve leti po začetku veljavnosti te uredbe z zakonsko močjo.</w:t>
      </w:r>
    </w:p>
    <w:p w14:paraId="118482CA"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Prvo leto za izpolnitev obveznosti iz člena 8(8) Uredbe z zakonsko močjo št. 152-D/2017 z dne 11. decembra, kakor je bila spremenjena s to uredbo z zakonsko močjo, je leto 2022, glede na leto 2021, brez poseganja v določbe odstavka 9 navedenega člena, in pod pogojem, da na ta dan obstajajo usposobljeni preveritelji.</w:t>
      </w:r>
    </w:p>
    <w:p w14:paraId="239A29A5"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Določbe člena 28(4) Uredbe z zakonsko močjo št. 152-D/2017 z dne 11. decembra, kakor je bila spremenjena s to uredbo z zakonsko močjo, se začnejo uporabljati dve leti po začetku veljavnosti te uredbe z zakonsko močjo.</w:t>
      </w:r>
    </w:p>
    <w:p w14:paraId="561C5A3C" w14:textId="77777777" w:rsidR="00FA19BE" w:rsidRDefault="00FA19BE">
      <w:pPr>
        <w:jc w:val="center"/>
        <w:rPr>
          <w:rFonts w:ascii="Garamond" w:hAnsi="Garamond"/>
          <w:sz w:val="24"/>
          <w:szCs w:val="24"/>
        </w:rPr>
      </w:pPr>
    </w:p>
    <w:p w14:paraId="3AA09853" w14:textId="77777777" w:rsidR="00FA19BE" w:rsidRPr="008E5B84" w:rsidRDefault="00FA19BE" w:rsidP="00FA19BE">
      <w:pPr>
        <w:jc w:val="center"/>
        <w:rPr>
          <w:sz w:val="24"/>
          <w:szCs w:val="24"/>
          <w:rFonts w:ascii="Garamond" w:hAnsi="Garamond"/>
        </w:rPr>
      </w:pPr>
      <w:r>
        <w:rPr>
          <w:sz w:val="24"/>
          <w:rFonts w:ascii="Garamond" w:hAnsi="Garamond"/>
        </w:rPr>
        <w:t xml:space="preserve">Člen 5</w:t>
      </w:r>
    </w:p>
    <w:p w14:paraId="3E008870" w14:textId="2B7749B8" w:rsidR="00FA19BE" w:rsidRPr="008E5B84" w:rsidRDefault="00FA19BE" w:rsidP="00FA19BE">
      <w:pPr>
        <w:jc w:val="center"/>
        <w:rPr>
          <w:sz w:val="24"/>
          <w:szCs w:val="24"/>
          <w:rFonts w:ascii="Garamond" w:hAnsi="Garamond"/>
        </w:rPr>
      </w:pPr>
      <w:r>
        <w:rPr>
          <w:sz w:val="24"/>
          <w:rFonts w:ascii="Garamond" w:hAnsi="Garamond"/>
        </w:rPr>
        <w:t xml:space="preserve">Razveljavitev</w:t>
      </w:r>
    </w:p>
    <w:p w14:paraId="357EF3D3" w14:textId="36BD9C91" w:rsidR="00FA19BE" w:rsidRPr="008E5B84" w:rsidRDefault="00FA19BE" w:rsidP="00FA19BE">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Člen 28(1) Uredbe z zakonsko močjo št. 152-D/2017 z dne 11. decembra, kakor je bila spremenjena z zakonoma št. 69/2018 z dne 26. decembra in 41/2019 z dne 21. junija, Uredbo z zakonsko močjo št. 86/2020 z dne 14. oktobra ter spremenjena in ponovno objavljena z Uredbo z zakonsko močjo št. 102-D/2020 z dne 10. decembra, se razveljavi.</w:t>
      </w:r>
      <w:r>
        <w:rPr>
          <w:sz w:val="24"/>
          <w:rFonts w:ascii="Garamond" w:hAnsi="Garamond"/>
        </w:rPr>
        <w:t xml:space="preserve"> </w:t>
      </w:r>
    </w:p>
    <w:p w14:paraId="18BEA12B" w14:textId="77777777" w:rsidR="00FA19BE" w:rsidRDefault="00FA19BE">
      <w:pPr>
        <w:jc w:val="center"/>
        <w:rPr>
          <w:rFonts w:ascii="Garamond" w:hAnsi="Garamond"/>
          <w:sz w:val="24"/>
          <w:szCs w:val="24"/>
        </w:rPr>
      </w:pPr>
    </w:p>
    <w:p w14:paraId="2595911C" w14:textId="07A0F7C4" w:rsidR="006D6021" w:rsidRPr="008E5B84" w:rsidRDefault="00311339">
      <w:pPr>
        <w:jc w:val="center"/>
        <w:rPr>
          <w:sz w:val="24"/>
          <w:szCs w:val="24"/>
          <w:rFonts w:ascii="Garamond" w:hAnsi="Garamond"/>
        </w:rPr>
      </w:pPr>
      <w:r>
        <w:rPr>
          <w:sz w:val="24"/>
          <w:rFonts w:ascii="Garamond" w:hAnsi="Garamond"/>
        </w:rPr>
        <w:t xml:space="preserve">Člen 6</w:t>
      </w:r>
    </w:p>
    <w:p w14:paraId="75EC9DA9" w14:textId="77777777" w:rsidR="006D6021" w:rsidRPr="008E5B84" w:rsidRDefault="00311339">
      <w:pPr>
        <w:jc w:val="center"/>
        <w:rPr>
          <w:sz w:val="24"/>
          <w:szCs w:val="24"/>
          <w:rFonts w:ascii="Garamond" w:hAnsi="Garamond"/>
        </w:rPr>
      </w:pPr>
      <w:r>
        <w:rPr>
          <w:sz w:val="24"/>
          <w:rFonts w:ascii="Garamond" w:hAnsi="Garamond"/>
        </w:rPr>
        <w:t xml:space="preserve">Začetek veljavnosti</w:t>
      </w:r>
    </w:p>
    <w:p w14:paraId="116948F8" w14:textId="77777777" w:rsidR="006D6021" w:rsidRPr="008E5B84" w:rsidRDefault="00311339" w:rsidP="008E5B84">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Ta uredba z zakonsko močjo začne veljati dan po dnevu objave.</w:t>
      </w:r>
      <w:r>
        <w:rPr>
          <w:sz w:val="24"/>
          <w:rFonts w:ascii="Garamond" w:hAnsi="Garamond"/>
        </w:rPr>
        <w:t xml:space="preserve">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514C" w14:textId="77777777" w:rsidR="00071555" w:rsidRDefault="00071555">
      <w:pPr>
        <w:spacing w:after="0"/>
      </w:pPr>
      <w:r>
        <w:separator/>
      </w:r>
    </w:p>
  </w:endnote>
  <w:endnote w:type="continuationSeparator" w:id="0">
    <w:p w14:paraId="3A09787D"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DC03" w14:textId="77777777" w:rsidR="00071555" w:rsidRDefault="00071555">
      <w:pPr>
        <w:spacing w:after="0"/>
      </w:pPr>
      <w:r>
        <w:rPr>
          <w:color w:val="000000"/>
        </w:rPr>
        <w:separator/>
      </w:r>
    </w:p>
  </w:footnote>
  <w:footnote w:type="continuationSeparator" w:id="0">
    <w:p w14:paraId="66F4E6EC"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95413"/>
    <w:rsid w:val="005E437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EA0"/>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dre.pt/application/external/eurolex?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dre.pt/application/external/eurolex?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external/eurolex?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e.pt/application/external/eurolex?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dre.pt/application/external/eurolex?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dre.pt/application/external/eurolex?94L0062" TargetMode="External"/><Relationship Id="rId14" Type="http://schemas.openxmlformats.org/officeDocument/2006/relationships/hyperlink" Target="https://dre.pt/application/external/eurolex?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2233</Words>
  <Characters>12730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cp:lastModifiedBy>
  <cp:revision>10</cp:revision>
  <dcterms:created xsi:type="dcterms:W3CDTF">2021-02-18T16:42:00Z</dcterms:created>
  <dcterms:modified xsi:type="dcterms:W3CDTF">2021-03-01T14:11:00Z</dcterms:modified>
</cp:coreProperties>
</file>