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Z Á K O N,</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KTORÝM SA MENÍ ZÁKON O OBMEDZENÍ POUŽÍVANIA TABAKOVÝCH A SÚVISIACICH VÝROBKOV</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V článku 1 zákona o obmedzení používania tabakových a súvisiacich výrobkov (Úradný vestník Slovinskej republiky, č. 9/17 a 29/17) sa slová „delegovaná </w:t>
      </w:r>
      <w:hyperlink r:id="rId4" w:tgtFrame="_blank" w:tooltip="to EUR-Lex" w:history="1">
        <w:r>
          <w:rPr>
            <w:rFonts w:ascii="Arial" w:hAnsi="Arial"/>
            <w:color w:val="0000EE"/>
            <w:sz w:val="21"/>
            <w:u w:val="single" w:color="0000EE"/>
          </w:rPr>
          <w:t>smernica Komisie 2014/109/EÚ</w:t>
        </w:r>
      </w:hyperlink>
      <w:r>
        <w:rPr>
          <w:rFonts w:ascii="Arial" w:hAnsi="Arial"/>
          <w:sz w:val="21"/>
        </w:rPr>
        <w:t xml:space="preserve"> z 10. októbra 2014, ktorou sa mení </w:t>
      </w:r>
      <w:hyperlink r:id="rId5" w:tgtFrame="_blank" w:tooltip="to EUR-Lex" w:history="1">
        <w:r>
          <w:rPr>
            <w:rFonts w:ascii="Arial" w:hAnsi="Arial"/>
            <w:color w:val="0000EE"/>
            <w:sz w:val="21"/>
            <w:u w:val="single" w:color="0000EE"/>
          </w:rPr>
          <w:t>príloha II k smernici Európskeho parlamentu a Rady 2014/40/EÚ</w:t>
        </w:r>
      </w:hyperlink>
      <w:r>
        <w:rPr>
          <w:rFonts w:ascii="Arial" w:hAnsi="Arial"/>
          <w:sz w:val="21"/>
        </w:rPr>
        <w:t xml:space="preserve"> stanovením knižnice obrázkových varovaní, ktoré sa majú používať na tabakových výrobkoch (Ú. v. EÚ L 360, 17. 12. 2014, s. 22)“ nahrádzajú slovami „</w:t>
      </w:r>
      <w:hyperlink r:id="rId6" w:tgtFrame="_blank" w:tooltip="to EUR-Lex" w:history="1">
        <w:r>
          <w:rPr>
            <w:rFonts w:ascii="Arial" w:hAnsi="Arial"/>
            <w:color w:val="0000EE"/>
            <w:sz w:val="21"/>
            <w:u w:val="single" w:color="0000EE"/>
          </w:rPr>
          <w:t>delegovaná smernica (EÚ) 2022/2100</w:t>
        </w:r>
      </w:hyperlink>
      <w:r>
        <w:rPr>
          <w:rFonts w:ascii="Arial" w:hAnsi="Arial"/>
          <w:sz w:val="21"/>
        </w:rPr>
        <w:t xml:space="preserve"> z 29. júna 2022, ktorou sa mení </w:t>
      </w:r>
      <w:hyperlink r:id="rId7" w:tgtFrame="_blank" w:tooltip="to EUR-Lex" w:history="1">
        <w:r>
          <w:rPr>
            <w:rFonts w:ascii="Arial" w:hAnsi="Arial"/>
            <w:color w:val="0000EE"/>
            <w:sz w:val="21"/>
            <w:u w:val="single" w:color="0000EE"/>
          </w:rPr>
          <w:t>smernica Európskeho parlamentu a Rady 2014/40/EÚ</w:t>
        </w:r>
      </w:hyperlink>
      <w:r>
        <w:rPr>
          <w:rFonts w:ascii="Arial" w:hAnsi="Arial"/>
          <w:sz w:val="21"/>
        </w:rPr>
        <w:t>, pokiaľ ide o zrušenie určitých výnimiek týkajúcich sa zahrievaných tabakových výrobkov (Ú. v. EÚ L 283, 3. 11. 2022, s.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3 sa bod 12 mení a znie takto:</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Elektronická cigareta je výrobok, ktorý sa môže používať na inhaláciu výparov obsahujúcich nikotín prostredníctvom náustku, alebo akákoľvek zložka uvedeného výrobku vrátane zásobníka, nádržky a zariadenia bez zásobníka alebo nádržky. Elektronické cigarety môžu byť jednorazové alebo opätovne naplniteľné pomocou plniacej fľaštičky a nádržky alebo opätovne naplniteľné pomocou jednorazových zásobníkov.“ Za elektronickú cigaretu sa považuje aj vtedy, ak sa opätovne plní pomocou plniacej fľaštičky a zásobníka s beznikotínovou náplňou alebo opätovne plní jednorazovou beznikotínovou náhradnou náplňou na inhalovanie beznikotínových výparov.“</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12 sa dopĺňa nový bod 12.a, ktorý znie takto:</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Beznikotínová elektronická cigareta je jednorazový výrobok, ktorý obsahuje zásobník s beznikotínovou tekutinou a používa sa na inhaláciu beznikotínových výparov cez náustok alebo akúkoľvek súčasť tohto výrobku.“</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17 sa vypúšťa.</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19 sa dopĺňa nový bod 19.a, ktorý znie takto:</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Nová kategória nikotínových výrobkov je výrobok, ktorý nepatrí ani do jednej z týchto kategórií výrobkov, ktoré obsahujú nikotín, ale neobsahujú tabak: elektronické cigarety, plniace fľaštičky a registrované výrobky na nikotínovú substitučnú terapiu.“.</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22 sa dopĺňa nový bod 22.a, ktorý znie takto:</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„22.a. Zahrievaný tabakový výrobok je nová kategória tabakových výrobkov, ktorý sa zahrieva s cieľom vytvoriť emisie obsahujúce nikotín a iné chemické látky, ktoré potom používateľ inhaluje, </w:t>
      </w:r>
      <w:r>
        <w:rPr>
          <w:rFonts w:ascii="Arial" w:hAnsi="Arial"/>
          <w:sz w:val="21"/>
        </w:rPr>
        <w:lastRenderedPageBreak/>
        <w:t>a ktorý je v závislosti od svojich vlastností bezdymovým tabakovým výrobkom alebo tabakovým výrobkom na fajčenie.“.</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23 sa dopĺňa nový bod 23.a, ktorý znie takto:</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Beznikotínová plniaca fľaštička je nádobka, ktorá obsahuje beznikotínovú tekutinu, ktorú možno použiť na opätovné naplnenie elektronickej cigarety.“.</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25 sa mení a znie takto:</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Súvisiace výrobky sú podľa </w:t>
      </w:r>
      <w:hyperlink r:id="rId8" w:tgtFrame="_blank" w:tooltip="to EUR-Lex" w:history="1">
        <w:r>
          <w:rPr>
            <w:rFonts w:ascii="Arial" w:hAnsi="Arial"/>
            <w:color w:val="0000EE"/>
            <w:sz w:val="21"/>
            <w:u w:val="single" w:color="0000EE"/>
          </w:rPr>
          <w:t>Smernice 2014/40/EÚ</w:t>
        </w:r>
      </w:hyperlink>
      <w:r>
        <w:rPr>
          <w:rFonts w:ascii="Arial" w:hAnsi="Arial"/>
          <w:sz w:val="21"/>
        </w:rPr>
        <w:t xml:space="preserve"> elektronické cigarety a plniace fľaštičky, ako aj bylinné výrobky na fajčenie. V súlade s týmto zákonom patria medzi súvisiace výrobky aj beznikotínové elektronické cigarety a beznikotínové plniace fľaštičky, zahrievané bylinné výrobky, nové kategórie tabakových výrobkov a nové kategórie nikotínových výrobkov. Podľa tohto zákona patria medzi súvisiace výrobky aj zariadenia príslušenstva alebo zariadenia na použitie súvisiacich výrobkov uvedené v prvej vete a predchádzajúcej vete tohto oddielu, bez ktorých súvisiace výrobky nemožno používať.“.</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40 sa mení a znie takto:</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Tabak na vlastnoručné zhotovenie cigariet je tabak, ktorý môžu spotrebitelia alebo maloobchodné predajne použiť na výrobu cigariet.“.</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50 sa dopĺňa nový bod 50.a, ktorý znie takto:</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Zahrievaný bylinný výrobok je výrobok založený na rastlinách, bylinách alebo ovocí, ktorý neobsahuje tabak a počas ktorého používania dochádza k procesu zahrievania.“.</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11 sa odsek 1 mení a znie takto:</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Uvádzanie cigariet, tabaku na vlastnoručné zhotovenie cigariet a zahrievaných tabakových výrobkov s charakteristickou arómou na trh sa zakazuje.“.</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12 sa odsek 2 mení a znie takto:</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Zakazuje sa uvádzať na trh cigarety, tabak na vlastnoručné zhotovenie cigariet a zahrievané tabakové výrobky, ktoré obsahujú arómy v akýchkoľvek ich zložkách, ako napríklad vo filtroch, papieroch, baleniach, kapsuliach, alebo akékoľvek technické prvky umožňujúce zmenu vône alebo chuti dotknutých tabakových výrobkov alebo ich intenzity dymu. Filtre, papiere a kapsuly nesmú obsahovať tabak ani nikotín.“.</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Článok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13 sa za odsek 6 dopĺňa nový odsek 7, ktorý znie takto:</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Obrázky jednotkových balení a akýchkoľvek vonkajších obalov tabakových výrobkov, ktoré sú určené spotrebiteľom, musia byť v súlade s ustanoveniami oddielu 2 (Označovanie a balenie) kapitoly II tohto zákona.“.</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14 ods. 1 sa úvodná veta mení a znie takto: Na každom jednotkovom balení a vonkajšom obale tabakových výrobkov na fajčenie vrátane zahrievaných tabakových výrobkov v prípade tabakových výrobkov na fajčenie sa uvádza toto všeobecné varovanie:“.</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odseku 2 sa úvodná veta mení a znie takto: Na každom jednotkovom balení a vonkajšom obale tabakových výrobkov na fajčenie vrátane zahrievaných tabakových výrobkov v prípade tabakových výrobkov na fajčenie sa uvádza tento informačný odkaz:“.</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odseku 3 sa prvá veta mení a znie takto: „V prípade jednotkových balení obsahujúcich cigarety, jednotkových balení so zahrievanými tabakovými výrobkami v prípade tabakových výrobkov na fajčenie a balení tabaku na vlastnoručné zhotovenie cigariet v baleniach tvaru kvádra sa všeobecné varovanie nachádza na dolnej časti jedného z bočných povrchov jednotkových balení a informačný odkaz sa nachádza na dolnej časti druhého bočného povrchu.“.</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15 ods. 1 sa prvá veta mení a znie takto: „Na každom jednotkovom balení a vonkajšom obale tabakových výrobkov na fajčenie vrátane zahrievaných tabakových výrobkov v prípade tabakových výrobkov na fajčenie sa uvádzajú kombinované zdravotné varovania.“.</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22 sa odsek 9 mení a znie takto:</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Zaznamenané údaje nesmie žiadny hospodársky subjekt zapojený do obchodu s tabakovými výrobkami zmeniť ani vymazať.“.</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Článok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25 ods. 2 prvej vete sa za slovom „odsek“ vypúšťa čiarka a slová „keď to NLZOH považuje za potrebné z dôvodu zmenených podmienok“ sa vypúšťajú.</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odsek 2 sa vkladá nový odsek 3, ktorý znie takto:</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účtuje výrobcom a dovozcom poplatky za prijímanie, uchovávanie, spracúvanie a analyzovanie údajov poskytnutých podľa tohto článku.“.</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Existujúci odsek 3, ktorý sa stáva odsekom 4, sa mení a znie takto:</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 určí formu a spôsob oznámenia a výšku poplatkov uvedených v tomto článku.“.</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26 ods. 3 sa úvodná veta v tretej vete mení a znie takto: „Elektronické cigarety, beznikotínové elektronické cigarety, plniace fľaštičky a beznikotínové plniace fľaštičky musia spĺňať tieto podmienky:“.</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1 sa mení a znie takto:</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tekutina obsahujúca alebo neobsahujúca nikotín sa uvádza na trh v plniacich fľaštičkách určených na tento účel, ktorých objem nepresahuje 10 ml. V jednorazových elektronických cigaretách, beznikotínových elektronických cigaretách alebo jednorazových zásobníkoch s obsahom nikotínu alebo bez neho nesmie objem zásobníka alebo nádržky prekračovať objem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3 sa mení a znie takto:</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tekutina obsahujúca alebo neobsahujúca nikotín nesmú obsahovať prídavné látky uvedené v článku 12 ods. 1 tohto zákona;“.</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4 sa mení a znie takto:</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pri výrobe tekutiny obsahujúcej alebo neobsahujúcej nikotín sa smú používať iba zložky vysokej čistoty. Látky v tekutine, s výnimkou zložiek uvedených v bode 2 odseku 2 tohto článku, smú byť prítomné len v stopových množstvách, ak sa výskytu takýchto stopových množstiev nedá počas výroby technicky zabrániť;“.</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7 sa mení a znie takto:</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nesmú ich používať deti, musia byť chránené pred neoprávnenou manipuláciu s nimi, zlomením a presakovaním, pričom musia mať mechanizmus, ktorý zabezpečuje opätovné plnenie bez úniku;“.</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bod 7 sa dopĺňa nový bod 8, ktorý znie takto:</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tekutina obsahujúca alebo neobsahujúca nikotín nesmie obsahovať iné arómy, ako je chuť alebo vôňa tabaku.“.</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odseku 5 sa úvodná veta mení a znie takto: „Balenia a vonkajší obal elektronických cigariet, beznikotínových elektronických cigariet, plniacich fľaštičiek a beznikotínových plniacich fľaštičiek:“.</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Bod 2 sa mení a znie takto:</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bez ohľadu na predchádzajúci bod neobsahujú prvky ani vlastnosti uvedené v článku 17 tohto zákona, s výnimkou prvej zarážky odseku 1 týkajúcej sa informácií o obsahu nikotínu a informácií o chuti alebo vôni tabaku a s výnimkou beznikotínových elektronických cigariet a beznikotínových plniacich fľaštičiek, pričom sa na nich uvádza toto zdravotné varovanie, ktoré spĺňa požiadavky článku 16 ods. 2 a 3 tohto zákona: „Tento výrobok obsahuje nikotín, ktorý je vysoko návykovou látkou. Neodporúča sa, aby ho používali nefajčiari.“.“.</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odseku 8 sa na konci dopĺňajú tieto slová: „NLZOH a Zdravotný inšpektorát Slovinskej republiky na požiadanie sprístupnia všetky informácie prijaté v súlade s týmto článkom Európskej komisii a ostatným členským štátom EÚ, ktoré zabezpečia, aby sa s obchodnými tajomstvami a inými dôvernými informáciami zaobchádzalo dôverne.“.</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odsek 14 sa dopĺňa nový odsek 15, ktorý znie takto:</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Ustanovenia o predložení úradného oznámenia uvedeného v odseku 1, jeho obsahu uvedeného v odseku 2, zahrnutí návodu na použitie s údajmi uvedenými v odseku 4, predkladaní údajov uvedených v odseku 6, monitorovaní vývoja na trhu podľa odseku 7, uverejnení na internete, sprístupňovaní údajov verejnosti a poskytovaní informácií uvedených v odseku 8, zriadení a udržiavaní systému zhromažďovania údajov a zasielaní zhromaždených údajov uvedených v odseku 9, prijatí opatrení a oznamovaní orgánom uvedeným v odseku 10, prenose dodatočných údajov uvedených v odseku 11, komunikácii uvedenej v odseku 12, práve účtovať poplatky uvedenom v odseku 13 a stanovení podrobnejších podmienok uvedených v odseku 14 tohto článku, sa vzťahujú aj na beznikotínové elektronické cigarety a beznikotínové plniace fľaštičky.“.</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28 sa názov článku mení a znie takto: „(nahlasovanie zložiek bylinných výrobkov na fajčenie a zahrievaných bylinných výrobkov)“.</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Odsek 1 sa mení a znie takto:</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Výrobcovia a dovozcovia bylinných výrobkov na fajčenie a zahrievaných bylinných výrobkov predložia NLZOH zoznam všetkých zložiek a ich množstiev použitých pri výrobe týchto výrobkov, a to osobitne pre každú značku a každý typ. Úradné oznámenie sa predkladá elektronicky šesť mesiacov pred zamýšľaným uvedením nového alebo upraveného bylinného výrobku na fajčenie alebo zahrievaného bylinného výrobku na trh. Výrobcovia alebo dovozcovia bylinných výrobkov na fajčenie a zahrievaných bylinných výrobkov NLZOH informujú v prípade, ak sa zloženie výrobku zmení tak, že to ovplyvní údaje predložené podľa tohto článku.“</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 2 sa vkladá nový odsek 3, ktorý znie takto:</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NLZOH účtuje výrobcom a dovozcom poplatky za prijímanie, uchovávanie, spracúvanie, analyzovanie a uverejňovanie údajov poskytnutých podľa tohto článku.“.</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Existujúci odsek 3, ktorý sa stáva odsekom 4, sa mení a znie takto:</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 stanoví podrobnejšie podmienky nahlasovania zložiek bylinných výrobkov na fajčenie a zahrievaných bylinných výrobkov a výšku poplatkov uvedených v tomto článku.“.</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Názov kapitoly V sa mení a znie takto: „V. REKLAMA, PROPAGÁCIA, SPONZOROVANIE, PREDAJ A DOVOZ“.</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30 sa názov článku mení a znie takto: „(zákaz predaja a nadobúdania)“.</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odsek 6 sa dopĺňajú nové odseky 7 a 8, ktoré znejú takto:</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Jednotlivec nesmie predávať ani uvádzať na trh tabak, tabakové ani súvisiace výrobky.</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Jednotlivec nesmie nadobúdať tabak, tabakové ani súvisiace výrobky v rozpore s týmto článkom.“.</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článok 30 sa vkladá nový článok 30.a, ktorý znie takto:</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(zákaz dovozu)</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Dovoz výrobkov uvedených v článku 11 ods. 1, článku 12 ods. 1, 2 a 3 a v článku 24 tohto zákona je zakázaný.</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Jednotlivec nesmie dovážať tabak, tabakové ani súvisiace výrobky s výnimkou výrobkov, ktoré sú oslobodené od platenia dovozného cla v prípade zásielok alebo osobnej batožiny cestujúceho v súlade s nariadením, ktorým sa upravuje systém oslobodenia od cla v EÚ.“.</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Názov kapitoly VII sa mení a znie takto: „VII. ZÁKAZ FAJČENIA“.</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39 ods. 3 sa bodkočiarka na konci tretej zarážky nahrádza bodkou a štvrtá zarážka sa vypúšťa.</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Odsek 4 sa vypúšťa.</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Odsek 5 sa stáva odsekom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Článok 40 sa vypúšťa.</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Znenie článku 41 sa mení a znie takto:</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Dohľad nad vykonávaním tohto zákona spadá do kompetencie Zdravotného inšpektorátu Slovinskej republiky, Inšpektorátu práce Slovinskej republiky, Inšpektorátu trhu Slovinskej republiky, Finančnej správy Slovinskej republiky a štátnych a mestských policajných zložiek.</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Zdravotný inšpektorát Slovinskej republiky dohliada na:</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emisie dechtu, nikotínu a oxidu uhoľnatého z cigariet uvedené v článku 7 tohto zákona;</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zákaz uvádzania na trh tabakových výrobkov s charakteristickou arómou podľa článku 11 tohto zákona;</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zákaz uvádzania na trh tabakových výrobkov obsahujúcich prídavné látky podľa článku 12 tohto zákona;</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nahlasovanie a informovanie výrobcov a dovozcov o zložkách a emisiách tabakových a súvisiacich výrobkov v súlade s článkom 9, článkom 10, článkom 25, článkom 26 ods. 1, 2 a 6 a článkom 28 tohto zákona;</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plnenie povinností zo strany výrobcov, dovozcov a distribútorov elektronických cigariet, beznikotínových elektronických cigariet, plniacich fľaštičiek a beznikotínových plniacich fľaštičiek uvedených v článku 26 ods. 9, 10 a 11 tohto zákona a podmienok, ktoré musia spĺňať elektronické cigarety, beznikotínové elektronické cigarety, plniace fľaštičky a beznikotínové plniace fľaštičky uvedené v článku 26 ods. 3 tohto zákona;</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6. zákaz fajčenia alebo používania tabaku, tabakových a súvisiacich výrobkov, s výnimkou žuvacieho tabaku a šnupavého tabaku, na verejných priestranstvách podľa článku 39 tohto zákona;</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osoby, ktoré nedodržiavajú zákaz fajčenia alebo používania tabaku, tabakových a súvisiacich výrobkov, s výnimkou žuvacieho tabaku a šnupavého tabaku, na verejných priestranstvách podľa článku 39 tohto zákona.</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Zdravotný inšpektorát Slovinskej republiky na základe vlastných zistení alebo zistení NLZOH o tom, že tabak, tabakové a súvisiace výrobky sa vyrábajú, predávajú alebo uvádzajú na trh v rozpore s článkami 7, 8, 11, 12 a 26 tohto zákona, svojím rozhodnutím zakáže výrobu a predaj týchto výrobkov a nariadi ich stiahnutie z výroby a predaja.</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Zdravotný inšpektorát Slovinskej republiky na základe zistení NLZOH, že si v prípade určitej značky a typu tabaku, tabakových a súvisiacich výrobkov ich výrobcovia a dovozcovia neplnia povinnosť podávať správy alebo informovať o výrobkoch uvedených v článkoch 9, 10, 25, 26 a 28 tohto zákona, svojím rozhodnutím zakáže predaj týchto výrobkov a nariadi ich stiahnutie z predaja.</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Na žiadosť Zdravotného inšpektorátu Slovinskej republiky alebo Finančnej správy Slovinskej republiky môže NLZOH vykonávať laboratórne skúšky tabaku, tabakových a súvisiacich výrobkov. Právnické a fyzické osoby, ktoré uvádzajú na trh tabak, tabakové a súvisiace výrobky, musia bezplatne sprístupniť vzorku takéhoto výrobku príslušnému inšpektorovi (ďalej len „inšpektor“). Ak sa laboratórnym testom zistí, že vzorka odobratá počas kontrolného postupu nie je v súlade s ustanoveniami tohto zákona, náklady na laboratórne testovanie znáša právnická alebo fyzická osoba, od ktorej bola vzorka odobratá.</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Inšpektorát práce Slovinskej republiky dohliada na:</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zákaz fajčenia alebo používania tabaku, tabakových a súvisiacich výrobkov, s výnimkou žuvacieho tabaku a šnupavého tabaku, na pracoviskách podľa článku 39 tohto zákona;</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osoby, ktoré nedodržiavajú zákaz fajčenia alebo používania tabaku, tabakových a súvisiacich výrobkov, s výnimkou žuvacieho tabaku a šnupavého tabaku, na pracoviskách podľa článku 39 tohto zákona.</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Inšpektorát trhu Slovinskej republiky dohliada na podnikateľské subjekty, konkrétne na:</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podmienky, ktoré musia spĺňať tabak a tabakové výrobky uvedené v článkoch 13 až 20 tohto zákona;</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zákaz uvádzania tabaku na orálne použitie na trh podľa článku 24 tohto zákona;</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podmienky, ktoré musia spĺňať elektronické cigarety, beznikotínové elektronické cigarety, plniace fľaštičky a beznikotínové plniace fľaštičky uvedené v článku 26 ods. 4 a 5 tohto zákona;</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podmienky, ktoré musia spĺňať bylinné výrobky na fajčenie uvedené v článku 27 tohto zákona;</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zákaz sponzorovania a reklamy tabaku, tabakových a súvisiacich výrobkov podľa článku 29 tohto zákona;</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zákaz predaja uvedený v článkoch 30 a 31 tohto zákona;</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predaj tabaku, tabakových a súvisiacich výrobkov bez povolenia uvedený v článku 32 tohto zákona a viditeľnosť povolenia nachádzajúceho sa v prevádzkových priestoroch podľa článku 34 ods. 3 tohto zákona.</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Finančná správa Slovinskej republiky dohliada na:</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podmienky stanovené v článkoch 22 a 23 tohto zákona, ktoré musia spĺňať tabak a tabakové výrobky;</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podmienky, ktoré musia spĺňať elektronické cigarety, beznikotínové elektronické cigarety, plniace fľaštičky a beznikotínové plniace fľaštičky uvedené v článku 26 ods. 3 tohto zákona pri dovoze z tretích krajín, za podpory zo strany Zdravotného inšpektorátu Slovinskej republiky;</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osoby, ktoré predávajú, uvádzajú na trh alebo nadobúdajú tabak a tabakové alebo súvisiace výrobky v rozpore s článkom 30 ods. 7 a 8 tohto zákona;</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zákaz dovozu uvedený v článku 30.a tohto zákona;</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predaj tabaku, tabakových a súvisiacich výrobkov bez povolenia podľa článku 32 tohto zákona.</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Ak Inšpektorát trhu Slovinskej republiky zistí, že sa tabak a tabakové výrobky vyrábajú, predávajú alebo uvádzajú na trh v rozpore s článkami 13 až 20 tohto zákona alebo sa predávajú bez povolenia uvedeného v článku 32 tohto zákona, vydá rozhodnutie zakazujúce ich výrobu, predaj alebo uvádzanie na trh a nariadi ich stiahnutie z výroby alebo predaja.</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Ak Finančná správa Slovinskej republiky zistí, že sa tabak, tabakové a súvisiace výrobky predávajú bez povolenia uvedeného v článku 32 tohto zákona, vydá rozhodnutie zakazujúce ich predaj a nariadi ich stiahnutie z výroby alebo predaja.</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Zdravotný inšpektorát Slovinskej republiky prijme na základe oznámenia uvedeného v článku 26 ods. 12 tohto zákona primerané dočasné opatrenia na ochranu ľudského zdravia, ktoré zahŕňajú zákaz predaja určitého výrobku alebo stiahnutie určitého výrobku z trhu.</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Ak príslušný kontrolný orgán zistí, že sa tabakové alebo súvisiace výrobky vyrábajú, predávajú alebo uvádzajú na trh v rozpore s článkami 26 a 27 tohto zákona alebo bez povolenia uvedeného v článku 32 tohto zákona, vydá rozhodnutie zakazujúce predaj, uvádzanie na trh alebo výrobu týchto výrobkov a nariadi ich stiahnutie z výroby alebo predaja.</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Ak Inšpektorát trhu Slovinskej republiky zistí, že sú tabak, tabakové alebo súvisiace výrobky predmetom sponzorovania alebo reklamy v rozpore s článkom 29 tohto zákona, takéto sponzorovanie alebo reklamu rozhodnutím zakáže. Na účely výkonu rozhodnutia nariadi okamžité odstránenie reklamných materiálov na náklady podnikateľského subjektu.</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Príslušný inšpektor môže pri vykonávaní dohľadu nad zákazom predaja tabaku, tabakových a súvisiacich výrobkov osobám mladším ako 18 rokov spolupracovať s osobou mladšou ako 18 rokov podľa článku 30 ods. 1 tohto zákona. V prípade účasti maloletých osôb sa musí získať predchádzajúci písomný súhlas ich rodičov alebo opatrovníkov.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Štátne a mestské policajné zložky kontrolujú zákaz fajčenia vo všetkých vozidlách v prítomnosti osôb mladších ako 18 rokov, ako sa uvádza v článku 39 ods. 1 tohto zákona.“.</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V článku 42 sa odsek 1 mení a znie takto:</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Právnickej osobe sa uloží pokuta vo výške od 4 000 EUR do 33 000 EUR v prípade:</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ak vyrába, predáva alebo uvádza na trh cigarety, ktoré obsahujú vyšší obsah dechtu, nikotínu a oxidu uhoľnatého, ako je uvedené v článku 7 tohto zákona;</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ak predáva alebo uvádza na trh tabakové výrobky, v prípade ktorých nebola splnená povinnosť nahlasovania zložiek a emisií týchto výrobkov (články 9 a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ak vyrába, uvádza na trh alebo predáva tabakové výrobky s charakteristickou arómou (článok 11) alebo s prídavnými látkami uvedenými v článku 12 ods. 1 a 3 tohto zákona, alebo ak vyrába, predáva alebo uvádza na trh tabakové výrobky, ktoré obsahujú arómy v akýchkoľvek ich zložkách (článok 12 ods.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ak uvádza na trh alebo predáva tabakové výrobky a bezdymové tabakové výrobky, ktoré nespĺňajú podmienky týkajúce sa označovania, balenia, všeobecných varovaní, informačných odkazov a kombinovaných zdravotných varovaní (články 13, 14, 15 a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ak uvádza na trh alebo predáva tabakové výrobky, ktorých označovanie alebo vonkajší obal je v rozpore s ustanoveniami článku 17 tohto zákona;</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ak uvádza na trh alebo predáva balenia cigariet a vonkajší obal cigariet, ktorých vzhľad a obsah je v rozpore s ustanoveniami článku 18 tohto zákona;</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ak uvádza na trh alebo predáva jednotkové balenia tabaku na vlastnoručné zhotovenie cigariet a vonkajší obal tabaku na vlastnoručné zhotovenie cigariet, ktorých vzhľad a obsah je v rozpore s ustanoveniami článku 19 tohto zákona;</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ak uvádza na trh alebo predáva cigarety, ktorých vzhľad je v rozpore s ustanoveniami článku 20 tohto zákona;</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ak jedinečný identifikátor nie je ľahko dostupný (článok 22 ods.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ak neeviduje záznamy všetkých jednotkových balení, ich medzipohyby a konečné množstvo jednotkových balení zo svojho vlastníctva takým spôsobom, ktorý umožňuje jasnú a jednoznačnú identifikáciu a sledovanie všetkých jednotkových balení (článok 22 ods.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ak neuchováva záznamy o všetkých dokončených transakciách (článok 22 ods.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ak neposkytne hospodárskym subjektom zapojeným do obchodu s tabakovými výrobkami, od výrobcu až po posledný hospodársky subjekt, pred prvým predajom na mieste predaja, vrátane dovozcov, skladov a prepravných spoločností, zariadenie na evidenciu tabakových výrobkov alebo ak poskytnuté zariadenie neumožňuje elektronické čítanie a jednoznačnú identifikáciu a sledovanie všetkých jednotkových balení (článok 22 ods.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ak zmení alebo vymaže zaznamenané údaje (článok 22 ods.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ak uvádza na trh alebo predáva tabakové výrobky bez identifikačného označenia alebo bezpečnostného prvku, ak je identifikačné označenie neúplné alebo ak bezpečnostný prvok nespĺňa požadované technické normy (článok 22 ods. 1, 2 a 3 a článok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ak uvádza na trh alebo predáva tabak na orálne použitie (článok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16. ak predáva alebo uvádza na trh nové kategórie tabakových výrobkov v rozpore s článkom 25 tohto zákona;</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ak vyrába, predáva alebo uvádza na trh elektronické cigarety, beznikotínové elektronické cigarety, plniace fľaštičky a beznikotínové plniace fľaštičky v rozpore s článkom 26 ods. 3, 4, 5 a 10 tohto zákona;</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ak vyrába, predáva alebo uvádza na trh elektronické cigarety, beznikotínové elektronické cigarety, plniace fľaštičky a beznikotínové plniace fľaštičky v rozpore s článkom 26 ods. 1, 2, 6 a 11 tohto zákona;</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ak uvádza na trh alebo predáva bylinný výrobok na fajčenie v rozpore s článkom 27 tohto zákona;</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ak nenahlási zložky bylinných výrobkov a zahrievaných bylinných výrobkov určených na fajčenie v súlade s článkom 28 tohto zákona;</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ak finančným darom podporí alebo sponzoruje podujatie, činnosť alebo jednotlivca a pritom priamo alebo nepriamo inzeruje a propaguje tabakové a súvisiace výrobky (článok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ak zobrazuje alebo používa tabak, tabakové a súvisiace výrobky v televízii a v kontexte verejných vystúpení (článok 29 ods.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ak tabak, tabakové a súvisiace výrobky predáva osobám mladším ako 18 rokov, alebo ak nezobrazí zákaz predaja na viditeľnom mieste, alebo ak predá tabak, tabakové a súvisiace výrobky osobe mladšej ako 18 rokov (článok 30 ods. 1 a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ak predáva alebo uvádza na trh tabak, tabakové alebo súvisiace výrobky v rozpore s článkom 30 ods. 3 tohto zákona;</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ak predáva alebo uvádza na trh tabak, tabakové alebo súvisiace výrobky mimo pôvodného obalu výrobcu (článok 30 ods.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ak uvádza na trh alebo uskutočňuje cezhraničný predaj tabaku, tabakových alebo súvisiacich výrobkov na diaľku prostredníctvom internetu, telekomunikácií alebo iných vyvíjajúcich sa technológií (článok 30 ods.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ak vyrába, uvádza na trh alebo uskutočňuje cezhraničný predaj sladkostí, pochutín, hračiek alebo iných predmetov vo forme tabakových alebo súvisiacich výrobkov určených osobám mladším ako 18 rokov (článok 30 ods.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ak dováža výrobky uvedené v článku 11 ods. 1, článku 12 ods. 1, 2 a 3 a článku 24 tohto zákona;</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ak v prevádzkových priestoroch viditeľne nevystavuje svoje povolenie na predaj tabaku, tabakových a súvisiacich výrobkov (článok 34 ods.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ak nezabezpečuje dodržiavanie zákazu fajčenia alebo používania tabaku, tabakových a súvisiacich výrobkov, s výnimkou žuvacieho a šnupavého tabaku, v uzavretých verejných a pracovných priestoroch a v priestoroch, ktoré sa podľa tohto zákona nepovažujú za uzavreté priestory, ak sú súčasťou funkčného pozemku patriaceho k zariadeniam využívaným na výchovné alebo vzdelávacie účely (článok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Odseky 4, 5 a 6 sa menia a znejú takto:</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„(4) Za priestupky uvedené v bodoch 1, 3, </w:t>
      </w:r>
      <w:hyperlink r:id="rId9" w:tgtFrame="_blank" w:tooltip="to EUR-Lex" w:history="1">
        <w:r>
          <w:rPr>
            <w:rFonts w:ascii="Arial" w:hAnsi="Arial"/>
            <w:color w:val="0000EE"/>
            <w:sz w:val="21"/>
            <w:u w:val="single" w:color="0000EE"/>
          </w:rPr>
          <w:t>–15, 17, 19</w:t>
        </w:r>
      </w:hyperlink>
      <w:r>
        <w:rPr>
          <w:rFonts w:ascii="Arial" w:hAnsi="Arial"/>
          <w:sz w:val="21"/>
        </w:rPr>
        <w:t>, 25 a 28 odseku 1 tohto článku sa okrem hlavnej sankcie uloží aj trest konfiškácie tabaku, tabakových a súvisiacich výrobkov, ktoré sú predmetom daného priestupku, a konfiškácie predmetov, ktorými bol priestupok spáchaný. Tiež sa uloží vedľajšia sankcia, ak tabak, tabakové alebo súvisiace výrobky nie sú majetkom páchateľa alebo nie sú vo vlastníctve právnickej osoby. Od konfiškácie predmetu možno upustiť, ak páchateľ preukáže zákonný pôvod tabaku, tabakových alebo súvisiacich výrobkov, alebo ak by uloženie vedľajšej sankcie konfiškácie predmetov daného priestupku bolo zjavne neprimerané závažnosti skutku a jeho dôsledkom.</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Pokuta vo výške 50 000 EUR sa uloží právnickej osobe, samostatne zárobkovo činnej osobe alebo fyzickej osobe vykonávajúcej nezávislú činnosť, ktorí predávajú tabak, tabakové výrobky alebo súvisiace výrobky bez povolenia (článok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Pokuta vo výške 5 000 EUR sa uloží zodpovednej osobe právnickej osoby, zodpovednej osobe samostatne zárobkovo činnej osoby alebo fyzickej osoby vykonávajúcej nezávislú činnosť, ktorí predávajú tabak, tabakové výrobky alebo súvisiace výrobky bez povolenia (článok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článku 43 sa odsek 1 mení a znie takto:</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Fyzickej osobe sa uloží pokuta vo výške od 125 EUR do 5 000 EUR:</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 tabak, tabakové alebo súvisiace výrobky nadobudla v rozpore s článkom 30 tohto zákona;</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 výrobky dováža v rozpore s článkom 30.a ods. 1 alebo 2 tohto zákona;</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 fajčí alebo používa tabak, tabakové alebo súvisiace výrobky na verejnosti alebo na pracoviskách, kde je to zakázané (článok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odsek 2 sa dopĺňajú nové odseky 3 a 4, ktoré znejú takto:</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Fyzickej osobe sa uloží pokuta vo výške od 3 000 EUR do 5 000 EUR:</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 na účely reklamy bezplatne ponúka tabak, tabakové a súvisiace výrobky na verejnom priestranstve alebo vo verejných priestoroch v rozpore s článkom 29 ods. 3 tohto zákona;</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ak predáva alebo uvádza na trh tabak, tabakové alebo súvisiace výrobky v rozpore s článkom 30 ods. 7 tohto zákona.</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Za priestupky uvedené v prvej a druhej zarážke prvého odseku tohto článku a priestupky uvedené v prvej a druhej zarážke predchádzajúceho odseku sa okrem hlavnej sankcie uloží aj konfiškácia tabaku, tabakových alebo súvisiacich výrobkov, ktoré sú predmetom priestupku, a konfiškácia predmetov, ktorými bol priestupok spáchaný. Tiež sa uloží vedľajšia sankcia, ak tabak, tabakové alebo súvisiace výrobky nie sú majetkom páchateľa alebo nie sú v jeho vlastníctve. Od konfiškácie predmetu možno upustiť, ak páchateľ preukáže zákonný pôvod tabaku, tabakových alebo súvisiacich výrobkov, alebo ak by uloženie vedľajšej sankcie konfiškácie predmetov daného priestupku bolo zjavne neprimerané závažnosti skutku a jeho dôsledkom.“.</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Článok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článok 43 sa vkladá nový článok 43.a, ktorý znie takto:</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(uloženie pokuty v zrýchlenom priestupkovom konaní)</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Za priestupky uvedené v tomto zákone možno uložiť pokutu v zrýchlenom konaní vo výške, ktorá je vyššia ako minimálna stanovená pokuta stanovená týmto zákonom.</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PRECHODNÉ A ZÁVEREČNÉ USTANOVENIA</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(harmonizácia akcií)</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Elektronické cigarety, beznikotínové elektronické cigarety, plniace fľaštičky a beznikotínové plniace fľaštičky s arómami sa môžu uvádzať na trh maximálne 12 mesiacov po nadobudnutí účinnosti tohto zákona.</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(Ukončenie postupov)</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Kontrolné a priestupkové konania, ktoré sa začali pred nadobudnutím účinnosti tohto zákona, sa ukončia podľa platných predpisov.</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(podzákonné právne predpisy)</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Minister vydá predpisy uvedené v zmenenom článku 25 ods. 4 zákona a v zmenenom článku 28 ods. 4 zákona do troch mesiacov od nadobudnutia účinnosti tohto zákona.</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Minister zosúladí ustanovenia uvedené v článku 26 ods. 14 zákona do troch mesiacov od nadobudnutia účinnosti tohto zákona s novým bodom 8 odseku 3 a novým odsekom 15 článku 26 tohto zákona.</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Článok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(Ukončenie platnosti a predĺženie uplatňovania existujúcich predpisov)</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Ustanovenia bodu 17 článku 3, štvrtej zarážky odseku 3 a odseku 4 článku 39, článku 40, bodov 8 a 9 odseku 2 a bodov 3 a 4 odseku 6, odseku 14 článku 41, bodu 30 odseku 1 článku 42 a tretej zarážky odseku 1 článku 43 zákona o obmedzení používania tabakových a súvisiacich výrobkov (Úradný vestník Slovinskej republiky, č. 9/17 a 29/17) sa uplatňujú na fajčiarske miestnosti do 31. decembra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Odo dňa nadobudnutia účinnosti tohto zákona sa prestanú uplatňovať pravidlá týkajúce sa podmienok, ktoré musí spĺňať fajčiarska miestnosť (Úradný vestník Slovinskej republiky, č. 52/17), ktoré však možno používať do 31. decembra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Článok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(nadobudnutie účinnosti a uplatňovanie)</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Tento zákon nadobúda účinnosť pätnástym dňom po jeho uverejnení v Úradnom vestníku Slovinskej republiky a uplatňuje sa od tridsiateho dňa po nadobudnutí jeho účinnosti.</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Zákon o obmedzení používania tabakových a súvisiacich výrobkov (Úradný vestník Slovinskej republiky č. 9/17 a 29/17) sa uplatňuje až do nadobudnutia účinnosti tohto zákona.</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Č.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V Ľubľane 28. marca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Podpredseda</w:t>
      </w:r>
      <w:r>
        <w:rPr>
          <w:rFonts w:ascii="Arial" w:hAnsi="Arial"/>
          <w:sz w:val="21"/>
        </w:rPr>
        <w:br/>
        <w:t>Národného zhromaždenia</w:t>
      </w:r>
      <w:r>
        <w:rPr>
          <w:rFonts w:ascii="Arial" w:hAnsi="Arial"/>
          <w:sz w:val="21"/>
        </w:rPr>
        <w:br/>
        <w:t>Slovinskej republiky</w:t>
      </w:r>
      <w:r>
        <w:rPr>
          <w:rFonts w:ascii="Arial" w:hAnsi="Arial"/>
          <w:sz w:val="21"/>
        </w:rPr>
        <w:br/>
        <w:t>Danijel Krivec</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A167A6"/>
    <w:rsid w:val="00A77B3E"/>
    <w:rsid w:val="00BD0734"/>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4596</Words>
  <Characters>26245</Characters>
  <Application>Microsoft Office Word</Application>
  <DocSecurity>0</DocSecurity>
  <Lines>452</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2024-08-14T11:56:00Z</dcterms:created>
  <dcterms:modified xsi:type="dcterms:W3CDTF">2024-08-14T11:56:00Z</dcterms:modified>
</cp:coreProperties>
</file>