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VŠEOBECNÉ USTANOVENIA</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MINISTERSTVO PRE DIGITÁLNU TRANSFORMÁCIU A VEREJNÚ SLUŽBU</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Kráľovský dekrét 444/2024 z 30. apríla, ktorým sa upravujú požiadavky, aby sa používateľ mohol považovať za používateľa osobitného významu služieb platforiem na zdieľanie videí pri vykonávaní článku 94 všeobecného zákona č. 13/2022 zo 7. júla 2022 o audiovizuálnej komunikácii.</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Prijatie všeobecného zákona č. 13/2022 zo 7. júla 2022 o audiovizuálnej komunikácii viedlo k transpozícii smernice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do španielskeho práva.</w:t>
      </w:r>
    </w:p>
    <w:p w14:paraId="1FB0E45D" w14:textId="77777777" w:rsidR="00681F68" w:rsidRDefault="00555CF7">
      <w:pPr>
        <w:pStyle w:val="BodyText"/>
        <w:spacing w:before="5" w:line="249" w:lineRule="auto"/>
        <w:ind w:left="1584" w:right="1581" w:firstLine="340"/>
        <w:jc w:val="both"/>
      </w:pPr>
      <w:r>
        <w:t>Na základe uvedenej smernice bol vytvorený zákon č. 13/2022 zo 7. júla s cieľom prijať aktualizovaný právny rámec v súlade s vývojom, ktorým audiovizuálny trh prešiel v posledných rokoch, a ktorý umožňuje dosiahnuť rovnováhu medzi prístupom k obsahu, ochranou používateľov a hospodárskou súťažou medzi rôznymi poskytovateľmi na trhu so zahrnutím všetkých subjektov, ktoré súťažia o rovnaké publikum, za rovnakých podmienok.</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Dosiahnutie tohto cieľa viedlo k začleneniu poskytovateľov služby platformy na zdieľanie videí do rozsahu pôsobnosti smernice vzhľadom na rastúci význam, ktorý nadobudli pri tvorbe a šírení audiovizuálneho obsahu a audiovizuálnych komerčných oznamov. S týmito službami sú spojené médiá alebo služby sociálnych médií, ktorých základná funkcia umožňuje zdieľanie videí, keďže sa stali sa významným prostriedkom výmeny informácií, zábavy a vzdelávania, najmä prostredníctvom prístupu k programom a videám vytvoreným používateľmi.</w:t>
      </w:r>
    </w:p>
    <w:p w14:paraId="24AF3B82" w14:textId="77777777" w:rsidR="00681F68" w:rsidRDefault="00555CF7">
      <w:pPr>
        <w:pStyle w:val="BodyText"/>
        <w:spacing w:before="6" w:line="249" w:lineRule="auto"/>
        <w:ind w:left="1584" w:right="1582" w:firstLine="340"/>
        <w:jc w:val="both"/>
      </w:pPr>
      <w:r>
        <w:t>V tejto súvislosti zákon č. 13/2022 zo 7. júla 2022 v súlade s ustanoveniami smernice Európskeho parlamentu a Rady (EÚ) 2018/1808 zo 14. novembra 2018 obsahuje v článku 2 ods. 13 vymedzenie služby platformy na zdieľanie videí a v článku 2 ods. 17 vymedzenie jej poskytovateľa. Podobne sa hlava V venuje regulácii poskytovateľov služby platformy na zdieľanie videí stanovením súboru povinností zameraných na zabezpečenie ochrany ich používateľov vo všeobecnosti, a najmä maloletých osôb, pred určitým audiovizuálnym obsahom a audiovizuálnymi komerčnými oznamami.</w:t>
      </w:r>
    </w:p>
    <w:p w14:paraId="718AAE7C" w14:textId="1B46A6C6" w:rsidR="00681F68" w:rsidRDefault="00555CF7">
      <w:pPr>
        <w:pStyle w:val="BodyText"/>
        <w:spacing w:before="8" w:line="249" w:lineRule="auto"/>
        <w:ind w:left="1584" w:right="1581" w:firstLine="340"/>
        <w:jc w:val="both"/>
      </w:pPr>
      <w:r>
        <w:t>Konkrétne sa v článku 88 zákona č. 13/2022 zo 7. júla 2022 poskytovateľom služby platformy na zdieľanie videí ukladá povinnosť prijať opatrenia na ochranu maloletých osôb pred programami, videami vytvorenými používateľmi a audiovizuálnymi komerčnými oznamami, ktoré môžu poškodiť ich telesný, duševný alebo morálny vývoj. Na druhej strane musia títo poskytovatelia prijať opatrenia zamerané na ochranu širokej verejnosti pred programami, videami vytvorenými používateľmi a audiovizuálnymi komerčnými oznamami, ktoré nie sú v súlade s článkom 4 ods. 2 a článkom 4 ods. 4 zákona č. 13/2022 zo 7. júla 2022. Uvedené ochranné opatrenia sú stanovené v článkoch 89, 90 a 91.</w:t>
      </w:r>
    </w:p>
    <w:p w14:paraId="793499DA" w14:textId="77777777" w:rsidR="00681F68" w:rsidRDefault="00555CF7">
      <w:pPr>
        <w:pStyle w:val="BodyText"/>
        <w:spacing w:before="1" w:line="249" w:lineRule="auto"/>
        <w:ind w:left="1584" w:right="1581" w:firstLine="340"/>
        <w:jc w:val="both"/>
      </w:pPr>
      <w:r>
        <w:t xml:space="preserve">Uvedené povinnosti sa vzťahujú aj na médiá alebo služby sociálnych médií v rozsahu, v akom sa na ne môže vzťahovať vymedzenie pojmu „služba platformy na zdieľanie videí“. Jedným z hlavných audiovizuálnych obsahov, ktoré tieto služby ponúkajú, sú videá vytvorené používateľmi a nahrané na platformu uvedenými alebo inými používateľmi. V rámci skupiny používateľov týchto služieb vyniká najmä určitá kategória, ktorá sa bežne </w:t>
      </w:r>
      <w:r>
        <w:lastRenderedPageBreak/>
        <w:t>označuje ako „vlogeri“, „influenceri“ alebo „tvorcovia obsahu“, ktorí majú osobitný význam na audiovizuálnom trhu z hľadiska spotreby a investícií do reklamy, najmä medzi mladším publikom.</w:t>
      </w:r>
    </w:p>
    <w:p w14:paraId="71FF3A40" w14:textId="77777777" w:rsidR="00681F68" w:rsidRDefault="00555CF7">
      <w:pPr>
        <w:pStyle w:val="BodyText"/>
        <w:spacing w:before="8" w:line="249" w:lineRule="auto"/>
        <w:ind w:left="1584" w:right="1582" w:firstLine="340"/>
        <w:jc w:val="both"/>
      </w:pPr>
      <w:r>
        <w:t>Vznik a konsolidácia týchto nových aktérov si preto vyžaduje právny rámec, ktorý odráža pokrok na trhu a ktorý umožňuje dosiahnuť rovnováhu v audiovizuálnom ekosystéme, v ktorom všetky jeho subjekty podliehajú podobným pravidlám. Keďže „influenceri“ vykonávajú svoju činnosť v rámci hospodárskej súťaže s ostatnými aktérmi na audiovizuálnom a reklamnom trhu a majú určité charakteristiky, ktoré sú podobné poskytovateľom audiovizuálnych mediálnych služieb, je preto vhodné v ich prípade uplatňovať súbor povinností porovnateľný s povinnosťami týchto poskytovateľov audiovizuálnych mediálnych služieb.</w:t>
      </w:r>
    </w:p>
    <w:p w14:paraId="676AA567" w14:textId="77777777" w:rsidR="00681F68" w:rsidRDefault="00555CF7">
      <w:pPr>
        <w:pStyle w:val="BodyText"/>
        <w:spacing w:before="6" w:line="249" w:lineRule="auto"/>
        <w:ind w:left="1584" w:right="1582" w:firstLine="340"/>
        <w:jc w:val="both"/>
      </w:pPr>
      <w:r>
        <w:t>Pokrok pri zrovnoprávňovaní „influencerov“ s ostatnými poskytovateľmi audiovizuálnych mediálnych služieb je reakciou na potrebu zabezpečenia dodržiavania základných zásad audiovizuálnej komunikácie a zabezpečenia ochrany širokej verejnosti, a najmä maloletých osôb, pred škodlivým audiovizuálnym obsahom a komerčnými oznamami.</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Pokiaľ ide o „influencerov“, v smernici Európskeho parlamentu a Rady (EÚ) 2018/1808 zo 14. novembra 2018 nie sú tieto osoby výslovne zahrnuté do rozsahu jej pôsobnosti a členské štáty majú možnosť ich regulovať. V tomto ohľade sa v odôvodnení 3 iba odvoláva na to, že „kanály alebo iné audiovizuálne služby, za ktoré je redakčne zodpovedný poskytovateľ, môžu samy osebe predstavovať audiovizuálne mediálne služby, dokonca aj keď sú ponúkané na platforme na zdieľanie videí, pre ktorú je charakteristická absencia redakčnej zodpovednosti“. Skupina európskych regulačných orgánov pre audiovizuálne mediálne služby (ERGA) vydala niekoľko správ o možnosti pripísať „vlogerom“ štatút poskytovateľov audiovizuálnych mediálnych služieb a kritériá, ktoré sa majú dodržiavať pri regulácii ich činnosti.</w:t>
      </w:r>
    </w:p>
    <w:p w14:paraId="5E754024" w14:textId="77777777" w:rsidR="00681F68" w:rsidRDefault="00555CF7">
      <w:pPr>
        <w:pStyle w:val="BodyText"/>
        <w:spacing w:before="10" w:line="249" w:lineRule="auto"/>
        <w:ind w:left="1584" w:right="1581" w:firstLine="340"/>
        <w:jc w:val="both"/>
      </w:pPr>
      <w:r>
        <w:t>V tejto súvislosti niektoré členské štáty zaviedli vo svojom príslušnom vnútroštátnom právnom systéme svoj vlastný právny režim týkajúci sa „influencerov“. Hoci sa rôzne predpisy vo väčšine prípadov odchýlili od zásady považovať „influencerov“ za druh poskytovateľa audiovizuálnych mediálnych služieb, nie sú homogénne, pokiaľ ide o osobitné kritériá na ich posúdenie a povinnosti, ktoré sa na nich vzťahujú.</w:t>
      </w:r>
    </w:p>
    <w:p w14:paraId="532A8C07" w14:textId="495612EE" w:rsidR="00681F68" w:rsidRDefault="00555CF7">
      <w:pPr>
        <w:pStyle w:val="BodyText"/>
        <w:spacing w:before="5" w:line="249" w:lineRule="auto"/>
        <w:ind w:left="1584" w:right="1581" w:firstLine="340"/>
        <w:jc w:val="both"/>
      </w:pPr>
      <w:r>
        <w:t>Vzhľadom na rastúci vplyv týchto subjektov na španielskom, európskom a medzinárodnom audiovizuálnom a reklamnom trhu vo všeobecnosti sa španielsky zákonodarca tiež rozhodol upraviť, nad rámec záväzných ustanovení smernice Európskeho parlamentu a Rady (EÚ) 2018/1808 zo 14. novembra 2018, úlohu „influencerov“ v článku 94 zákona č. 13/2022 zo 7. júla 2022, v ktorom sa označujú ako „používatelia osobitného významu, ktorí využívajú služby platforiem na zdieľanie videí“.</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Španielsky model je založený na asimilácii používateľov osobitného významu ako konkrétneho typu poskytovateľov audiovizuálnych mediálnych služieb. Vzhľadom na povahu služby a jej nové a inovačné prvky však nie sú úplne prispôsobené iným poskytovateľom audiovizuálnych mediálnych služieb, ani sa na nich nevzťahujú všetky ich povinnosti.</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V článku 94 ods. 1 zákona č. 13/2022 zo 7. júla 2022 sa preto používatelia osobitného významu považujú za poskytovateľov audiovizuálnych mediálnych služieb na účely dodržiavania všeobecných zásad poskytovania služby platforiem na zdieľanie videí uvedených v článku 86 uvedeného zákona a dodržiavania povinností týkajúcich sa ochrany maloletých osôb a audiovizuálnych komerčných oznamov stanovených v článku 99 ods. 1 a článku 99 ods. 4 a v oddiele 1 a 2 kapitoly IV hlavy VI uvedeného zákona.</w:t>
      </w:r>
    </w:p>
    <w:p w14:paraId="6BFCC0BF" w14:textId="77777777" w:rsidR="00681F68" w:rsidRDefault="00555CF7">
      <w:pPr>
        <w:pStyle w:val="BodyText"/>
        <w:spacing w:before="6" w:line="249" w:lineRule="auto"/>
        <w:ind w:left="1584" w:right="1582" w:firstLine="340"/>
        <w:jc w:val="both"/>
      </w:pPr>
      <w:r>
        <w:t>Pokiaľ ide o článok 94 ods. 3 zákona č. 13/2022 zo 7. júla 2022, obsahuje zoznam subjektov vylúčených z plnenia povinností stanovených v článku 94 ods. 1, zatiaľ čo v článku 94 ods. 4 sa stanovuje povinnosť používateľov osobitného významu registrovať sa v štátnom registri podľa článku 39 uvedeného zákona.</w:t>
      </w:r>
    </w:p>
    <w:p w14:paraId="5A7B607D" w14:textId="77777777" w:rsidR="00681F68" w:rsidRDefault="00555CF7">
      <w:pPr>
        <w:pStyle w:val="BodyText"/>
        <w:spacing w:before="3" w:line="249" w:lineRule="auto"/>
        <w:ind w:left="1584" w:right="1582" w:firstLine="340"/>
        <w:jc w:val="both"/>
      </w:pPr>
      <w:r>
        <w:t>Na druhej strane sa v článku 94 ods. 2 zákona č. 13/2022 zo 7. júla 2022 stanovujú požiadavky na prípady, keď sa používatelia služieb platforiem na zdieľanie videí považujú za „používateľov osobitného významu“. Pri stanovovaní týchto požiadaviek sa zohľadnili odporúčania obsiahnuté v správach skupiny ERGA, keďže spĺňajú kritériá, ktoré umožňujú ich prispôsobenie poskytovateľom audiovizuálnych mediálnych služieb.</w:t>
      </w:r>
    </w:p>
    <w:p w14:paraId="4A31740D" w14:textId="77777777" w:rsidR="00681F68" w:rsidRDefault="00555CF7">
      <w:pPr>
        <w:pStyle w:val="BodyText"/>
        <w:spacing w:before="5" w:line="249" w:lineRule="auto"/>
        <w:ind w:left="1584" w:right="1582" w:firstLine="340"/>
        <w:jc w:val="both"/>
      </w:pPr>
      <w:r>
        <w:t>Z týchto požiadaviek sa v písmene a) odkazuje na „významný príjem“, ktorý používatelia osobitného významu musia mať pri výkone svojich činností v rámci služieb platforiem na zdieľanie videí. Predmetom písmena c) je publikum, ktoré majú používatelia osobitného významu osloviť na základe svojich činností v týchto službách.</w:t>
      </w:r>
    </w:p>
    <w:p w14:paraId="663DEBFD" w14:textId="77777777" w:rsidR="00681F68" w:rsidRDefault="00555CF7">
      <w:pPr>
        <w:pStyle w:val="BodyText"/>
        <w:spacing w:before="4" w:line="249" w:lineRule="auto"/>
        <w:ind w:left="1584" w:right="1582" w:firstLine="340"/>
        <w:jc w:val="both"/>
      </w:pPr>
      <w:r>
        <w:t>Požiadavky stanovené v článku 94 ods. 2 písm. a) a c) nie sú v tomto ustanovení stanovené. V tejto súvislosti sa v siedmom záverečnom ustanovení zákona č. 13/2022 zo 7. júla 2022 odkazuje na ustanovenia potrebné na vypracovanie a uplatňovanie článku 94. V skutočnosti nadobudnutie účinnosti tohto článku podlieha prijatiu predpisov stanovujúcich tieto požiadavky v súlade so štvrtým odsekom deviateho záverečného ustanovenia zákona č. 13/2022 zo 7. júla 2022.</w:t>
      </w:r>
    </w:p>
    <w:p w14:paraId="70933DDF" w14:textId="77777777" w:rsidR="00681F68" w:rsidRDefault="00555CF7">
      <w:pPr>
        <w:pStyle w:val="BodyText"/>
        <w:spacing w:before="5" w:line="249" w:lineRule="auto"/>
        <w:ind w:left="1584" w:right="1582" w:firstLine="340"/>
        <w:jc w:val="both"/>
      </w:pPr>
      <w:r>
        <w:t>V súlade so siedmym záverečným ustanovením zákona č. 13/2022 zo 7. júla 2022 je teda tento kráľovský dekrét vypracovaný s cieľom stanoviť požiadavky uvedené v článku 94 ods. 2 písm. a) a c), ktorých prijatie má za následok nadobudnutie účinnosti článku 94.</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Pokiaľ ide o štruktúru, kráľovský dekrét pozostáva zo štyroch článkov rozdelených do dvoch kapitol, dodatočného ustanovenia a troch záverečných ustanovení.</w:t>
      </w:r>
    </w:p>
    <w:p w14:paraId="52DF792C" w14:textId="77777777" w:rsidR="00681F68" w:rsidRDefault="00555CF7">
      <w:pPr>
        <w:pStyle w:val="BodyText"/>
        <w:spacing w:before="2" w:line="249" w:lineRule="auto"/>
        <w:ind w:left="1584" w:right="1582" w:firstLine="340"/>
        <w:jc w:val="both"/>
      </w:pPr>
      <w:r>
        <w:t>Kapitola I obsahuje predmet a rozsah pôsobnosti kráľovského dekrétu. V kapitole II sa stanovujú požiadavky na významný príjem a vypočutie stanovené v článku 94 ods. 2 písm. a) a c) zákona č. 13/2022 zo 7. júla 2022.</w:t>
      </w:r>
    </w:p>
    <w:p w14:paraId="62387CA0" w14:textId="77777777" w:rsidR="00681F68" w:rsidRDefault="00555CF7">
      <w:pPr>
        <w:pStyle w:val="BodyText"/>
        <w:spacing w:before="2" w:line="249" w:lineRule="auto"/>
        <w:ind w:left="1584" w:right="1581" w:firstLine="340"/>
        <w:jc w:val="both"/>
      </w:pPr>
      <w:r>
        <w:t>Okrem toho a v súlade s ustanoveniami článku 129 zákona č. 39/2015 z 1. októbra 2015 bol tento kráľovský dekrét vypracovaný v súlade so zásadami nevyhnutnosti, účinnosti, proporcionality, právnej istoty, transparentnosti a efektívnosti.</w:t>
      </w:r>
    </w:p>
    <w:p w14:paraId="2C11F8B1" w14:textId="3DCF6A67" w:rsidR="00681F68" w:rsidRDefault="00555CF7">
      <w:pPr>
        <w:pStyle w:val="BodyText"/>
        <w:spacing w:before="3" w:line="249" w:lineRule="auto"/>
        <w:ind w:left="1584" w:right="1580" w:firstLine="340"/>
        <w:jc w:val="both"/>
      </w:pPr>
      <w:r>
        <w:t>Po prvé, dodržiavajú sa zásady nevyhnutnosti a účinnosti, keďže cieľom regulačnej iniciatívy je zabezpečiť rovnováhu audiovizuálneho trhu vymedzením osobitnej kategórie používateľov služieb zdieľania videí prostredníctvom platformy, ktorá musí spĺňať základné povinnosti ochrany širokej verejnosti, a najmä maloletých osôb, pred audiovizuálnym obsahom a audiovizuálnymi komerčnými oznamami, ktoré sú škodlivé alebo zakázané zákonom č. 13/2022 zo 7. júla 2022. Podobne aj regulácia prostredníctvom kráľovského dekrétu je vhodným nástrojom na zabezpečenie komplexnej a konzistentnej regulácie požiadaviek.</w:t>
      </w:r>
    </w:p>
    <w:p w14:paraId="2E46D771" w14:textId="77777777" w:rsidR="00681F68" w:rsidRPr="003F100B"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Pokiaľ ide o zásadu právnej istoty, kráľovský dekrét je v súlade so zvyškom vnútroštátneho právneho poriadku tým, že spolu so zákonom č. 13/2022 zo 7. júla 2022 predstavuje stabilný, predvídateľný, integrovaný a jasný regulačný rámec, pokiaľ ide o to, aby sa používateľ mohol považovať za používateľa osobitného významu, ako aj povinnosti, ktoré z tejto podmienky vyplývajú, spadajúce do rozsahu pôsobnosti nariadenia.</w:t>
      </w:r>
    </w:p>
    <w:p w14:paraId="67E0400C" w14:textId="77777777" w:rsidR="00681F68" w:rsidRDefault="00555CF7">
      <w:pPr>
        <w:pStyle w:val="BodyText"/>
        <w:spacing w:before="4" w:line="249" w:lineRule="auto"/>
        <w:ind w:left="1584" w:right="1581" w:firstLine="340"/>
        <w:jc w:val="both"/>
      </w:pPr>
      <w:r>
        <w:t xml:space="preserve">Pokiaľ ide o zásadu proporcionality, nariadenie obsahuje pravidlá potrebné na dosiahnutie cieľov odôvodňujúcich jeho prijatie, keďže sa prísne obmedzuje na úpravu požiadaviek, ktoré si ako zákonná požiadavka vyžadujú regulačný vývoj. Realizácia </w:t>
      </w:r>
      <w:r>
        <w:lastRenderedPageBreak/>
        <w:t>uvedených požiadaviek sa vždy riadila starostlivým štúdiom údajov publikovaných špecializovanými webovými sídlami o príjmoch a číslach sledovanosti najznámejších „influencerov“ pôsobiacich v Španielsku na audiovizuálnom aj reklamnom trhu, ktoré môžu byť porovnané s inými poskytovateľmi audiovizuálnych mediálnych služieb.</w:t>
      </w:r>
    </w:p>
    <w:p w14:paraId="2105ED2B" w14:textId="77777777" w:rsidR="00681F68" w:rsidRDefault="00555CF7">
      <w:pPr>
        <w:pStyle w:val="BodyText"/>
        <w:spacing w:before="7" w:line="249" w:lineRule="auto"/>
        <w:ind w:left="1584" w:right="1581" w:firstLine="340"/>
        <w:jc w:val="both"/>
      </w:pPr>
      <w:r>
        <w:t>Pokiaľ ide o zásadu transparentnosti, v dôvodovej správe sa jasne a presne vymedzujú ciele sledované touto regulačnou iniciatívou a jej odôvodnenie. Rozhodnutím Rady ministrov z 5. decembra 2023 sa schválilo, že tento návrh kráľovského dekrétu by sa mal naliehavo spracovať z dôvodu mimoriadnej okolnosti, ako sa stanovuje v článku 27 ods. 1 písm. b) zákona č. 50/1997 z 27. novembra 1997 o vláde. V dôsledku toho sa postup verejnej konzultácie stanovený v článku 26 ods. 2 a článku 27 ods. 2 písm. b) zákona č. 50/1997 z 27. novembra 1997 nebral do úvahy.</w:t>
      </w:r>
    </w:p>
    <w:p w14:paraId="7B68582B" w14:textId="77777777" w:rsidR="00681F68" w:rsidRDefault="00555CF7">
      <w:pPr>
        <w:pStyle w:val="BodyText"/>
        <w:spacing w:before="7" w:line="249" w:lineRule="auto"/>
        <w:ind w:left="1584" w:right="1581" w:firstLine="340"/>
        <w:jc w:val="both"/>
      </w:pPr>
      <w:r>
        <w:t>V súlade s ustanoveniami článku 26 ods. 6 a článku 27 ods. 2 písm. b) zákona č. 50/1997 z 27. novembra 1997 sa uskutočnilo verejné vypočutie audiovizuálneho sektora a autonómnych spoločenstiev s cieľom umožniť im oboznámiť sa s obsahom návrhu predpisu, poskytnúť svoj príspevok a v konečnom dôsledku zlepšiť tento kráľovský dekrét. Okrem toho bola získaná správa od Národnej komisie pre trhy a hospodársku súťaž, Španielskej agentúry na ochranu údajov a Rady spotrebiteľov a používateľov.</w:t>
      </w:r>
    </w:p>
    <w:p w14:paraId="6D0B69BF" w14:textId="77777777" w:rsidR="00681F68" w:rsidRDefault="00555CF7">
      <w:pPr>
        <w:pStyle w:val="BodyText"/>
        <w:spacing w:before="5" w:line="249" w:lineRule="auto"/>
        <w:ind w:left="1584" w:right="1582" w:firstLine="340"/>
        <w:jc w:val="both"/>
      </w:pPr>
      <w:r>
        <w:t>Hoci naliehavé spracovanie znamená opomenutie postupu verejnej konzultácie, adresáti predpisu sa mohli zúčastniť na jeho vypracovaní prostredníctvom postupu verejného vypočutia.</w:t>
      </w:r>
    </w:p>
    <w:p w14:paraId="69E4B59A" w14:textId="77777777" w:rsidR="00681F68" w:rsidRDefault="00555CF7">
      <w:pPr>
        <w:pStyle w:val="BodyText"/>
        <w:spacing w:before="3" w:line="249" w:lineRule="auto"/>
        <w:ind w:left="1584" w:right="1581" w:firstLine="340"/>
        <w:jc w:val="both"/>
      </w:pPr>
      <w:r>
        <w:t>Pokiaľ ide o zásadu efektívnosti, týmto kráľovským dekrétom nevzniká žiadne nové administratívne zaťaženie pre tých, ktorých sa predpis týka. Hoci dodržiavanie požiadaviek na významné príjmy a vypočutie zahŕňa povinnosť zaregistrovať sa v štátnom registri stanovenú v článku 39 ods. 2 písm. g) zákona č. 13/2022 zo 7. júla 2022, toto administratívne zaťaženie už bolo zvažované a riadne posúdené v správe o analýze regulačného vplyvu zodpovedajúcej kráľovskému dekrétu č. 1138/2023 z 19. decembra 2023, ktorým sa upravuje štátny register poskytovateľov audiovizuálnych mediálnych služieb, poskytovateľov služieb platforiem na zdieľanie videí a poskytovateľov služieb agregácie audiovizuálnych mediálnych služieb a postup predchádzajúceho oznámenia o začatí činnosti.</w:t>
      </w:r>
    </w:p>
    <w:p w14:paraId="0617C079" w14:textId="06211280" w:rsidR="00681F68" w:rsidRDefault="00555CF7">
      <w:pPr>
        <w:pStyle w:val="BodyText"/>
        <w:spacing w:before="9" w:line="249" w:lineRule="auto"/>
        <w:ind w:left="1584" w:right="1581" w:firstLine="340"/>
        <w:jc w:val="both"/>
      </w:pPr>
      <w:r>
        <w:t>V priebehu postupu vypracovania tohto kráľovského dekrétu bola v súlade s ustanoveniami článku 26 ods. 5, článku 26 ods. 7 a článku 26 ods. 9 zákona č. 50/1997 z 27. novembra 1997 vyžiadaná správa ministerstiev, ktorých právomoci sa považovali za dotknuté nariadením, ako aj povinné stanovisko Štátnej rady.</w:t>
      </w:r>
    </w:p>
    <w:p w14:paraId="583F882B" w14:textId="77777777" w:rsidR="00681F68" w:rsidRDefault="00555CF7">
      <w:pPr>
        <w:pStyle w:val="BodyText"/>
        <w:spacing w:before="4" w:line="249" w:lineRule="auto"/>
        <w:ind w:left="1584" w:right="1582" w:firstLine="340"/>
        <w:jc w:val="both"/>
      </w:pPr>
      <w:r>
        <w:t>Tento kráľovský dekrét podlieha postupu stanovenému v smernici Európskeho parlamentu a Rady (EÚ) 2015/1535 z 9. septembra 2015, ktorou sa stanovuje postup pri poskytovaní informácií v oblasti technických predpisov a pravidiel vzťahujúcich sa na služby informačnej spoločnosti, ako aj ustanoveniam kráľovského dekrétu 1337/1999 z 31. júla 1999, ktorým sa upravuje predkladanie informácií o technických normách a predpisoch a pravidlách týkajúcich sa služieb informačnej spoločnosti.</w:t>
      </w:r>
    </w:p>
    <w:p w14:paraId="7B359D60" w14:textId="17210F4A" w:rsidR="00681F68" w:rsidRPr="003F100B"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Tento kráľovský dekrét sa vydáva na základe ustanovení článku 149 ods. 1 pododseku 21, ktorý dáva štátu výlučnú právomoc v telekomunikačných záležitostiach a povolenie na regulačný vývoj zákona č. 13/2022 zo 7. júla 2022.</w:t>
      </w:r>
    </w:p>
    <w:p w14:paraId="5F0B5EC9" w14:textId="77777777" w:rsidR="00681F68" w:rsidRDefault="00555CF7">
      <w:pPr>
        <w:pStyle w:val="BodyText"/>
        <w:spacing w:before="3" w:line="249" w:lineRule="auto"/>
        <w:ind w:left="1584" w:right="1582" w:firstLine="340"/>
        <w:jc w:val="both"/>
      </w:pPr>
      <w:r>
        <w:t>Na základe toho sa na návrh ministra pre digitálnu transformáciu a verejnú službu, po dohode so Štátnou radou a po prerokovaní Rady ministrov na jej zasadnutí dňa 30. apríla 2024</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NARIAĎUJE:</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KAPITOLA I</w:t>
      </w:r>
    </w:p>
    <w:p w14:paraId="4DE54A57" w14:textId="77777777" w:rsidR="00681F68" w:rsidRDefault="00555CF7" w:rsidP="00287046">
      <w:pPr>
        <w:pStyle w:val="Heading1"/>
        <w:spacing w:before="180"/>
        <w:ind w:left="1560" w:right="1612"/>
        <w:jc w:val="center"/>
      </w:pPr>
      <w:r>
        <w:t>Všeobecné ustanovenia</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Článok 1</w:t>
      </w:r>
      <w:r>
        <w:rPr>
          <w:sz w:val="20"/>
        </w:rPr>
        <w:tab/>
      </w:r>
      <w:r>
        <w:rPr>
          <w:i/>
          <w:sz w:val="20"/>
        </w:rPr>
        <w:t>Účel</w:t>
      </w:r>
    </w:p>
    <w:p w14:paraId="05EFD4BC" w14:textId="77777777" w:rsidR="00681F68" w:rsidRDefault="00555CF7">
      <w:pPr>
        <w:pStyle w:val="BodyText"/>
        <w:spacing w:before="180" w:line="249" w:lineRule="auto"/>
        <w:ind w:left="1584" w:right="1582" w:firstLine="340"/>
        <w:jc w:val="both"/>
      </w:pPr>
      <w:r>
        <w:t xml:space="preserve">Cieľom tohto kráľovského dekrétu je stanoviť požiadavky uvedené v článku 94 ods. 2 písm. a) a c) všeobecného zákona č. 13/2022 zo 7. júla 2022 o audiovizuálnej komunikácii, pokiaľ ide o používateľa osobitného významu, ktorý využíva služby platforiem na zdieľanie </w:t>
      </w:r>
      <w:r>
        <w:lastRenderedPageBreak/>
        <w:t>videí.</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Článok 2</w:t>
      </w:r>
      <w:r>
        <w:rPr>
          <w:sz w:val="20"/>
        </w:rPr>
        <w:tab/>
      </w:r>
      <w:r>
        <w:rPr>
          <w:i/>
          <w:sz w:val="20"/>
        </w:rPr>
        <w:t>Rozsah pôsobnosti</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Tento kráľovský dekrét sa vzťahuje na používateľov, či už ide o fyzické alebo právnické osoby služieb platforiem na zdieľanie videí, ktoré zároveň spĺňajú požiadavky stanovené v článku 94 ods. 2 zákona č. 13/2022 zo 7. júla 2022. Požiadavky stanovené v písmenách a) a c) tohto ustanovenia sú stanovené v článkoch 3 a 4 kapitoly II.</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V súlade s ustanoveniami článku 94 ods. 3 zákona č. 13/2022 zo 7. júla 2022 sa tento kráľovský dekrét nevzťahuje na subjekty v uvedenom ustanovení za podmienok, ktoré sú v ňom stanovené.</w:t>
      </w:r>
    </w:p>
    <w:p w14:paraId="46B26FBE" w14:textId="77777777" w:rsidR="00681F68" w:rsidRDefault="00555CF7">
      <w:pPr>
        <w:pStyle w:val="BodyText"/>
        <w:spacing w:before="2" w:line="249" w:lineRule="auto"/>
        <w:ind w:left="1584" w:right="1581" w:firstLine="340"/>
        <w:jc w:val="both"/>
      </w:pPr>
      <w:r>
        <w:t>Rovnako sa nevzťahuje na poskytovateľov audiovizuálnych mediálnych služieb zaregistrovaných v prvej časti štátneho registra poskytovateľov audiovizuálnych mediálnych služieb, poskytovateľov služieb platforiem na zdieľanie videí a poskytovateľov služieb agregácie audiovizuálnych mediálnych služieb; v súlade s ustanoveniami článku 9 ods. 1 kráľovského dekrétu č. 1138/2023 z 19. decembra 2023, v súvislosti s programami, audiovizuálnym obsahom a/alebo ich úryvkami, ktoré sú sprístupnené verejnosti v službách platformy na zdieľanie videí.</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KAPITOLA II</w:t>
      </w:r>
    </w:p>
    <w:p w14:paraId="6F6F1A52" w14:textId="77777777" w:rsidR="00681F68" w:rsidRDefault="00555CF7" w:rsidP="00287046">
      <w:pPr>
        <w:pStyle w:val="Heading1"/>
        <w:spacing w:before="180"/>
        <w:ind w:left="1560" w:right="1471"/>
        <w:jc w:val="center"/>
      </w:pPr>
      <w:r>
        <w:t>Požiadavky na významné príjmy a publikum</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Článok 3</w:t>
      </w:r>
      <w:r>
        <w:rPr>
          <w:sz w:val="20"/>
        </w:rPr>
        <w:tab/>
      </w:r>
      <w:r>
        <w:rPr>
          <w:i/>
          <w:sz w:val="20"/>
        </w:rPr>
        <w:t>Významné príjmy</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V súlade s ustanoveniami článku 94 ods. 2 písm. a) zákona č. 13/2022 zo 7. júla 2022 sa za významný príjem považuje hrubý príjem dosiahnutý v predchádzajúcom kalendárnom roku, ktorý sa rovná alebo je vyšší ako 300 000 EUR, výlučne získaný z činnosti používateľov v rámci všetkých služieb platforiem na zdieľanie videí, ktoré využívajú.</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Príjmy oprávnené na určenie významného príjmu sú tieto:</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Príjmy získané tak z peňažnej odmeny, ako aj z naturálií za marketing, predaj alebo organizáciu audiovizuálnych komerčných oznamov sprevádzajúcich audiovizuálny obsah alebo vložených do audiovizuálneho obsahu, za ktorý zodpovedajú používatelia služieb platforiem na zdieľanie videí.</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Príjmy získané používateľmi od poskytovateľov služieb platforiem na zdieľanie videí v dôsledku ich činnosti v rámci týchto služieb.</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Príjmy získané z činnosti používateľov z poplatkov a platieb platených ich publikom za služby platforiem na zdieľanie videí.</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Príjmy z finančných výhod poskytnutých orgánmi verejnej správy a subjektmi bez ohľadu na ich meno a povahu, ktoré súvisia s činnosťou používateľov v rámci služieb platforiem na zdieľanie videí.</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Iné príjmy získané z činnosti používateľov v rámci služieb platforiem na zdieľanie videí, ktoré nie sú uvedené v predchádzajúcich bodoch tohto odseku.</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Článok 4  </w:t>
      </w:r>
      <w:r>
        <w:rPr>
          <w:i/>
          <w:sz w:val="20"/>
        </w:rPr>
        <w:t>Významné publikum</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V súlade s ustanoveniami článku 94 ods. 2 písm. c) zákona č. 13/2022 zo 7. júla 2022 sa služba, za ktorú zodpovedá používateľ, považuje za službu určenú pre významnú časť širokej verejnosti a môže mať na ňu jasný vplyv, ak kumulatívne spĺňa tieto požiadavky:</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Služba dosiahne v určitom okamihu v predchádzajúcom kalendárnom roku počet sledovateľov, ktorý sa rovná alebo je vyšší ako 1 000 000 v rámci jednej služby platforiem na zdieľanie videí; alebo počet sledovateľov, ktorí sa celkovo rovná alebo je vyšší ako 2 000 000, pričom sa zohľadnia všetky služby platforiem na zdieľanie videí, v rámci ktorých používateľ vykonáva svoju činnosť.</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 xml:space="preserve">Vo všetkých službách platforiem na zdieľanie videí, v rámci ktorých používateľ vykonáva svoju činnosť, bolo v predchádzajúcom kalendárnom roku uverejnených alebo </w:t>
      </w:r>
      <w:r>
        <w:rPr>
          <w:sz w:val="20"/>
        </w:rPr>
        <w:lastRenderedPageBreak/>
        <w:t>zdieľaných niekoľko videí v počte 24 alebo viac videí bez ohľadu na ich trvanie.</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Jediné dodatočné ustanovenie </w:t>
      </w:r>
      <w:r>
        <w:rPr>
          <w:i/>
          <w:sz w:val="20"/>
        </w:rPr>
        <w:t>Registrácia používateľov osobitného významu v štátnom registri poskytovateľov audiovizuálnych mediálnych služieb, poskytovateľov služieb platforiem na zdieľanie videí a poskytovateľov služieb agregácie audiovizuálnych mediálnych služieb.</w:t>
      </w:r>
    </w:p>
    <w:p w14:paraId="4A179741" w14:textId="77777777" w:rsidR="00681F68" w:rsidRDefault="00555CF7">
      <w:pPr>
        <w:pStyle w:val="BodyText"/>
        <w:spacing w:before="174" w:line="249" w:lineRule="auto"/>
        <w:ind w:left="1584" w:right="1581" w:firstLine="340"/>
        <w:jc w:val="both"/>
      </w:pPr>
      <w:r>
        <w:t>V súlade s odsekom 2 prvého prechodného ustanovenia kráľovského dekrétu č. 1138/2023 z 19. decembra 2023 majú používatelia služieb platforiem na zdieľanie videí, ktorí spĺňajú požiadavky stanovené v článkoch 3 a 4, dva mesiace od nadobudnutia účinnosti tohto kráľovského dekrétu na predloženie žiadosti o zápis do štátneho registra podľa článku 39 zákona č. 13/2022 zo 7. júla 2022.</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Prvé záverečné ustanovenie</w:t>
      </w:r>
      <w:r>
        <w:rPr>
          <w:sz w:val="20"/>
        </w:rPr>
        <w:tab/>
      </w:r>
      <w:r>
        <w:rPr>
          <w:i/>
          <w:sz w:val="20"/>
        </w:rPr>
        <w:t>Udelenie právomoci</w:t>
      </w:r>
    </w:p>
    <w:p w14:paraId="16E6279A" w14:textId="66273675" w:rsidR="00681F68" w:rsidRDefault="00555CF7">
      <w:pPr>
        <w:pStyle w:val="BodyText"/>
        <w:spacing w:before="181" w:line="249" w:lineRule="auto"/>
        <w:ind w:left="1584" w:right="1582" w:firstLine="340"/>
        <w:jc w:val="both"/>
      </w:pPr>
      <w:r>
        <w:t>Tento kráľovský dekrét sa vydáva na základe výlučnej právomoci štátu v oblasti telekomunikácií, ktorú mu priznáva článok 149 ods. 1 bod 21 španielskej ústavy.</w:t>
      </w:r>
    </w:p>
    <w:p w14:paraId="168A0FB9" w14:textId="77777777" w:rsidR="00681F68" w:rsidRDefault="00555CF7">
      <w:pPr>
        <w:tabs>
          <w:tab w:val="left" w:pos="4107"/>
        </w:tabs>
        <w:spacing w:before="229"/>
        <w:ind w:left="1584"/>
        <w:rPr>
          <w:i/>
          <w:sz w:val="20"/>
        </w:rPr>
      </w:pPr>
      <w:r>
        <w:rPr>
          <w:sz w:val="20"/>
        </w:rPr>
        <w:t>Druhé záverečné ustanovenie</w:t>
      </w:r>
      <w:r>
        <w:rPr>
          <w:sz w:val="20"/>
        </w:rPr>
        <w:tab/>
      </w:r>
      <w:r>
        <w:rPr>
          <w:i/>
          <w:sz w:val="20"/>
        </w:rPr>
        <w:t>Právomoci v oblasti vývoja</w:t>
      </w:r>
    </w:p>
    <w:p w14:paraId="4989D857" w14:textId="77777777" w:rsidR="00681F68" w:rsidRDefault="00555CF7">
      <w:pPr>
        <w:pStyle w:val="BodyText"/>
        <w:spacing w:before="180" w:line="249" w:lineRule="auto"/>
        <w:ind w:left="1584" w:right="1582" w:firstLine="340"/>
        <w:jc w:val="both"/>
      </w:pPr>
      <w:r>
        <w:t>Osoba zodpovedná za ministerstvo pre digitálnu transformáciu a verejnú službu môže vydať ustanovenia týkajúce sa vypracovania, uplatňovania a vykonávania tohto kráľovského dekrétu.</w:t>
      </w:r>
    </w:p>
    <w:p w14:paraId="6E421BBE" w14:textId="77777777" w:rsidR="00681F68" w:rsidRPr="003F100B"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Tretie záverečné ustanovenie</w:t>
      </w:r>
      <w:r>
        <w:rPr>
          <w:sz w:val="20"/>
        </w:rPr>
        <w:tab/>
      </w:r>
      <w:r>
        <w:rPr>
          <w:i/>
          <w:sz w:val="20"/>
        </w:rPr>
        <w:t>Nadobudnutie účinnosti</w:t>
      </w:r>
    </w:p>
    <w:p w14:paraId="488E54FB" w14:textId="77777777" w:rsidR="00681F68" w:rsidRDefault="00555CF7">
      <w:pPr>
        <w:pStyle w:val="BodyText"/>
        <w:spacing w:before="180"/>
        <w:ind w:left="1924"/>
      </w:pPr>
      <w:r>
        <w:t>Tento kráľovský dekrét nadobúda účinnosť dňom nasledujúcim po jeho uverejnení v úradnom vestníku.</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V Madride 30. apríla 2024.</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Minister pre digitálnu transformáciu a verejnú službu,</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5CDC579F" w14:textId="77777777" w:rsidR="00287046" w:rsidRPr="00555CF7" w:rsidRDefault="00287046">
      <w:pPr>
        <w:pStyle w:val="BodyText"/>
      </w:pPr>
    </w:p>
    <w:p w14:paraId="677CCC52" w14:textId="77777777" w:rsidR="00287046" w:rsidRPr="00555CF7" w:rsidRDefault="00287046">
      <w:pPr>
        <w:pStyle w:val="BodyText"/>
      </w:pPr>
    </w:p>
    <w:p w14:paraId="4B5218A3" w14:textId="77777777" w:rsidR="00287046" w:rsidRPr="00555CF7" w:rsidRDefault="00287046">
      <w:pPr>
        <w:pStyle w:val="BodyText"/>
      </w:pPr>
    </w:p>
    <w:p w14:paraId="25ACE0A4" w14:textId="77777777" w:rsidR="00287046" w:rsidRPr="00555CF7" w:rsidRDefault="00287046">
      <w:pPr>
        <w:pStyle w:val="BodyText"/>
      </w:pPr>
    </w:p>
    <w:p w14:paraId="6F5BE9FA" w14:textId="77777777" w:rsidR="00681F68" w:rsidRDefault="00681F68">
      <w:pPr>
        <w:pStyle w:val="BodyText"/>
      </w:pPr>
    </w:p>
    <w:p w14:paraId="342C19DA" w14:textId="729589DA" w:rsidR="00681F68" w:rsidRDefault="00681F68">
      <w:pPr>
        <w:pStyle w:val="BodyText"/>
      </w:pPr>
    </w:p>
    <w:p w14:paraId="6DD66348" w14:textId="77777777" w:rsidR="004964D3" w:rsidRDefault="004964D3">
      <w:pPr>
        <w:pStyle w:val="BodyText"/>
      </w:pPr>
    </w:p>
    <w:p w14:paraId="1AE887C1" w14:textId="77777777" w:rsidR="00681F68" w:rsidRDefault="00681F68">
      <w:pPr>
        <w:pStyle w:val="BodyText"/>
      </w:pPr>
    </w:p>
    <w:p w14:paraId="65ACBC7F" w14:textId="77777777" w:rsidR="00681F68" w:rsidRDefault="00681F68">
      <w:pPr>
        <w:pStyle w:val="BodyText"/>
      </w:pPr>
    </w:p>
    <w:p w14:paraId="2EC8359F" w14:textId="77777777" w:rsidR="00681F68" w:rsidRPr="00555CF7" w:rsidRDefault="00681F68">
      <w:pPr>
        <w:pStyle w:val="BodyText"/>
      </w:pPr>
    </w:p>
    <w:p w14:paraId="7A866902" w14:textId="34B728EA" w:rsidR="00681F68" w:rsidRDefault="003F100B" w:rsidP="003F100B">
      <w:pPr>
        <w:shd w:val="clear" w:color="auto" w:fill="1F497D" w:themeFill="text2"/>
        <w:tabs>
          <w:tab w:val="left" w:pos="3358"/>
          <w:tab w:val="left" w:pos="8011"/>
        </w:tabs>
        <w:spacing w:before="69"/>
      </w:pPr>
      <w:hyperlink r:id="rId11" w:history="1">
        <w:r w:rsidRPr="00A6513C">
          <w:rPr>
            <w:rStyle w:val="Hyperlink"/>
            <w:b/>
            <w:sz w:val="16"/>
          </w:rPr>
          <w:t>https://www.boe.es</w:t>
        </w:r>
      </w:hyperlink>
      <w:r w:rsidR="00555CF7">
        <w:rPr>
          <w:b/>
          <w:color w:val="FFFFFF"/>
          <w:sz w:val="16"/>
        </w:rPr>
        <w:tab/>
      </w:r>
      <w:r w:rsidR="00555CF7">
        <w:rPr>
          <w:b/>
          <w:color w:val="FFFFFF"/>
          <w:sz w:val="20"/>
        </w:rPr>
        <w:t xml:space="preserve">ÚRADNÝ VESTNÍK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BA0C" w14:textId="77777777" w:rsidR="00243185" w:rsidRDefault="00243185">
      <w:r>
        <w:separator/>
      </w:r>
    </w:p>
  </w:endnote>
  <w:endnote w:type="continuationSeparator" w:id="0">
    <w:p w14:paraId="754D17C4" w14:textId="77777777" w:rsidR="00243185" w:rsidRDefault="0024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Overiteľné na webovom sídle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Overiteľné na webovom sídle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Overiteľné na webovom sídle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Overiteľné na webovom sídle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ED24" w14:textId="77777777" w:rsidR="00243185" w:rsidRDefault="00243185">
      <w:r>
        <w:separator/>
      </w:r>
    </w:p>
  </w:footnote>
  <w:footnote w:type="continuationSeparator" w:id="0">
    <w:p w14:paraId="4140AC35" w14:textId="77777777" w:rsidR="00243185" w:rsidRDefault="0024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ÚRADNÝ VESTNÍK</w:t>
    </w:r>
  </w:p>
  <w:p w14:paraId="227450CB" w14:textId="77777777" w:rsidR="00287046" w:rsidRPr="00555CF7" w:rsidRDefault="00287046" w:rsidP="00287046">
    <w:pPr>
      <w:tabs>
        <w:tab w:val="center" w:pos="5670"/>
        <w:tab w:val="center" w:pos="9356"/>
      </w:tabs>
      <w:spacing w:before="13"/>
      <w:ind w:left="142"/>
      <w:rPr>
        <w:b/>
        <w:color w:val="004479"/>
        <w:sz w:val="20"/>
        <w:lang w:val="en-US"/>
      </w:rPr>
    </w:pPr>
  </w:p>
  <w:p w14:paraId="7E9F59A6" w14:textId="77777777" w:rsidR="00287046" w:rsidRPr="00555CF7" w:rsidRDefault="00287046" w:rsidP="00287046">
    <w:pPr>
      <w:tabs>
        <w:tab w:val="center" w:pos="5670"/>
        <w:tab w:val="center" w:pos="9356"/>
      </w:tabs>
      <w:spacing w:before="13"/>
      <w:ind w:left="142"/>
      <w:rPr>
        <w:b/>
        <w:color w:val="004479"/>
        <w:sz w:val="20"/>
        <w:lang w:val="en-US"/>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Č. 106</w:t>
    </w:r>
    <w:r>
      <w:rPr>
        <w:b/>
        <w:sz w:val="20"/>
      </w:rPr>
      <w:tab/>
    </w:r>
    <w:r>
      <w:rPr>
        <w:b/>
        <w:color w:val="004479"/>
        <w:sz w:val="20"/>
      </w:rPr>
      <w:t>Streda 1. mája 2024</w:t>
    </w:r>
    <w:r>
      <w:rPr>
        <w:b/>
        <w:color w:val="004479"/>
        <w:sz w:val="20"/>
      </w:rPr>
      <w:tab/>
      <w:t xml:space="preserve">Odd. I. strana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ÚRADNÝ VESTNÍK</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Č. 106</w:t>
    </w:r>
    <w:r>
      <w:rPr>
        <w:b/>
        <w:sz w:val="20"/>
      </w:rPr>
      <w:tab/>
    </w:r>
    <w:r>
      <w:rPr>
        <w:b/>
        <w:color w:val="004479"/>
        <w:sz w:val="20"/>
      </w:rPr>
      <w:t>Streda 1. mája 2024</w:t>
    </w:r>
    <w:r>
      <w:rPr>
        <w:b/>
        <w:color w:val="004479"/>
        <w:sz w:val="20"/>
      </w:rPr>
      <w:tab/>
      <w:t xml:space="preserve">Odd. I. strana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ÚRADNÝ VESTNÍK</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Č. 106</w:t>
    </w:r>
    <w:r>
      <w:rPr>
        <w:b/>
        <w:sz w:val="20"/>
      </w:rPr>
      <w:tab/>
    </w:r>
    <w:r>
      <w:rPr>
        <w:b/>
        <w:color w:val="004479"/>
        <w:sz w:val="20"/>
      </w:rPr>
      <w:t>Streda 1. mája 2024</w:t>
    </w:r>
    <w:r>
      <w:rPr>
        <w:b/>
        <w:color w:val="004479"/>
        <w:sz w:val="20"/>
      </w:rPr>
      <w:tab/>
      <w:t xml:space="preserve">Odd. I. strana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ÚRADNÝ VESTNÍK</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Č. 106</w:t>
    </w:r>
    <w:r>
      <w:rPr>
        <w:b/>
        <w:sz w:val="20"/>
      </w:rPr>
      <w:tab/>
    </w:r>
    <w:r>
      <w:rPr>
        <w:b/>
        <w:color w:val="004479"/>
        <w:sz w:val="20"/>
      </w:rPr>
      <w:t>Streda 1. mája 2024</w:t>
    </w:r>
    <w:r>
      <w:rPr>
        <w:b/>
        <w:color w:val="004479"/>
        <w:sz w:val="20"/>
      </w:rPr>
      <w:tab/>
      <w:t xml:space="preserve">Odd. I. strana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43185"/>
    <w:rsid w:val="00287046"/>
    <w:rsid w:val="003F100B"/>
    <w:rsid w:val="004964D3"/>
    <w:rsid w:val="00555CF7"/>
    <w:rsid w:val="00681F68"/>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sk-SK"/>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sk-SK"/>
    </w:rPr>
  </w:style>
  <w:style w:type="character" w:styleId="Hyperlink">
    <w:name w:val="Hyperlink"/>
    <w:basedOn w:val="DefaultParagraphFont"/>
    <w:uiPriority w:val="99"/>
    <w:unhideWhenUsed/>
    <w:rsid w:val="003F100B"/>
    <w:rPr>
      <w:color w:val="0000FF" w:themeColor="hyperlink"/>
      <w:u w:val="single"/>
    </w:rPr>
  </w:style>
  <w:style w:type="character" w:styleId="UnresolvedMention">
    <w:name w:val="Unresolved Mention"/>
    <w:basedOn w:val="DefaultParagraphFont"/>
    <w:uiPriority w:val="99"/>
    <w:semiHidden/>
    <w:unhideWhenUsed/>
    <w:rsid w:val="003F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2738</Words>
  <Characters>16625</Characters>
  <Application>Microsoft Office Word</Application>
  <DocSecurity>0</DocSecurity>
  <Lines>325</Lines>
  <Paragraphs>87</Paragraphs>
  <ScaleCrop>false</ScaleCrop>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3</cp:revision>
  <dcterms:created xsi:type="dcterms:W3CDTF">2024-06-11T06:52:00Z</dcterms:created>
  <dcterms:modified xsi:type="dcterms:W3CDTF">2024-06-11T06:52:00Z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