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BENDROSIOS NUOSTATOS</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ŽEMĖS ŪKIO, ŽUVININKYSTĖS IR MAISTO MINISTERIJA</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2024 m. rugpjūčio 27 d. Karaliaus dekretas Nr. 840/2024, kuriuo iš dalies keičiamas 2022 m. gruodžio 27 d. Karaliaus dekretas Nr. 1051/2022, kuriuo nustatomos tvarios mitybos žemės ūkio paskirties dirvožemyje taisyklės.</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2022 m. gruodžio 27 d. Karaliaus dekretu Nr. 1051/2022, kuriuo nustatomos tvarios mitybos žemės ūkio paskirties dirvožemyje taisyklės, nustatomos tam tikros pagrindinės racionalaus pasėlių tręšimo taisyklės, taikant minimalią gerąją žemės ūkio praktiką, į kurią reikia atsižvelgti naudojant maisto medžiagas žemės ūkio paskirties dirvožemyje. Be to, sukuriamas bendrasis tręšiamųjų produktų gamintojų ir kitų ekonominės veiklos vykdytojų registras, kurio dvejopas tikslas – gerinti rinkos priežiūrą, laikantis 2019 m. birželio 5 d. Europos Parlamento ir Tarybos reglamento (ES) 2019/1009, kuriuo nustatomos ES tręšiamųjų produktų tiekimo rinkai taisyklės, 2013 m. birželio 26 d. Karaliaus dekreto Nr. 506/2013 dėl tręšiamųjų produktų ir 2019 m. birželio 20 d. Europos Parlamento ir Tarybos reglamento (ES) 2019/1020 dėl rinkos priežiūros ir gaminių atitikties nuostatų, kartu palengvinant duomenų rinkimo įgyvendinimą, siekiant pagerinti dėl tręšiamųjų produktų naudojimo į orą išmetamo teršalų kiekio apskaičiavimą. Be kitų klausimų, šiuo Karaliaus dekretu reglamentuojama patarėjo tręšimo klausimais profesija, kuri pagal Ispanijos Konstitucijos 36 straipsnį nėra reglamentuojamoji profesija.</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Praėjus daugiau nei metams nuo šio reglamento taikymo, metas palengvinti tam tikrų techninių aspektų įgyvendinimą, padidinti suderinamumą su kitais sektorių reglamentais, pvz., 2022 m. balandžio 8 d. Įstatymu 7/2022 dėl atliekų ir užteršto dirvožemio žiedinei ekonomikai arba sektorių regioninėmis nuostatomis, ir paaiškinti neaiškias formuluotes. Šiuo tikslu iš dalies keičiamos nuostatos, susijusios su ūkio registru, tręšimo planu ir nuostatomis, kuriomis sudaromos palankesnės sąlygos naudoti mėšlą ir organines trąšas.</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Taigi įtrauktos tam tikros paskatos naudotis skaitmeniniu ūkių registru, nes jis nėra privalomas, o tręšimo plane pateikta informacija, kuri turi būti įtraukta į ūkių registrą, yra išsami, be kita ko, nurodant, kad vienas iš pagrindinių aspektų yra dozės nustatymas.</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Nustatomos naujos ir geriau parengtos išmetamo amoniako kiekio mažinimo priemonės ir atsižvelgiama į kitas išplovimo rizikos mažinimo technologijas.</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Siekiant palengvinti mėšlo, trąšų ir kitų organinių medžiagų naudojimą, sušvelninamos nuostatos dėl krovimo į krūvas arba naudojimo, susijusios su laidojimo laiku, nukrypti leidžiančiomis nuostatomis ir naudojimo laikotarpiais. Tuo pat metu į priimtinų atliekų sąrašą įtraukiamos naujos atliekos, jų reikalavimai keičiami atsižvelgiant į rinką ir išlaikomi saugos bei agronominio veiksmingumo kriterijai.</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Šis Karaliaus dekretas parengtas vadovaujantis gero reglamentavimo principais, nustatytais 2015 m. spalio 1 d. Įstatymo Nr. 39/2015 dėl viešojo administravimo bendros administracinės procedūros 129 straipsnyje. Remiantis būtinumo ir veiksmingumo principais, projektas pagrįstas būtinybe geriau taikyti Europos Sąjungos reglamentus Ispanijoje, o šis reglamentas yra tinkamiausia priemonė šiam tikslui pasiekti, nes privaloma, kad reglamentas būtų numatytas pagrindiniame reglamente. Jis taip pat atitinka proporcingumo principą ir tikslą apriboti reglamentavimą iki būtino minimumo, kad būtų sumažintas reglamentavimo intensyvumas. Savo ruožtu teisinio saugumo principas užtikrinamas į bendrąją nuostatą įtraukiant naujas nuostatas, atitinkančias likusią teisės sistemą. Be to, vadovaujantis skaidrumo principu, rengiant reglamentą konsultuotasi su atitinkamiems sektoriams atstovaujančiais subjektais, taip pat atlikta viešo svarstymo ir visuomenės informavimo procedūra. Galiausiai laikoma, kad veiksmingumo principas </w:t>
      </w:r>
      <w:r>
        <w:rPr>
          <w:rStyle w:val="BodyTextChar"/>
          <w:sz w:val="20"/>
        </w:rPr>
        <w:lastRenderedPageBreak/>
        <w:t>įvykdytas, nes, palyginti su dabartiniu reglamentu, neužkraunama jokios naujos administracinės naštos.</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Šio Karaliaus dekreto nuostatos yra pagrindinis reglamentas ir jos priimtos remiantis Ispanijos Konstitucijos 149 straipsnio 1 dalies 13, 16 ir 23 taisyklėmis, pagal kurias valstybei suteikiama išimtinė kompetencija spręsti klausimus, susijusius atitinkamai su bendro ekonominės veiklos planavimo pagrindais ir koordinavimu, sveikatos priežiūros pagrindais ir bendru koordinavimu, taip pat pagrindiniais teisės aktais dėl aplinkos apsaugos, nepažeidžiant autonominių sričių įgaliojimų nustatyti papildomas apsaugos taisykles.</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Šis reglamentas priimamas pagal 2022 m. gruodžio 23 d. Įstatymo Nr. 30/2022, kuriuo reglamentuojama bendros žemės ūkio politikos valdymo sistema ir susiję klausimai, šešioliktosios baigiamosios nuostatos nuostatas.</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Reglamentas pateiktas konsultuojantis su autonominėmis sritimis ir Seutos bei Meliljos miestais, remiantis 2015 m. spalio 1 d. Įstatymo Nr. 40/2015 dėl viešojo sektoriaus teisinio režimo 3 straipsnio 1 dalies k punktu nustatyta bendra viešojo administravimo institucijų bendradarbiavimo pareiga.</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Jam taip pat buvo taikoma informavimo apie techninius standartus ir reglamentus procedūra, numatyta 2015 m. rugsėjo 9 d. Europos Parlamento ir Tarybos direktyvoje (ES) 2015/1535, kuria nustatoma informacijos apie techninius reglamentus ir informacinės visuomenės paslaugų taisykles teikimo tvarka, reglamentuojama 1999 m. liepos 31 d. Karaliaus dekretu Nr. 1337/1999, kuriuo reglamentuojamas informacijos apie techninius standartus, reglamentus ir informacinės visuomenės paslaugų taisykles perdavimas.</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Atsižvelgiant į tai, kas išdėstyta pirmiau, Žemės ūkio, žuvininkystės ir maisto ministro siūlymu, pritarus Valstybės Tarybai ir Ministrų Tarybai apsvarsčius 2024 m. rugpjūčio 27 d. posėdyje,</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SKELBIU:</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Vienintelis straipsnis. </w:t>
      </w:r>
      <w:r>
        <w:rPr>
          <w:rStyle w:val="BodyTextChar"/>
          <w:i/>
          <w:sz w:val="20"/>
        </w:rPr>
        <w:t>2022 m. gruodžio 27 d. Karaliaus dekreto Nr. 1051/2022, kuriuo nustatomos tvarios mitybos žemės ūkio paskirties dirvožemyje taisyklės, dalinis pakeitimas.</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2022 m. gruodžio 27 d. Karaliaus dekretas Nr. 1051/2022, kuriuo nustatomos tvarios mitybos žemės ūkio paskirties dirvožemyje taisyklės, iš dalies keičiamas taip:</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Pirma dalis. 3 straipsnio d punktas išdėstomas taip:</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kompostas – medžiaga, gauta aerobiniu ir termofiliniu biologiniu būdu apdorojant atskirai surinktas biologiškai skaidžias atliekas, kurios, gautos aerobinio kompostavimo būdu pagal 2019 m. birželio 5 d. Europos Parlamento ir Tarybos reglamento (ES) 2019/1009 II priedo 3 sudedamųjų medžiagų kategorijos (SMK 3) reikalavimus, pasiekia atliekų nebelaikymo atliekomis statusą, jei atitinka ir gaminio reglamentų reikalavimus.“</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Antra dalis. 5 straipsnio a punktas išdėstomas taip:</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ši informacija apie 6 straipsnyje nurodytą tręšimo planą, kai jį privaloma parengti, ūkio metų pradžioje: numatomas derlius, ankstesni pasėliai,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ir K</w:t>
      </w:r>
      <w:r>
        <w:rPr>
          <w:rStyle w:val="BodyTextChar"/>
          <w:sz w:val="20"/>
          <w:vertAlign w:val="subscript"/>
        </w:rPr>
        <w:t>2</w:t>
      </w:r>
      <w:r>
        <w:rPr>
          <w:rStyle w:val="BodyTextChar"/>
          <w:sz w:val="20"/>
        </w:rPr>
        <w:t>O reikalavimai ir plano parengimo data.“</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Trečia dalis. 6 straipsnio 4 dalis išdėstoma taip:</w:t>
      </w:r>
    </w:p>
    <w:p w14:paraId="71A37E88" w14:textId="77777777" w:rsidR="00503C92" w:rsidRPr="00F122A6" w:rsidRDefault="0037644B" w:rsidP="00EE0D48">
      <w:pPr>
        <w:pStyle w:val="BodyText"/>
        <w:ind w:left="1560" w:right="1830"/>
        <w:jc w:val="both"/>
        <w:rPr>
          <w:sz w:val="20"/>
        </w:rPr>
      </w:pPr>
      <w:r>
        <w:rPr>
          <w:rStyle w:val="BodyTextChar"/>
          <w:sz w:val="20"/>
        </w:rPr>
        <w:t xml:space="preserve">„4. Plane nurodoma rekomenduojama įvairių maisto medžiagų dozė, laikas, kuriuo jos turi būti naudojamos, taip pat trąšų ar medžiagos tipas, naudojimo metodas ir </w:t>
      </w:r>
      <w:r>
        <w:rPr>
          <w:rStyle w:val="BodyTextChar"/>
          <w:sz w:val="20"/>
        </w:rPr>
        <w:lastRenderedPageBreak/>
        <w:t>paskirstymo mašinos.“</w:t>
      </w:r>
    </w:p>
    <w:p w14:paraId="283A1B19" w14:textId="77777777" w:rsidR="00503C92" w:rsidRPr="00F122A6" w:rsidRDefault="0037644B" w:rsidP="00EE0D48">
      <w:pPr>
        <w:pStyle w:val="BodyText"/>
        <w:ind w:left="1560" w:right="1830"/>
        <w:jc w:val="both"/>
        <w:rPr>
          <w:sz w:val="20"/>
        </w:rPr>
      </w:pPr>
      <w:r>
        <w:rPr>
          <w:rStyle w:val="BodyTextChar"/>
          <w:sz w:val="20"/>
        </w:rPr>
        <w:t>Ketvirta dalis. 9 straipsnio 2 dalies g punktas išdėstomas taip:</w:t>
      </w:r>
    </w:p>
    <w:p w14:paraId="582E52F1" w14:textId="77777777" w:rsidR="00503C92" w:rsidRPr="00F122A6" w:rsidRDefault="0037644B" w:rsidP="00EE0D48">
      <w:pPr>
        <w:pStyle w:val="BodyText"/>
        <w:ind w:left="1560" w:right="1830"/>
        <w:jc w:val="both"/>
        <w:rPr>
          <w:sz w:val="20"/>
        </w:rPr>
      </w:pPr>
      <w:r>
        <w:rPr>
          <w:rStyle w:val="BodyTextChar"/>
          <w:sz w:val="20"/>
        </w:rPr>
        <w:t>„g) krūvos aptvaruose paprastai negali likti ilgiau kaip 10 dienų. Jei sukrauta medžiaga kompostuojama arba virškinama, šis laikotarpis gali būti pratęstas iki 20 dienų. Aptvarams, į kuriuos mašinos negali patekti dėl kritulių, ši prievolė netaikoma, kol ši aplinkybė neišnyks.“</w:t>
      </w:r>
    </w:p>
    <w:p w14:paraId="0430BE9F" w14:textId="77777777" w:rsidR="00503C92" w:rsidRPr="00F122A6" w:rsidRDefault="0037644B" w:rsidP="00EE0D48">
      <w:pPr>
        <w:pStyle w:val="BodyText"/>
        <w:ind w:left="1560" w:right="1830"/>
        <w:jc w:val="both"/>
        <w:rPr>
          <w:sz w:val="20"/>
        </w:rPr>
      </w:pPr>
      <w:r>
        <w:rPr>
          <w:rStyle w:val="BodyTextChar"/>
          <w:sz w:val="20"/>
        </w:rPr>
        <w:t>Penkta dalis. 10 straipsnio 2 dalis ir 10 straipsnio 3 dalies pirma ir paskutinė pastraipos išdėstomos taip:</w:t>
      </w:r>
    </w:p>
    <w:p w14:paraId="5D0D8FC9" w14:textId="77777777" w:rsidR="00503C92" w:rsidRPr="00F122A6" w:rsidRDefault="0037644B" w:rsidP="00EE0D48">
      <w:pPr>
        <w:pStyle w:val="BodyText"/>
        <w:spacing w:after="0"/>
        <w:ind w:left="1560" w:right="1830"/>
        <w:jc w:val="both"/>
        <w:rPr>
          <w:sz w:val="20"/>
        </w:rPr>
      </w:pPr>
      <w:r>
        <w:rPr>
          <w:rStyle w:val="BodyTextChar"/>
          <w:sz w:val="20"/>
        </w:rPr>
        <w:t>„2. Draudžiama naudoti kitas organines arba organines-mineralines medžiagas, įskaitant atliekas, naudojant plokščių, ventiliatorių ir patrankų sistemas, jei šių medžiagų drėgnis yra ne mažesnis kaip 90 %, o amoniakinio azoto kiekis jose viršija 0,1 % šviežios medžiagos.“</w:t>
      </w:r>
    </w:p>
    <w:p w14:paraId="6C51EA6F" w14:textId="77777777" w:rsidR="00503C92" w:rsidRPr="00F122A6" w:rsidRDefault="0037644B" w:rsidP="00EE0D48">
      <w:pPr>
        <w:pStyle w:val="BodyText"/>
        <w:spacing w:after="0"/>
        <w:ind w:left="1560" w:right="1830"/>
        <w:jc w:val="both"/>
        <w:rPr>
          <w:sz w:val="20"/>
        </w:rPr>
      </w:pPr>
      <w:r>
        <w:rPr>
          <w:rStyle w:val="BodyTextChar"/>
          <w:sz w:val="20"/>
        </w:rPr>
        <w:t>„3. „Mėšlas ir organiniai arba organiniai-mineraliniai produktai ar medžiagos, įskaitant atliekas, turi būti užkasti kuo greičiau ir visada per pirmąsias 24 valandas, naudojant verstuvinį plūgą, kirstuvinį plūgą, rotacinį plūgą arba įrangą, kuria užtikrinamas lygiavertis darbas, išskyrus atvejus, kai taikoma viena iš šių aplinkybių:“</w:t>
      </w:r>
    </w:p>
    <w:p w14:paraId="1D9B8B0E" w14:textId="77777777" w:rsidR="00503C92" w:rsidRPr="00F122A6" w:rsidRDefault="0037644B" w:rsidP="00EE0D48">
      <w:pPr>
        <w:pStyle w:val="BodyText"/>
        <w:ind w:left="1560" w:right="1830"/>
        <w:jc w:val="both"/>
        <w:rPr>
          <w:sz w:val="20"/>
        </w:rPr>
      </w:pPr>
      <w:r>
        <w:rPr>
          <w:rStyle w:val="BodyTextChar"/>
          <w:sz w:val="20"/>
        </w:rPr>
        <w:t>„Kompetentingos autonominių sričių institucijos, atsižvelgdamos į savo teritorijų agroklimatines savybes ir naudojamos medžiagos tipą, gali nustatyti ne ilgesnį kaip 24 valandų terminą šioms medžiagoms užkasti, kai tai privaloma.“</w:t>
      </w:r>
    </w:p>
    <w:p w14:paraId="73324CC2" w14:textId="77777777" w:rsidR="00503C92" w:rsidRPr="00F122A6" w:rsidRDefault="0037644B" w:rsidP="00EE0D48">
      <w:pPr>
        <w:pStyle w:val="BodyText"/>
        <w:ind w:left="1560" w:right="1830"/>
        <w:jc w:val="both"/>
        <w:rPr>
          <w:sz w:val="20"/>
        </w:rPr>
      </w:pPr>
      <w:r>
        <w:rPr>
          <w:rStyle w:val="BodyTextChar"/>
          <w:sz w:val="20"/>
        </w:rPr>
        <w:t>Šešta dalis. 12 straipsnio 2, 3 ir 4 dalys išdėstomos taip:</w:t>
      </w:r>
    </w:p>
    <w:p w14:paraId="6BB7A2EA" w14:textId="77777777" w:rsidR="00503C92" w:rsidRPr="00F122A6" w:rsidRDefault="0037644B" w:rsidP="00EE0D48">
      <w:pPr>
        <w:pStyle w:val="BodyText"/>
        <w:spacing w:after="0"/>
        <w:ind w:left="1560" w:right="1830"/>
        <w:jc w:val="both"/>
        <w:rPr>
          <w:sz w:val="20"/>
        </w:rPr>
      </w:pPr>
      <w:r>
        <w:rPr>
          <w:rStyle w:val="BodyTextChar"/>
          <w:sz w:val="20"/>
        </w:rPr>
        <w:t>„2. Kiek įmanoma, atsižvelgiant į dirvožemio, klimato ir pasėlių savybes, skatinama naudoti tręšiamuosius produktus, dėl kurių išmetama mažiau amoniako ir šiltnamio efektą sukeliančių dujų arba mažinama nitratų išplovimo rizika.</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Kai naudojamas karbamidas arba karbamido azoto tirpalai, bent vienas iš V priedo B dalyje išvardytų metodų, bet kuris kitas metodas, kurio panašus efektyvumas buvo įrodytas išmetamo amoniako kiekio mažinimo metu arba tvarkant skaitmenį ūkio registrą, įgyvendinamas nereikalaujant to daryti pagal kitas šio Karaliaus dekreto nuostatas.</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Jei per vienus metus nustatoma, kad azotas, tiekiamas karbamidu ir karbamido azoto tirpalais, viršija 30 % viso azoto kiekio, pateikto rinkai nacionaliniu lygmeniu, kitą sezoną ūkiai, kuriuose daugiau kaip 20 % savo azoto poreikių patenkina karbamidu arba karbamido azoto tirpalais, pasirenka iš V priedo B dalyje nurodytų metodų, kuriais užtikrinamas, kad išmetamųjų teršalų kiekis būtų sumažintas bent 30 %, palyginti su pamatiniu metodu, remiantis Jungtinių Tautų Europos ekonomikos komisijos (UNECE) Reaktyviojo azoto kiekio mažinimo darbo grupės parengtomis gairėmis „Amoniako kiekio mažinimo galimybės“. Šiuo tikslu Žemės ūkio produkcijos ir rinkų generalinio direktorato sprendimu kasmet skelbiamas karbamido ir karbamido azoto tirpalų pavidalu parduodamo azoto kiekis, išreikštas bendro kiekio dalimi. Jei Ekologinės pertvarkos ir demografinio iššūkio ministerija nustato nacionalinius šių metodų mažinimo koeficientus, jie pakeičia pirmiau minėtose UNECE gairėse nustatytus koeficientus.“</w:t>
      </w:r>
    </w:p>
    <w:p w14:paraId="696818E4" w14:textId="77777777" w:rsidR="00503C92" w:rsidRPr="00F122A6" w:rsidRDefault="0037644B" w:rsidP="00EE0D48">
      <w:pPr>
        <w:pStyle w:val="BodyText"/>
        <w:ind w:left="1560" w:right="1830"/>
        <w:jc w:val="both"/>
        <w:rPr>
          <w:sz w:val="20"/>
        </w:rPr>
      </w:pPr>
      <w:r>
        <w:rPr>
          <w:rStyle w:val="BodyTextChar"/>
          <w:sz w:val="20"/>
        </w:rPr>
        <w:t>Septinta dalis. 15 straipsnio 1 dalis pervardijama ir įterpiama ši nauja 6 dalis:</w:t>
      </w:r>
    </w:p>
    <w:p w14:paraId="598FC1FC" w14:textId="77777777" w:rsidR="00503C92" w:rsidRPr="00F122A6" w:rsidRDefault="0037644B" w:rsidP="00EE0D48">
      <w:pPr>
        <w:pStyle w:val="BodyText"/>
        <w:spacing w:after="0"/>
        <w:ind w:left="1560" w:right="1830"/>
        <w:jc w:val="both"/>
        <w:rPr>
          <w:sz w:val="20"/>
        </w:rPr>
      </w:pPr>
      <w:r>
        <w:rPr>
          <w:rStyle w:val="BodyTextChar"/>
          <w:sz w:val="20"/>
        </w:rPr>
        <w:t>„1. Ankstesniame straipsnyje nurodytos medžiagos, kai jos naudojamos kaip dirvožemio gerinimo medžiagos, naudojamos tik nedirbamam dirvožemiui, o kai jos naudojamos sumedėjusiose plantacijose arba daugiamečiams lauko augalams, pavyzdžiui, bananams ir papajoms, tai daroma tiesiai į dirvožemį ir iki ramybės periodo žiemą pabaigos. Daugiamečių ganyklų atveju jos gali būti naudojamos gavus autonominės srities leidimą. Naudojant jas kaip trąšas, jei jos naudojamos žemėje, kurioje yra pasodinti augalai, jų maisto medžiagos neturi liestis su maistui skirta augalo dalimi.“</w:t>
      </w:r>
    </w:p>
    <w:p w14:paraId="7B11D49C" w14:textId="77777777" w:rsidR="00503C92" w:rsidRPr="00F122A6" w:rsidRDefault="0037644B" w:rsidP="00EE0D48">
      <w:pPr>
        <w:pStyle w:val="BodyText"/>
        <w:ind w:left="1560" w:right="1830"/>
        <w:jc w:val="both"/>
        <w:rPr>
          <w:sz w:val="20"/>
        </w:rPr>
      </w:pPr>
      <w:r>
        <w:rPr>
          <w:rStyle w:val="BodyTextChar"/>
          <w:sz w:val="20"/>
        </w:rPr>
        <w:t xml:space="preserve">„6. Autonominėse srityse, kuriose prieš priimant šioje taisyklėje numatytą reglamentą </w:t>
      </w:r>
      <w:r>
        <w:rPr>
          <w:rStyle w:val="BodyTextChar"/>
          <w:sz w:val="20"/>
        </w:rPr>
        <w:lastRenderedPageBreak/>
        <w:t>nebuvo taikomi jokie teisės aktai, skystos utilizuojamos atliekos, išskyrus dumblą, kurios naudojamos pasėliams aprūpinti maisto medžiagomis, naudojamos ne trumpiau kaip du mėnesius nuo panaudojimo iki derliaus nuėmimo. Tačiau šis laikotarpis gali būti sutrumpintas iki 21 dienos šiais atvejais:</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derlius nėra skirtas vartoti žmonėms ar gyvūnams; arba</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auginimo forma arba medžiagos naudojimo sistema užtikrinama, kad atliekos nesiliestų su valgomosiomis pasėlių dalimis.“</w:t>
      </w:r>
    </w:p>
    <w:p w14:paraId="5D11DE93" w14:textId="77777777" w:rsidR="00503C92" w:rsidRPr="00F122A6" w:rsidRDefault="0037644B" w:rsidP="00EE0D48">
      <w:pPr>
        <w:pStyle w:val="BodyText"/>
        <w:ind w:left="1560" w:right="1830"/>
        <w:jc w:val="both"/>
        <w:rPr>
          <w:sz w:val="20"/>
        </w:rPr>
      </w:pPr>
      <w:r>
        <w:rPr>
          <w:rStyle w:val="BodyTextChar"/>
          <w:sz w:val="20"/>
        </w:rPr>
        <w:t>Aštunta dalis. 20 straipsnio pirma pastraipa išdėstoma taip:</w:t>
      </w:r>
    </w:p>
    <w:p w14:paraId="1194A18B" w14:textId="77777777" w:rsidR="00503C92" w:rsidRPr="00F122A6" w:rsidRDefault="0037644B" w:rsidP="00EE0D48">
      <w:pPr>
        <w:pStyle w:val="BodyText"/>
        <w:ind w:left="1560" w:right="1830"/>
        <w:jc w:val="both"/>
        <w:rPr>
          <w:sz w:val="20"/>
        </w:rPr>
      </w:pPr>
      <w:r>
        <w:rPr>
          <w:rStyle w:val="BodyTextChar"/>
          <w:sz w:val="20"/>
        </w:rPr>
        <w:t>„Šiame Karaliaus dekrete nurodytus patarimus dėl įvairių tręšimo aspektų teikia technikas, galintis įrodyti savo patarėjo tręšimo klausimais statusą pagal 21 straipsnyje nustatytus reikalavimus. Tačiau, kai tai numato autonominės srities kompetentinga institucija, konsultavimo įpareigojimai gali būti įvykdyti, jei valdos savininkas naudoja tręšimo rekomendacijų programinę įrangą, patvirtintą tos kompetentingos institucijos, laikantis III priedo III dalyje nustatytų būtiniausių reikalavimų, su sąlyga, kad savininkas tvarko skaitmeninį ūkio registrą.“</w:t>
      </w:r>
    </w:p>
    <w:p w14:paraId="0E0619CE" w14:textId="77777777" w:rsidR="00503C92" w:rsidRPr="00F122A6" w:rsidRDefault="0037644B" w:rsidP="00EE0D48">
      <w:pPr>
        <w:pStyle w:val="BodyText"/>
        <w:spacing w:after="180"/>
        <w:ind w:left="1560" w:right="1830"/>
        <w:jc w:val="both"/>
        <w:rPr>
          <w:sz w:val="20"/>
        </w:rPr>
      </w:pPr>
      <w:r>
        <w:rPr>
          <w:rStyle w:val="BodyTextChar"/>
          <w:sz w:val="20"/>
        </w:rPr>
        <w:t>Devinta dalis. Vienintelė pereinamojo laikotarpio nuostata išdėstoma taip:</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„Vienintelė pereinamojo laikotarpio nuostata. </w:t>
      </w:r>
      <w:r>
        <w:rPr>
          <w:rStyle w:val="BodyTextChar"/>
          <w:i/>
          <w:sz w:val="20"/>
        </w:rPr>
        <w:t>Atliekų panaudojimas vykdant operaciją R1001 „Atliekų naudojimas žemės ūkio paskirties dirvožemiuose ir sodininkystėje“.</w:t>
      </w:r>
    </w:p>
    <w:p w14:paraId="1D7846FC" w14:textId="720A5B50" w:rsidR="00503C92" w:rsidRPr="00F122A6" w:rsidRDefault="0037644B" w:rsidP="00EE0D48">
      <w:pPr>
        <w:pStyle w:val="BodyText"/>
        <w:ind w:left="1560" w:right="1830"/>
        <w:jc w:val="both"/>
        <w:rPr>
          <w:sz w:val="20"/>
        </w:rPr>
      </w:pPr>
      <w:r>
        <w:rPr>
          <w:rStyle w:val="BodyTextChar"/>
          <w:sz w:val="20"/>
        </w:rPr>
        <w:t>Atliekų, kurias kompetentinga aplinkos apsaugos institucija leido tvarkyti kaip R1001 „Atliekų naudojimas žemės ūkio paskirties dirvožemiuose ir sodininkystėje“, atveju, šiuo tikslu patvirtinant dokumentus su proceso aprašymu ir analitiniais apibūdinimais, prieš įsigaliojant šiam Karaliaus dekretui, atliekų gamintojas turi trejus metus nuo šio Karaliaus dekreto paskelbimo tęsti savo tvarkymą ir prireikus pateikti VIII priedo pakeitimo ataskaitą.“</w:t>
      </w:r>
    </w:p>
    <w:p w14:paraId="2A47F4D6" w14:textId="77777777" w:rsidR="00503C92" w:rsidRPr="00F122A6" w:rsidRDefault="0037644B" w:rsidP="00EE0D48">
      <w:pPr>
        <w:pStyle w:val="BodyText"/>
        <w:ind w:left="1560" w:right="1830"/>
        <w:jc w:val="both"/>
        <w:rPr>
          <w:sz w:val="20"/>
        </w:rPr>
      </w:pPr>
      <w:r>
        <w:rPr>
          <w:rStyle w:val="BodyTextChar"/>
          <w:sz w:val="20"/>
        </w:rPr>
        <w:t>Dešimta dalis. II priedo iii papunktis išdėstomas taip:</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jei taikomos išsiskyrimo mažinimo priemonės, pavyzdžiui, polimerai, inhibitoriai ir kt., tam tikriems uždelsto išsiskyrimo produktams gali būti netaikomas draudimas juos naudoti tam tikrais laikotarpiais“.</w:t>
      </w:r>
    </w:p>
    <w:p w14:paraId="7DE01383" w14:textId="0A5F5024" w:rsidR="00503C92" w:rsidRPr="00F122A6" w:rsidRDefault="0037644B" w:rsidP="00EE0D48">
      <w:pPr>
        <w:pStyle w:val="BodyText"/>
        <w:ind w:left="1560" w:right="1830"/>
        <w:jc w:val="both"/>
        <w:rPr>
          <w:sz w:val="20"/>
        </w:rPr>
      </w:pPr>
      <w:r>
        <w:rPr>
          <w:rStyle w:val="BodyTextChar"/>
          <w:sz w:val="20"/>
        </w:rPr>
        <w:t>Vienuolikta dalis. III priedo III dalies pirma pastraipa išdėstoma taip:</w:t>
      </w:r>
    </w:p>
    <w:p w14:paraId="18597F81" w14:textId="77777777" w:rsidR="00503C92" w:rsidRPr="00F122A6" w:rsidRDefault="0037644B" w:rsidP="00EE0D48">
      <w:pPr>
        <w:pStyle w:val="BodyText"/>
        <w:spacing w:after="140"/>
        <w:ind w:left="1560" w:right="1830"/>
        <w:jc w:val="both"/>
        <w:rPr>
          <w:sz w:val="20"/>
        </w:rPr>
      </w:pPr>
      <w:r>
        <w:rPr>
          <w:rStyle w:val="BodyTextChar"/>
          <w:sz w:val="20"/>
        </w:rPr>
        <w:t>„Šiuo Karaliaus dekretu nustatyti konsultavimo įpareigojimai laikomi įvykdytais, kai ūkininkas tvarko skaitmeninį ūkio registrą ir jei priemonės ar IT taikomosios programos naudojamos pasėlių maisto medžiagų poreikių skaičiavimams parengti ir trąšų pasiūlymui pateikti, jeigu jas patvirtino autonominės srities, kurioje jos bus naudojamos, kompetentinga institucija.“</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Dvylikta dalis. IV priedo A dalies 1 punkte pateiktos lentelės paskutinė eilutė pakeičiama šiomis dviem eilutėmis, o 2 punktas išdėstomas taip:</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1 stulpelis</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2 stulpelis</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3 stulpelis</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Sunkieji metalai</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Ribinės vertės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8 straipsnio 2 dalyje nurodytos ribinės vertės (mg/kg ms)</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„Bendras arseno kiekis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Chromas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Atliekų sunkiųjų metalų vertės, naudojamos dirvožemiui, įrašomos į ūkio registrą, nurodytą šio Karaliaus dekreto 5 straipsnyje.“</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lastRenderedPageBreak/>
        <w:t>Trylikta dalis. IV priedo B dalies lentelės pabaigoje įrašoma tokia eilutė:</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„Chromas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Keturiolikta dalis. IV priedo C dalies 1 punkte pateiktos lentelės pabaigoje įrašoma tokia eilutė:</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„Chromas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Penkiolikta dalis. Iš dalies keičiami V priedo A dalies f ir g punktai ir įterpiami du nauji h ir i punktai, kurie išdėstomi taip:</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parūgštintų srutų arba ureazės inhibitorių naudojimas;</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Ureazės arba nitrifikacijos inhibitorių naudojimas su profesionalia priežiūra tiesioginio naudojimo dirvožemyje atveju.</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Kompostavimas arba biologinis virškinimas, užtikrinantis, kad galutinis amoniakinio azoto kiekis, išreikštas azoto (N) kiekiu šviežios medžiagos masės atžvilgiu, būtų mažesnis kaip 0,6 %.</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Mėšlo užkasimas per pirmąsias 12 valandų po naudojimo, pasitelkiant verstuvinį plūgą, kirstuvinį plūgą, rotacinį plūgą arba įrangą, kuria užtikrinamas lygiavertis darbas, išskyrus tiesioginę sėją, tausųjį žemės ūkį arba ganyklas.“</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Šešiolikta dalis. VIII priedo 1 dalies 1 punkto a ir e papunkčiai išdėstomi taip ir įterpiami šie nauji g, h, i ir j papunkčiai:</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medžiagos, kurios, nepanaudotos tręšiamajam produktui gaminti, atitinka visus Reglamento (ES) 2019/1009 II priedo SMK 3, 4, 5, 6, 12, 13 ir 14 kategorijų reikalavimus. Naudojant į dirvožemį kaip atliekas, nebūtina laikytis SMK 1 kategorijos 2 punkto reikalavimo, kai jis taikomas pirmiau išvardytoms kategorijoms.“</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dumblas, įtrauktas į 2013 m. birželio 7 d. Nutarimo AAA/1072/2013 I priedą, jeigu jis buvo apdorotas laikantis 1990 m. spalio 29 d. Karaliaus dekreto 1310/1990 nuostatų.“</w:t>
      </w:r>
    </w:p>
    <w:p w14:paraId="782CCBF9" w14:textId="77777777" w:rsidR="00503C92" w:rsidRPr="00F122A6" w:rsidRDefault="0037644B" w:rsidP="00EE0D48">
      <w:pPr>
        <w:pStyle w:val="BodyText"/>
        <w:spacing w:after="0"/>
        <w:ind w:left="1560" w:right="1830"/>
        <w:jc w:val="both"/>
        <w:rPr>
          <w:sz w:val="20"/>
        </w:rPr>
      </w:pPr>
      <w:r>
        <w:rPr>
          <w:rStyle w:val="BodyTextChar"/>
          <w:sz w:val="20"/>
        </w:rPr>
        <w:t>„g) medžiagos, kurios, nors ir neatitinka atitinkamai Reglamento (ES) 2019/1009 SMK 3, 4 ir 5 kategorijose nustatytų apdorojimo reikalavimų, atitinka žaliavų stabilumo, priemaišų ir teršalų reikalavimus;</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aliejaus gamyklos atliekos;</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vyno nuosėdos;</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pirmiau minėtų medžiagų mišiniai, jeigu laikomasi labiausiai ribojančių kiekvienos sudedamosios dalies apribojimų.“</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Septyniolikta dalis. VIII priedo 2 dalies 1 ir 2 punktai pervardijami ir įterpiami šie du nauji 7 ir 8 punktai:</w:t>
      </w:r>
    </w:p>
    <w:p w14:paraId="2BF2A9A1" w14:textId="77777777" w:rsidR="00503C92" w:rsidRPr="00F122A6" w:rsidRDefault="0037644B" w:rsidP="00EE0D48">
      <w:pPr>
        <w:pStyle w:val="BodyText"/>
        <w:ind w:left="1560" w:right="1830"/>
        <w:jc w:val="both"/>
        <w:rPr>
          <w:sz w:val="20"/>
        </w:rPr>
      </w:pPr>
      <w:r>
        <w:rPr>
          <w:rStyle w:val="BodyTextChar"/>
          <w:sz w:val="20"/>
        </w:rPr>
        <w:t>„1. SMK 3, 4 ir 5 kategorijos medžiagos, gautos pagal 2019 m. birželio 5 d. Europos Parlamento ir Tarybos reglamento (ES) 2019/1009 II priedą:</w:t>
      </w:r>
    </w:p>
    <w:p w14:paraId="17625A3C" w14:textId="77777777" w:rsidR="00503C92" w:rsidRPr="00F122A6" w:rsidRDefault="0037644B" w:rsidP="00EE0D48">
      <w:pPr>
        <w:pStyle w:val="BodyText"/>
        <w:ind w:left="1560" w:right="1830"/>
        <w:jc w:val="both"/>
        <w:rPr>
          <w:sz w:val="20"/>
        </w:rPr>
      </w:pPr>
      <w:r>
        <w:rPr>
          <w:rStyle w:val="BodyTextChar"/>
          <w:sz w:val="20"/>
        </w:rPr>
        <w:t>Atitinka visus to priedo reikalavimus, įskaitant žaliavų kilmę, ir šiuos parametrus:</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Bendra organinių medžiagų dalis ≥ 25 % sausosios medžiagos.</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Deklaruotas </w:t>
      </w:r>
      <w:r>
        <w:rPr>
          <w:rStyle w:val="BodyTextChar"/>
          <w:i/>
          <w:sz w:val="20"/>
        </w:rPr>
        <w:t>Salmonella</w:t>
      </w:r>
      <w:r>
        <w:rPr>
          <w:rStyle w:val="BodyTextChar"/>
          <w:sz w:val="20"/>
        </w:rPr>
        <w:t xml:space="preserve"> kiekis.</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Deklaruotas </w:t>
      </w:r>
      <w:r>
        <w:rPr>
          <w:rStyle w:val="BodyTextChar"/>
          <w:i/>
          <w:sz w:val="20"/>
        </w:rPr>
        <w:t>Escherichia coli</w:t>
      </w:r>
      <w:r>
        <w:rPr>
          <w:rStyle w:val="BodyTextChar"/>
          <w:sz w:val="20"/>
        </w:rPr>
        <w:t xml:space="preserve"> kiekis.</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Pateikta maisto medžiagų, visų pirma aprūpinančių azotu, fosforu (išreikštas kaip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ir kaliu (išreikštas kaip K</w:t>
      </w:r>
      <w:r>
        <w:rPr>
          <w:rStyle w:val="BodyTextChar"/>
          <w:sz w:val="20"/>
          <w:vertAlign w:val="subscript"/>
        </w:rPr>
        <w:t>2</w:t>
      </w:r>
      <w:r>
        <w:rPr>
          <w:rStyle w:val="BodyTextChar"/>
          <w:sz w:val="20"/>
        </w:rPr>
        <w:t>O), analizė, taip pat pH ir elektros laidumas.</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 xml:space="preserve">Atitinka visus papildomus reikalavimus, nurodytus jos R1001 atliekų </w:t>
      </w:r>
      <w:r>
        <w:rPr>
          <w:rStyle w:val="BodyTextChar"/>
          <w:sz w:val="20"/>
        </w:rPr>
        <w:lastRenderedPageBreak/>
        <w:t>naudojimo leidime.“</w:t>
      </w:r>
    </w:p>
    <w:p w14:paraId="27038D19" w14:textId="77777777" w:rsidR="00503C92" w:rsidRPr="00F122A6" w:rsidRDefault="0037644B" w:rsidP="00EE0D48">
      <w:pPr>
        <w:pStyle w:val="BodyText"/>
        <w:ind w:left="1560" w:right="1830"/>
        <w:jc w:val="both"/>
        <w:rPr>
          <w:sz w:val="20"/>
        </w:rPr>
      </w:pPr>
      <w:r>
        <w:rPr>
          <w:rStyle w:val="BodyTextChar"/>
          <w:sz w:val="20"/>
        </w:rPr>
        <w:t>2. Be to, bet kuri kompostuota ar skaldyta medžiaga, naudojama žemės ūkio paskirties dirvožemiui ir gauta iš žaliavų, kurios nėra nurodytos pirmesnėje dalyje, turi atitikti priemaišų ir stabilumo reikalavimus, nustatytus atitinkamai 2019 m. birželio 5 d. Europos Parlamento ir Tarybos reglamento (ES) 2019/1009 SMK3 arba SMK5, be šių parametrų:</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Bendra organinių medžiagų dalis ≥ 25 % sausosios medžiagos.</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Deklaruotas </w:t>
      </w:r>
      <w:r>
        <w:rPr>
          <w:rStyle w:val="BodyTextChar"/>
          <w:i/>
          <w:sz w:val="20"/>
        </w:rPr>
        <w:t>Salmonella</w:t>
      </w:r>
      <w:r>
        <w:rPr>
          <w:rStyle w:val="BodyTextChar"/>
          <w:sz w:val="20"/>
        </w:rPr>
        <w:t xml:space="preserve"> kiekis.</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Deklaruotas </w:t>
      </w:r>
      <w:r>
        <w:rPr>
          <w:rStyle w:val="BodyTextChar"/>
          <w:i/>
          <w:sz w:val="20"/>
        </w:rPr>
        <w:t>Escherichia coli</w:t>
      </w:r>
      <w:r>
        <w:rPr>
          <w:rStyle w:val="BodyTextChar"/>
          <w:sz w:val="20"/>
        </w:rPr>
        <w:t xml:space="preserve"> kiekis.</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Pateikta maisto medžiagų, visų pirma aprūpinančių azotu, fosforu (išreikštas kaip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ir kaliu (išreikštas kaip K</w:t>
      </w:r>
      <w:r>
        <w:rPr>
          <w:rStyle w:val="BodyTextChar"/>
          <w:sz w:val="20"/>
          <w:vertAlign w:val="subscript"/>
        </w:rPr>
        <w:t>2</w:t>
      </w:r>
      <w:r>
        <w:rPr>
          <w:rStyle w:val="BodyTextChar"/>
          <w:sz w:val="20"/>
        </w:rPr>
        <w:t>O), analizė, taip pat pH ir elektros laidumas.</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Atitinka visus papildomus reikalavimus, nurodytus jos R1001 atliekų naudojimo leidime.“</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Aliejaus gamyklos atliekos.</w:t>
      </w:r>
    </w:p>
    <w:p w14:paraId="28AE5BA8" w14:textId="3B2C33EB" w:rsidR="00503C92" w:rsidRPr="00F122A6" w:rsidRDefault="0037644B" w:rsidP="00EE0D48">
      <w:pPr>
        <w:pStyle w:val="BodyText"/>
        <w:ind w:left="1560" w:right="1830"/>
        <w:jc w:val="both"/>
        <w:rPr>
          <w:sz w:val="20"/>
        </w:rPr>
      </w:pPr>
      <w:r>
        <w:rPr>
          <w:rStyle w:val="BodyTextChar"/>
          <w:sz w:val="20"/>
        </w:rPr>
        <w:t>Tai skystis, kurį sudaro alyvuogių plovimo vanduo ir aliejaus, gauto naudojant dviejų pakopų ekstrahavimo sistemą, plovimo vanduo ir kuris atitinka visus papildomus reikalavimus, įtrauktus į naudojimo leidimą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Vyno nuosėdos.</w:t>
      </w:r>
    </w:p>
    <w:p w14:paraId="29227E47" w14:textId="2A06893C" w:rsidR="00503C92" w:rsidRPr="00F122A6" w:rsidRDefault="0037644B" w:rsidP="00EE0D48">
      <w:pPr>
        <w:pStyle w:val="BodyText"/>
        <w:ind w:left="1560" w:right="1830"/>
        <w:jc w:val="both"/>
        <w:rPr>
          <w:sz w:val="20"/>
        </w:rPr>
      </w:pPr>
      <w:r>
        <w:rPr>
          <w:rStyle w:val="BodyTextChar"/>
          <w:sz w:val="20"/>
        </w:rPr>
        <w:t>Tai yra organinės nuosėdos, kurias sudaro mielės, bakterijos ir kitos liekamosios medžiagos, kurios susidaro vyno gamybos proceso metu ir kurios turi atitikti visus papildomus reikalavimus, įtrauktus į jų naudojimo leidimą R1001.“</w:t>
      </w:r>
    </w:p>
    <w:p w14:paraId="2B531F85" w14:textId="45C3DAE0" w:rsidR="00503C92" w:rsidRPr="00F122A6" w:rsidRDefault="0037644B" w:rsidP="00EE0D48">
      <w:pPr>
        <w:pStyle w:val="BodyText"/>
        <w:ind w:left="1560" w:right="1830"/>
        <w:jc w:val="both"/>
        <w:rPr>
          <w:sz w:val="20"/>
        </w:rPr>
      </w:pPr>
      <w:r>
        <w:rPr>
          <w:rStyle w:val="BodyTextChar"/>
          <w:sz w:val="20"/>
        </w:rPr>
        <w:t>Aštuoniolikta dalis. IX priedo 1 ir 4 dalys išdėstomos taip:</w:t>
      </w:r>
    </w:p>
    <w:p w14:paraId="2EECEDDC" w14:textId="333324DB" w:rsidR="00503C92" w:rsidRPr="00F122A6" w:rsidRDefault="0037644B" w:rsidP="00EE0D48">
      <w:pPr>
        <w:pStyle w:val="BodyText"/>
        <w:spacing w:after="0"/>
        <w:ind w:left="1560" w:right="1830"/>
        <w:jc w:val="both"/>
        <w:rPr>
          <w:sz w:val="20"/>
        </w:rPr>
      </w:pPr>
      <w:r>
        <w:rPr>
          <w:rStyle w:val="BodyTextChar"/>
          <w:sz w:val="20"/>
        </w:rPr>
        <w:t>„1. Paprastai drėkinimo dozė ir dažnumas pritaikomi prie pasėlių poreikių ir dirvožemio drėgmės sulaikymo pajėgumo, kad būtų išvengta maisto medžiagų praradimo išplaunant, remiantis patariamųjų tarnybų rekomendacijomis autonominės srities drėkintojui arba Žemės ūkio, žuvininkystės ir maisto ministerijos Agroklimatinės drėkinimo informacinės sistemos (SIAR) rekomendacijomis, jei jos yra autonominėse srityse, kuriose veikia kuri nors iš jų; kaip pagalbinę priemonę dirvožemio būklei nustatyti rekomenduojama naudoti jutiklius dirvožemio drėgmės kiekiui tikrinti. Tuo atveju, jei tręšimui naudotos medžiagos savaime duoda daug vandens pasėliams (pavyzdžiui, naudojant skystą mėšlą), apskaičiuojant drėkinimo vandens dozę ir tręšimo dažnumą, bus atsižvelgiama į jos įterpiamo vandens kiekį.“</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Pasėliuose, kuriuose yra vietos drėkinimas, tręšimas bus atliekamas ištirpinant maisto medžiagas drėkinimo vandenyje ir jas panaudojant dirvožemiui per vandenį. Jos bus dozuojamos dalimis pasėlių vegetacijos laikotarpiu, o koncentracijos ir daliniai kiekiai gali būti pritaikomi prie didžiausio poreikio pasėlių ciklo metu.“</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Vienintelė baigiamoji nuostata. </w:t>
      </w:r>
      <w:r>
        <w:rPr>
          <w:rStyle w:val="BodyTextChar"/>
          <w:i/>
          <w:sz w:val="20"/>
        </w:rPr>
        <w:t>Įsigaliojimas.</w:t>
      </w:r>
    </w:p>
    <w:p w14:paraId="79EF3419" w14:textId="77777777" w:rsidR="00503C92" w:rsidRPr="00F122A6" w:rsidRDefault="0037644B" w:rsidP="00EE0D48">
      <w:pPr>
        <w:pStyle w:val="BodyText"/>
        <w:ind w:left="1560" w:right="1830"/>
        <w:jc w:val="both"/>
        <w:rPr>
          <w:sz w:val="20"/>
        </w:rPr>
      </w:pPr>
      <w:r>
        <w:rPr>
          <w:rStyle w:val="BodyTextChar"/>
          <w:sz w:val="20"/>
        </w:rPr>
        <w:t>Šis Karaliaus dekretas įsigalioja kitą dieną po jo paskelbimo „Oficialiajame valstybės leidinyje“.</w:t>
      </w:r>
    </w:p>
    <w:p w14:paraId="68AE9113" w14:textId="155F655A" w:rsidR="00503C92" w:rsidRPr="00F122A6" w:rsidRDefault="0037644B" w:rsidP="00EE0D48">
      <w:pPr>
        <w:pStyle w:val="BodyText"/>
        <w:ind w:left="1560" w:right="1830"/>
        <w:jc w:val="both"/>
        <w:rPr>
          <w:sz w:val="20"/>
        </w:rPr>
      </w:pPr>
      <w:r>
        <w:rPr>
          <w:rStyle w:val="BodyTextChar"/>
          <w:sz w:val="20"/>
        </w:rPr>
        <w:t>Parengta Madride 2024 m. rugpjūčio 27 d.</w:t>
      </w:r>
    </w:p>
    <w:p w14:paraId="0C00789F" w14:textId="41E1BB01"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Žemės ūkio, žuvininkystės ir maisto ministras</w:t>
      </w:r>
      <w:r>
        <w:rPr>
          <w:rStyle w:val="Bodytext3"/>
        </w:rPr>
        <w:br/>
        <w:t>LUIS PLANAS PUCHADES</w:t>
      </w:r>
    </w:p>
    <w:p w14:paraId="79892C53" w14:textId="0D1A9003" w:rsidR="0037644B" w:rsidRDefault="00D83087" w:rsidP="00EE0D48">
      <w:pPr>
        <w:pStyle w:val="Bodytext30"/>
        <w:spacing w:line="319" w:lineRule="auto"/>
        <w:ind w:left="1560" w:right="1830"/>
        <w:jc w:val="center"/>
        <w:rPr>
          <w:rStyle w:val="Bodytext3"/>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6976149A">
                <wp:simplePos x="0" y="0"/>
                <wp:positionH relativeFrom="page">
                  <wp:posOffset>215900</wp:posOffset>
                </wp:positionH>
                <wp:positionV relativeFrom="paragraph">
                  <wp:posOffset>403225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4509"/>
                              <w:gridCol w:w="2886"/>
                            </w:tblGrid>
                            <w:tr w:rsidR="00F122A6" w14:paraId="4C7B1FE4" w14:textId="77777777" w:rsidTr="001A30DD">
                              <w:tc>
                                <w:tcPr>
                                  <w:tcW w:w="3234" w:type="dxa"/>
                                  <w:vAlign w:val="bottom"/>
                                </w:tcPr>
                                <w:p w14:paraId="200D134E" w14:textId="77777777" w:rsidR="00F122A6" w:rsidRPr="001A30DD" w:rsidRDefault="00CB77A9"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OFICIALUSIS VALSTYBĖS LEIDINYS</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17pt;margin-top:31.7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4509"/>
                        <w:gridCol w:w="2886"/>
                      </w:tblGrid>
                      <w:tr w:rsidR="00F122A6" w14:paraId="4C7B1FE4" w14:textId="77777777" w:rsidTr="001A30DD">
                        <w:tc>
                          <w:tcPr>
                            <w:tcW w:w="3234" w:type="dxa"/>
                            <w:vAlign w:val="bottom"/>
                          </w:tcPr>
                          <w:p w14:paraId="200D134E" w14:textId="77777777" w:rsidR="00F122A6" w:rsidRPr="001A30DD" w:rsidRDefault="00CB77A9"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OFICIALUSIS VALSTYBĖS LEIDINYS</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4090" w14:textId="77777777" w:rsidR="00CB77A9" w:rsidRDefault="00CB77A9">
      <w:r>
        <w:separator/>
      </w:r>
    </w:p>
  </w:endnote>
  <w:endnote w:type="continuationSeparator" w:id="0">
    <w:p w14:paraId="0F778272" w14:textId="77777777" w:rsidR="00CB77A9" w:rsidRDefault="00CB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Galima patikrinti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Galima patikrinti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F416" w14:textId="77777777" w:rsidR="00CB77A9" w:rsidRDefault="00CB77A9"/>
  </w:footnote>
  <w:footnote w:type="continuationSeparator" w:id="0">
    <w:p w14:paraId="6BDA4EFB" w14:textId="77777777" w:rsidR="00CB77A9" w:rsidRDefault="00CB7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OFICIALUSIS VALSTYBĖS LEIDINYS</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Nr.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2024-08-28</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I skirsnis. p.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7644B"/>
    <w:rsid w:val="003A02E8"/>
    <w:rsid w:val="00503C92"/>
    <w:rsid w:val="00695D6F"/>
    <w:rsid w:val="007C7F14"/>
    <w:rsid w:val="008A217F"/>
    <w:rsid w:val="008D51C9"/>
    <w:rsid w:val="00973FEB"/>
    <w:rsid w:val="00A51493"/>
    <w:rsid w:val="00BB487E"/>
    <w:rsid w:val="00C10FCF"/>
    <w:rsid w:val="00CB77A9"/>
    <w:rsid w:val="00D83087"/>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16494</Characters>
  <Application>Microsoft Office Word</Application>
  <DocSecurity>0</DocSecurity>
  <Lines>305</Lines>
  <Paragraphs>122</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2024-10-10T11:20:00Z</dcterms:created>
  <dcterms:modified xsi:type="dcterms:W3CDTF">2024-10-10T11:20:00Z</dcterms:modified>
</cp:coreProperties>
</file>