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457C" w14:textId="6765B1FA" w:rsidR="00503C92" w:rsidRPr="00F122A6" w:rsidRDefault="00F122A6" w:rsidP="00EE0D48">
      <w:pPr>
        <w:pStyle w:val="Bodytext40"/>
        <w:numPr>
          <w:ilvl w:val="0"/>
          <w:numId w:val="1"/>
        </w:numPr>
        <w:tabs>
          <w:tab w:val="left" w:pos="265"/>
        </w:tabs>
        <w:ind w:left="1560" w:right="1830"/>
      </w:pPr>
      <w:r>
        <w:rPr>
          <w:rStyle w:val="Bodytext4"/>
          <w:b/>
        </w:rPr>
        <w:t xml:space="preserve"> VŠEOBECNÉ USTANOVENIA</w:t>
      </w:r>
    </w:p>
    <w:p w14:paraId="58D891A5" w14:textId="77777777" w:rsidR="00503C92" w:rsidRPr="00F122A6" w:rsidRDefault="0037644B" w:rsidP="00EE0D48">
      <w:pPr>
        <w:pStyle w:val="Heading10"/>
        <w:keepNext/>
        <w:keepLines/>
        <w:ind w:left="1560" w:right="1830"/>
        <w:rPr>
          <w:sz w:val="28"/>
          <w:szCs w:val="28"/>
        </w:rPr>
      </w:pPr>
      <w:bookmarkStart w:id="0" w:name="bookmark0"/>
      <w:r>
        <w:rPr>
          <w:rStyle w:val="Heading1"/>
          <w:sz w:val="28"/>
        </w:rPr>
        <w:t>MINISTERSTVO POĽNOHOSPODÁRSTVA, RYBOLOVU A POTRAVINÁRSTVA</w:t>
      </w:r>
      <w:bookmarkEnd w:id="0"/>
    </w:p>
    <w:p w14:paraId="07583A7E" w14:textId="13D4FE06" w:rsidR="00503C92" w:rsidRPr="00F122A6" w:rsidRDefault="0037644B" w:rsidP="00F122A6">
      <w:pPr>
        <w:pStyle w:val="BodyText"/>
        <w:spacing w:after="260" w:line="240" w:lineRule="auto"/>
        <w:ind w:left="2694" w:right="1830" w:hanging="1134"/>
        <w:jc w:val="both"/>
        <w:rPr>
          <w:sz w:val="20"/>
          <w:szCs w:val="20"/>
        </w:rPr>
      </w:pPr>
      <w:r>
        <w:rPr>
          <w:rStyle w:val="BodyTextChar"/>
          <w:b/>
          <w:sz w:val="24"/>
        </w:rPr>
        <w:t xml:space="preserve">17371 </w:t>
      </w:r>
      <w:r>
        <w:rPr>
          <w:rStyle w:val="BodyTextChar"/>
          <w:b/>
          <w:sz w:val="24"/>
        </w:rPr>
        <w:tab/>
      </w:r>
      <w:r>
        <w:rPr>
          <w:rStyle w:val="BodyTextChar"/>
          <w:i/>
          <w:sz w:val="20"/>
        </w:rPr>
        <w:t>Kráľovský dekrét č. 840/2024 z 27. augusta 2024, ktorým sa mení kráľovský dekrét č. 1051/2022 z 27. decembra 2022 stanovujúci pravidlá pre udržateľnú výživu v poľnohospodárskej pôde.</w:t>
      </w:r>
    </w:p>
    <w:p w14:paraId="5EC89531" w14:textId="77777777" w:rsidR="00503C92" w:rsidRPr="00F122A6" w:rsidRDefault="0037644B" w:rsidP="00EE0D48">
      <w:pPr>
        <w:pStyle w:val="BodyText"/>
        <w:spacing w:after="0"/>
        <w:ind w:left="1560" w:right="1830" w:firstLine="360"/>
        <w:jc w:val="both"/>
        <w:rPr>
          <w:sz w:val="20"/>
        </w:rPr>
      </w:pPr>
      <w:r>
        <w:rPr>
          <w:rStyle w:val="BodyTextChar"/>
          <w:sz w:val="20"/>
        </w:rPr>
        <w:t>V kráľovskom dekréte č. 1051/2022 z 27. decembra 2022 stanovujúcom pravidlá pre udržateľnú výživu v poľnohospodárskej pôde, sa ustanovujú určité základné pravidlá racionálneho hnojenia plodín prostredníctvom minimálnych osvedčených poľnohospodárskych postupov, ktoré je potrebné zohľadniť pri aplikácii živín do poľnohospodárskej pôdy. Okrem toho sa zriaďuje všeobecný register výrobcov a iných hospodárskych subjektov pre produkty na hnojenie s dvojitým cieľom: zlepšiť dohľad nad trhom v súlade s ustanoveniami nariadenia Európskeho parlamentu a Rady (EÚ) 2019/1009 z 5. júna 2019, ktorým sa stanovujú pravidlá sprístupňovania EÚ produktov na hnojenie na trhu, a kráľovského dekrétu č. 506/2013 z 26. júna 2013 o produktoch na hnojenie a nariadenia Európskeho parlamentu a Rady (EÚ) 2019/1020 z 20. júna 2019 o dohľade nad trhom a súlade výrobkov, a zároveň uľahčiť zhromažďovanie údajov na zlepšenie výpočtu emisií uvoľňovaných do ovzdušia vyplývajúcich z používania produktov na hnojenie. Okrem iného sa týmto kráľovským dekrétom upravuje povolanie poradcu pre hnojenie, ktoré nie je regulovaným povolaním podľa článku 36 španielskej ústavy.</w:t>
      </w:r>
    </w:p>
    <w:p w14:paraId="50105317" w14:textId="77777777" w:rsidR="00503C92" w:rsidRPr="00F122A6" w:rsidRDefault="0037644B" w:rsidP="00EE0D48">
      <w:pPr>
        <w:pStyle w:val="BodyText"/>
        <w:spacing w:after="0"/>
        <w:ind w:left="1560" w:right="1830" w:firstLine="360"/>
        <w:jc w:val="both"/>
        <w:rPr>
          <w:sz w:val="20"/>
        </w:rPr>
      </w:pPr>
      <w:r>
        <w:rPr>
          <w:rStyle w:val="BodyTextChar"/>
          <w:sz w:val="20"/>
        </w:rPr>
        <w:t>Po viac ako roku uplatňovania tohto predpisu je teraz potrebné uľahčiť vykonávanie určitých technických aspektov, posilniť súlad s inými odvetvovými predpismi, ako je zákon č. 7/2022 z 8. apríla 2022 o odpade a kontaminovanej pôde pre obehové hospodárstvo, alebo odvetvovými regionálnymi ustanoveniami a objasniť nejasné znenie. Na tento účel sa menia ustanovenia týkajúce sa registra poľnohospodárskeho podniku, plánu hnojenia a ustanovenia uľahčujúce používanie hnoja a organických hnojív.</w:t>
      </w:r>
    </w:p>
    <w:p w14:paraId="1D506E7A" w14:textId="77777777" w:rsidR="00503C92" w:rsidRPr="00F122A6" w:rsidRDefault="0037644B" w:rsidP="00EE0D48">
      <w:pPr>
        <w:pStyle w:val="BodyText"/>
        <w:spacing w:after="0"/>
        <w:ind w:left="1560" w:right="1830" w:firstLine="360"/>
        <w:jc w:val="both"/>
        <w:rPr>
          <w:sz w:val="20"/>
        </w:rPr>
      </w:pPr>
      <w:r>
        <w:rPr>
          <w:rStyle w:val="BodyTextChar"/>
          <w:sz w:val="20"/>
        </w:rPr>
        <w:t>Na používanie digitálneho registra poľnohospodárskeho podniku sú teda zahrnuté určité stimuly, pretože to nie je povinné, a podrobne sa uvádzajú informácie v pláne hnojenia, ktoré musia byť zahrnuté v registri poľnohospodárskeho podniku, pričom sa spresňuje aj to, že jedným z kľúčových bodov je určenie dávky.</w:t>
      </w:r>
    </w:p>
    <w:p w14:paraId="31AAFEFC" w14:textId="77777777" w:rsidR="00503C92" w:rsidRPr="00F122A6" w:rsidRDefault="0037644B" w:rsidP="00EE0D48">
      <w:pPr>
        <w:pStyle w:val="BodyText"/>
        <w:spacing w:after="0"/>
        <w:ind w:left="1560" w:right="1830" w:firstLine="360"/>
        <w:jc w:val="both"/>
        <w:rPr>
          <w:sz w:val="20"/>
        </w:rPr>
      </w:pPr>
      <w:r>
        <w:rPr>
          <w:rStyle w:val="BodyTextChar"/>
          <w:sz w:val="20"/>
        </w:rPr>
        <w:t>Zavádzajú sa nové a lepšie navrhnuté opatrenia na zníženie emisií amoniaku a zohľadňujú sa ďalšie technológie na zníženie rizika vyplavovania.</w:t>
      </w:r>
    </w:p>
    <w:p w14:paraId="0804DA06" w14:textId="77777777" w:rsidR="00503C92" w:rsidRPr="00F122A6" w:rsidRDefault="0037644B" w:rsidP="00EE0D48">
      <w:pPr>
        <w:pStyle w:val="BodyText"/>
        <w:spacing w:after="0"/>
        <w:ind w:left="1560" w:right="1830" w:firstLine="360"/>
        <w:jc w:val="both"/>
        <w:rPr>
          <w:sz w:val="20"/>
        </w:rPr>
      </w:pPr>
      <w:r>
        <w:rPr>
          <w:rStyle w:val="BodyTextChar"/>
          <w:sz w:val="20"/>
        </w:rPr>
        <w:t>S cieľom uľahčiť používanie hnoja, hnojív a iných organických materiálov sa ustanovenia o skladovaní alebo aplikácii týkajúce sa času zakopania, výnimiek a období aplikácie stávajú flexibilnejšími. Zároveň sa do zoznamu prijatého odpadu dopĺňa nový odpad, pričom sa upravujú jeho požiadavky v súlade s trhom a zachovávajú sa kritériá bezpečnosti a agronomickej účinnosti.</w:t>
      </w:r>
    </w:p>
    <w:p w14:paraId="3D2CCECE" w14:textId="24F053FE" w:rsidR="00503C92" w:rsidRPr="00F122A6" w:rsidRDefault="0037644B" w:rsidP="00EE0D48">
      <w:pPr>
        <w:pStyle w:val="BodyText"/>
        <w:spacing w:after="0"/>
        <w:ind w:left="1560" w:right="1830" w:firstLine="360"/>
        <w:jc w:val="both"/>
        <w:rPr>
          <w:sz w:val="20"/>
        </w:rPr>
      </w:pPr>
      <w:r>
        <w:rPr>
          <w:rStyle w:val="BodyTextChar"/>
          <w:sz w:val="20"/>
        </w:rPr>
        <w:t xml:space="preserve">Tento kráľovský dekrét bol vypracovaný v súlade so zásadami dobrej regulácie stanovenými v článku 129 zákona č. 39/2015 z 1. októbra 2015 o spoločnom administratívnom postupe vo verejnej správe. V súlade so zásadami nevyhnutnosti a účinnosti je návrh odôvodnený potrebou lepšieho uplatňovania nariadení Európskej únie v Španielsku, pričom tento predpis je najvhodnejším nástrojom na zabezpečenie jeho dosiahnutia, keďže je povinné, aby sa o regulácii uvažovalo v základnom predpise. Je tiež v súlade so zásadou proporcionality a s cieľom obmedziť reguláciu na nevyhnutné minimum v záujme zníženia regulačnej intenzity. Zásada právnej istoty je zasa zaručená zavedením nových ustanovení, ktoré sú v súlade so zvyškom právneho systému, do všeobecného ustanovenia. Okrem toho sa v súlade so zásadou transparentnosti počas </w:t>
      </w:r>
      <w:r>
        <w:rPr>
          <w:rStyle w:val="BodyTextChar"/>
          <w:sz w:val="20"/>
        </w:rPr>
        <w:lastRenderedPageBreak/>
        <w:t>spracovania predpisu konzultovalo so subjektmi zastupujúcimi dotknuté odvetvia a uskutočnil sa postup verejného vypočutia a informovania verejnosti. Napokon sa považuje za splnenú aj zásada efektívnosti, keďže v porovnaní so súčasnou reguláciou nevzniká žiadna nová administratívna záťaž.</w:t>
      </w:r>
    </w:p>
    <w:p w14:paraId="7B067845" w14:textId="77777777" w:rsidR="00503C92" w:rsidRPr="00F122A6" w:rsidRDefault="0037644B" w:rsidP="00EE0D48">
      <w:pPr>
        <w:pStyle w:val="BodyText"/>
        <w:spacing w:after="0"/>
        <w:ind w:left="1560" w:right="1830" w:firstLine="360"/>
        <w:jc w:val="both"/>
        <w:rPr>
          <w:sz w:val="20"/>
        </w:rPr>
      </w:pPr>
      <w:r>
        <w:rPr>
          <w:rStyle w:val="BodyTextChar"/>
          <w:sz w:val="20"/>
        </w:rPr>
        <w:t>Ustanovenia tohto kráľovského dekrétu sú základnými predpismi a vydávajú sa na základe článku 149 ods. 1, pravidiel 13, 16 a 23 španielskej ústavy, ktoré zverujú štátu výlučnú právomoc v oblasti základov a koordinácie všeobecného plánovania hospodárskej činnosti, základov a všeobecnej koordinácie zdravia, ako aj základných právnych predpisov o ochrane životného prostredia bez toho, aby boli dotknuté právomoci autonómnych spoločenstiev stanoviť dodatočné pravidlá ochrany.</w:t>
      </w:r>
    </w:p>
    <w:p w14:paraId="4240DB30" w14:textId="77777777" w:rsidR="00503C92" w:rsidRPr="00F122A6" w:rsidRDefault="0037644B" w:rsidP="00EE0D48">
      <w:pPr>
        <w:pStyle w:val="BodyText"/>
        <w:spacing w:after="0"/>
        <w:ind w:left="1560" w:right="1830" w:firstLine="360"/>
        <w:jc w:val="both"/>
        <w:rPr>
          <w:sz w:val="20"/>
        </w:rPr>
      </w:pPr>
      <w:r>
        <w:rPr>
          <w:rStyle w:val="BodyTextChar"/>
          <w:sz w:val="20"/>
        </w:rPr>
        <w:t>Tento predpis sa vydáva v súlade s ustanoveniami šestnásteho záverečného ustanovenia zákona č. 30/2022 z 23. decembra 2022, ktorým sa upravuje systém riadenia spoločnej poľnohospodárskej politiky a súvisiace záležitosti.</w:t>
      </w:r>
    </w:p>
    <w:p w14:paraId="4D259E79" w14:textId="77777777" w:rsidR="00503C92" w:rsidRPr="00F122A6" w:rsidRDefault="0037644B" w:rsidP="00EE0D48">
      <w:pPr>
        <w:pStyle w:val="BodyText"/>
        <w:spacing w:after="0"/>
        <w:ind w:left="1560" w:right="1830" w:firstLine="360"/>
        <w:jc w:val="both"/>
        <w:rPr>
          <w:sz w:val="20"/>
        </w:rPr>
      </w:pPr>
      <w:r>
        <w:rPr>
          <w:rStyle w:val="BodyTextChar"/>
          <w:sz w:val="20"/>
        </w:rPr>
        <w:t>Predpis bol predložený do konzultačného procesu autonómnych spoločenstiev a miest Ceuta a Melilla na základe všeobecnej povinnosti spolupráce medzi orgánmi verejnej správy stanovenej v článku 3 ods. 1 písm. k) zákona č. 40/2015 z 1. októbra 2015 o právnom režime verejného sektora.</w:t>
      </w:r>
    </w:p>
    <w:p w14:paraId="373D6039" w14:textId="77777777" w:rsidR="00503C92" w:rsidRPr="00F122A6" w:rsidRDefault="0037644B" w:rsidP="00EE0D48">
      <w:pPr>
        <w:pStyle w:val="BodyText"/>
        <w:spacing w:after="0"/>
        <w:ind w:left="1560" w:right="1830" w:firstLine="360"/>
        <w:jc w:val="both"/>
        <w:rPr>
          <w:sz w:val="20"/>
        </w:rPr>
      </w:pPr>
      <w:r>
        <w:rPr>
          <w:rStyle w:val="BodyTextChar"/>
          <w:sz w:val="20"/>
        </w:rPr>
        <w:t>Bol tiež predmetom informačného postupu týkajúceho sa technických noriem a predpisov stanovených v smernici Európskeho parlamentu a Rady (EÚ) 2015/1535 z 9. septembra 2015, ktorou sa stanovuje postup pri poskytovaní informácií v oblasti technických predpisov a pravidiel vzťahujúcich sa na služby informačnej spoločnosti, upraveného kráľovským dekrétom č. 1337/1999 z 31. júla 1999, ktorým sa upravuje prenos informácií v oblasti technických noriem a predpisov a pravidiel vzťahujúcich sa na služby informačnej spoločnosti.</w:t>
      </w:r>
    </w:p>
    <w:p w14:paraId="48A1437F" w14:textId="77777777" w:rsidR="00503C92" w:rsidRPr="00F122A6" w:rsidRDefault="0037644B" w:rsidP="00EE0D48">
      <w:pPr>
        <w:pStyle w:val="BodyText"/>
        <w:spacing w:after="240"/>
        <w:ind w:left="1560" w:right="1830" w:firstLine="360"/>
        <w:jc w:val="both"/>
        <w:rPr>
          <w:sz w:val="20"/>
        </w:rPr>
      </w:pPr>
      <w:r>
        <w:rPr>
          <w:rStyle w:val="BodyTextChar"/>
          <w:sz w:val="20"/>
        </w:rPr>
        <w:t>Na základe uvedeného, na návrh ministra poľnohospodárstva, rybolovu a potravinárstva, po dohode so Štátnou radou a po prerokovaní Radou ministrov na jej zasadnutí 27. augusta 2024,</w:t>
      </w:r>
    </w:p>
    <w:p w14:paraId="6DA74257" w14:textId="77777777" w:rsidR="00503C92" w:rsidRPr="00F122A6" w:rsidRDefault="0037644B" w:rsidP="00EE0D48">
      <w:pPr>
        <w:pStyle w:val="BodyText"/>
        <w:spacing w:after="180"/>
        <w:ind w:left="1560" w:right="1830" w:firstLine="0"/>
        <w:jc w:val="center"/>
        <w:rPr>
          <w:sz w:val="20"/>
        </w:rPr>
      </w:pPr>
      <w:r>
        <w:rPr>
          <w:rStyle w:val="BodyTextChar"/>
          <w:sz w:val="20"/>
        </w:rPr>
        <w:t>TÝMTO NARIAĎUJEM:</w:t>
      </w:r>
    </w:p>
    <w:p w14:paraId="44A8F054" w14:textId="77777777" w:rsidR="00503C92" w:rsidRPr="00F122A6" w:rsidRDefault="0037644B" w:rsidP="00BB487E">
      <w:pPr>
        <w:pStyle w:val="BodyText"/>
        <w:spacing w:after="140" w:line="257" w:lineRule="auto"/>
        <w:ind w:left="1985" w:right="1830" w:hanging="360"/>
        <w:jc w:val="both"/>
        <w:rPr>
          <w:sz w:val="20"/>
          <w:szCs w:val="20"/>
        </w:rPr>
      </w:pPr>
      <w:r>
        <w:rPr>
          <w:rStyle w:val="BodyTextChar"/>
          <w:b/>
          <w:sz w:val="20"/>
        </w:rPr>
        <w:t xml:space="preserve">Jediný článok. </w:t>
      </w:r>
      <w:r>
        <w:rPr>
          <w:rStyle w:val="BodyTextChar"/>
          <w:i/>
          <w:sz w:val="20"/>
        </w:rPr>
        <w:t>Zmena kráľovského dekrétu č. 1051/2022 z 27. decembra 2022, ktorým sa stanovujú pravidlá pre udržateľnú výživu v poľnohospodárskej pôde.</w:t>
      </w:r>
    </w:p>
    <w:p w14:paraId="20188F93" w14:textId="77777777" w:rsidR="00503C92" w:rsidRPr="00F122A6" w:rsidRDefault="0037644B" w:rsidP="00EE0D48">
      <w:pPr>
        <w:pStyle w:val="BodyText"/>
        <w:spacing w:after="140"/>
        <w:ind w:left="1560" w:right="1830" w:firstLine="360"/>
        <w:jc w:val="both"/>
        <w:rPr>
          <w:sz w:val="20"/>
        </w:rPr>
      </w:pPr>
      <w:r>
        <w:rPr>
          <w:rStyle w:val="BodyTextChar"/>
          <w:sz w:val="20"/>
        </w:rPr>
        <w:t>Kráľovský dekrét č. 1051/2022 z 27. decembra 2022, ktorým sa stanovujú pravidlá pre udržateľnú výživu v poľnohospodárskej pôde, sa mení takto:</w:t>
      </w:r>
    </w:p>
    <w:p w14:paraId="6948B1B2" w14:textId="77777777" w:rsidR="00503C92" w:rsidRPr="00F122A6" w:rsidRDefault="0037644B" w:rsidP="00EE0D48">
      <w:pPr>
        <w:pStyle w:val="BodyText"/>
        <w:spacing w:after="140"/>
        <w:ind w:left="1560" w:right="1830" w:firstLine="360"/>
        <w:jc w:val="both"/>
        <w:rPr>
          <w:sz w:val="20"/>
        </w:rPr>
      </w:pPr>
      <w:r>
        <w:rPr>
          <w:rStyle w:val="BodyTextChar"/>
          <w:sz w:val="20"/>
        </w:rPr>
        <w:t>Po prvé. V článku 3 znie písmeno d) takto:</w:t>
      </w:r>
    </w:p>
    <w:p w14:paraId="24D5FBD1" w14:textId="198E1DDF" w:rsidR="00503C92" w:rsidRPr="00F122A6" w:rsidRDefault="0037644B" w:rsidP="00EE0D48">
      <w:pPr>
        <w:pStyle w:val="BodyText"/>
        <w:spacing w:after="140"/>
        <w:ind w:left="1560" w:right="1830"/>
        <w:jc w:val="both"/>
        <w:rPr>
          <w:sz w:val="20"/>
        </w:rPr>
      </w:pPr>
      <w:r>
        <w:rPr>
          <w:rStyle w:val="BodyTextChar"/>
          <w:sz w:val="20"/>
        </w:rPr>
        <w:t>„d) Kompost: materiál získaný aeróbnym a termofilným biologickým spracovaním biologicky rozložiteľného odpadu z triedeného zberu, ktorý, ak sa získava aeróbnym kompostovaním v súlade s požiadavkami kategórie komponentných materiálov 3 (CMC 3) prílohy II k nariadeniu Európskeho parlamentu a Rady (EÚ) 2019/1009 z 5. júna 2019, dosiahne stav konca odpadu, ak zároveň spĺňa požiadavky predpisov o výrobkoch.“</w:t>
      </w:r>
    </w:p>
    <w:p w14:paraId="402A47F5" w14:textId="77777777" w:rsidR="00503C92" w:rsidRPr="00F122A6" w:rsidRDefault="0037644B" w:rsidP="00F122A6">
      <w:pPr>
        <w:pStyle w:val="BodyText"/>
        <w:keepNext/>
        <w:spacing w:after="140"/>
        <w:ind w:left="1559" w:right="1831" w:firstLine="357"/>
        <w:jc w:val="both"/>
        <w:rPr>
          <w:sz w:val="20"/>
        </w:rPr>
      </w:pPr>
      <w:r>
        <w:rPr>
          <w:rStyle w:val="BodyTextChar"/>
          <w:sz w:val="20"/>
        </w:rPr>
        <w:t>Po druhé. V článku 5 znie písmeno a) takto:</w:t>
      </w:r>
    </w:p>
    <w:p w14:paraId="4150FC23" w14:textId="77777777" w:rsidR="00EE0D48" w:rsidRPr="00F122A6" w:rsidRDefault="0037644B" w:rsidP="00EE0D48">
      <w:pPr>
        <w:pStyle w:val="BodyText"/>
        <w:spacing w:after="140" w:line="276" w:lineRule="auto"/>
        <w:ind w:left="1560" w:right="1830"/>
        <w:jc w:val="both"/>
        <w:rPr>
          <w:rStyle w:val="BodyTextChar"/>
          <w:sz w:val="20"/>
        </w:rPr>
      </w:pPr>
      <w:r>
        <w:rPr>
          <w:rStyle w:val="BodyTextChar"/>
          <w:sz w:val="20"/>
        </w:rPr>
        <w:t>„a) Nasledujúce údaje v pláne hnojenia uvedenom v článku 6, ak je povinné vypracovať ho na začiatku poľnohospodárskeho roka: očakávaný výnos, predchádzajúca plodina, požiadavky N,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xml:space="preserve"> a K</w:t>
      </w:r>
      <w:r>
        <w:rPr>
          <w:rStyle w:val="BodyTextChar"/>
          <w:sz w:val="20"/>
          <w:vertAlign w:val="subscript"/>
        </w:rPr>
        <w:t>2</w:t>
      </w:r>
      <w:r>
        <w:rPr>
          <w:rStyle w:val="BodyTextChar"/>
          <w:sz w:val="20"/>
        </w:rPr>
        <w:t>O, ako aj dátum, ku ktorému bol plán vypracovaný.“</w:t>
      </w:r>
    </w:p>
    <w:p w14:paraId="694AB235" w14:textId="47707BFA" w:rsidR="00503C92" w:rsidRPr="00F122A6" w:rsidRDefault="0037644B" w:rsidP="00EE0D48">
      <w:pPr>
        <w:pStyle w:val="BodyText"/>
        <w:spacing w:after="140"/>
        <w:ind w:left="1560" w:right="1830" w:firstLine="360"/>
        <w:jc w:val="both"/>
        <w:rPr>
          <w:sz w:val="20"/>
        </w:rPr>
      </w:pPr>
      <w:r>
        <w:rPr>
          <w:rStyle w:val="BodyTextChar"/>
          <w:sz w:val="20"/>
        </w:rPr>
        <w:t>Po tretie. V článku 6 znie odsek 4 takto:</w:t>
      </w:r>
    </w:p>
    <w:p w14:paraId="71A37E88" w14:textId="77777777" w:rsidR="00503C92" w:rsidRPr="00F122A6" w:rsidRDefault="0037644B" w:rsidP="00EE0D48">
      <w:pPr>
        <w:pStyle w:val="BodyText"/>
        <w:ind w:left="1560" w:right="1830"/>
        <w:jc w:val="both"/>
        <w:rPr>
          <w:sz w:val="20"/>
        </w:rPr>
      </w:pPr>
      <w:r>
        <w:rPr>
          <w:rStyle w:val="BodyTextChar"/>
          <w:sz w:val="20"/>
        </w:rPr>
        <w:t>„4. Plán zahŕňa odporúčanú dávku rôznych živín, čas, kedy sa majú aplikovať, ako aj typ hnojiva alebo materiálu, spôsob aplikácie a distribučné strojové zariadenie.“</w:t>
      </w:r>
    </w:p>
    <w:p w14:paraId="283A1B19" w14:textId="77777777" w:rsidR="00503C92" w:rsidRPr="00F122A6" w:rsidRDefault="0037644B" w:rsidP="00EE0D48">
      <w:pPr>
        <w:pStyle w:val="BodyText"/>
        <w:ind w:left="1560" w:right="1830"/>
        <w:jc w:val="both"/>
        <w:rPr>
          <w:sz w:val="20"/>
        </w:rPr>
      </w:pPr>
      <w:r>
        <w:rPr>
          <w:rStyle w:val="BodyTextChar"/>
          <w:sz w:val="20"/>
        </w:rPr>
        <w:lastRenderedPageBreak/>
        <w:t>Po štvrté. Článok 9 ods. 2 písm. g) znie takto:</w:t>
      </w:r>
    </w:p>
    <w:p w14:paraId="582E52F1" w14:textId="77777777" w:rsidR="00503C92" w:rsidRPr="00F122A6" w:rsidRDefault="0037644B" w:rsidP="00EE0D48">
      <w:pPr>
        <w:pStyle w:val="BodyText"/>
        <w:ind w:left="1560" w:right="1830"/>
        <w:jc w:val="both"/>
        <w:rPr>
          <w:sz w:val="20"/>
        </w:rPr>
      </w:pPr>
      <w:r>
        <w:rPr>
          <w:rStyle w:val="BodyTextChar"/>
          <w:sz w:val="20"/>
        </w:rPr>
        <w:t>„g) Hromady nesmú vo všeobecnosti zostať v priestoroch dlhšie ako 10 dní. Ak sa nahromadený materiál podrobí kompostovaniu alebo digescii, táto lehota sa môže predĺžiť až na 20 dní. Ohrady, ku ktorým nie je možný prístup strojových zariadení z dôvodu zrážok, sú oslobodené od tejto povinnosti, kým táto okolnosť nepominie.“</w:t>
      </w:r>
    </w:p>
    <w:p w14:paraId="0430BE9F" w14:textId="77777777" w:rsidR="00503C92" w:rsidRPr="00F122A6" w:rsidRDefault="0037644B" w:rsidP="00EE0D48">
      <w:pPr>
        <w:pStyle w:val="BodyText"/>
        <w:ind w:left="1560" w:right="1830"/>
        <w:jc w:val="both"/>
        <w:rPr>
          <w:sz w:val="20"/>
        </w:rPr>
      </w:pPr>
      <w:r>
        <w:rPr>
          <w:rStyle w:val="BodyTextChar"/>
          <w:sz w:val="20"/>
        </w:rPr>
        <w:t>Po piate. Článok 10 ods. 2 a článok 10 ods. 3 prvý a posledný pododsek znejú takto:</w:t>
      </w:r>
    </w:p>
    <w:p w14:paraId="5D0D8FC9" w14:textId="77777777" w:rsidR="00503C92" w:rsidRPr="00F122A6" w:rsidRDefault="0037644B" w:rsidP="00EE0D48">
      <w:pPr>
        <w:pStyle w:val="BodyText"/>
        <w:spacing w:after="0"/>
        <w:ind w:left="1560" w:right="1830"/>
        <w:jc w:val="both"/>
        <w:rPr>
          <w:sz w:val="20"/>
        </w:rPr>
      </w:pPr>
      <w:r>
        <w:rPr>
          <w:rStyle w:val="BodyTextChar"/>
          <w:sz w:val="20"/>
        </w:rPr>
        <w:t>„2. Aplikácia iných organických alebo organicko-minerálnych materiálov vrátane odpadu použitím systémov platní, ventilátorov a kanónov sa zakazuje, ak je vlhkosť týchto materiálov 90 % alebo viac a ich obsah amoniakálneho dusíka presahuje 0,1 % na čerstvú hmotu.“</w:t>
      </w:r>
    </w:p>
    <w:p w14:paraId="6C51EA6F" w14:textId="77777777" w:rsidR="00503C92" w:rsidRPr="00F122A6" w:rsidRDefault="0037644B" w:rsidP="00EE0D48">
      <w:pPr>
        <w:pStyle w:val="BodyText"/>
        <w:spacing w:after="0"/>
        <w:ind w:left="1560" w:right="1830"/>
        <w:jc w:val="both"/>
        <w:rPr>
          <w:sz w:val="20"/>
        </w:rPr>
      </w:pPr>
      <w:r>
        <w:rPr>
          <w:rStyle w:val="BodyTextChar"/>
          <w:sz w:val="20"/>
        </w:rPr>
        <w:t>„3. „Hnoj a organické alebo organicko-minerálne produkty alebo materiály vrátane odpadu sa musia zaorať čo najskôr po aplikácii a vždy v priebehu prvých 24 hodín pomocou radličného pluhu, dlátového kypriča, rotačného pluhu alebo zariadenia zabezpečujúceho rovnocennú prácu, pokiaľ sa nevyskytne jedna z týchto okolností:“</w:t>
      </w:r>
    </w:p>
    <w:p w14:paraId="1D9B8B0E" w14:textId="77777777" w:rsidR="00503C92" w:rsidRPr="00F122A6" w:rsidRDefault="0037644B" w:rsidP="00EE0D48">
      <w:pPr>
        <w:pStyle w:val="BodyText"/>
        <w:ind w:left="1560" w:right="1830"/>
        <w:jc w:val="both"/>
        <w:rPr>
          <w:sz w:val="20"/>
        </w:rPr>
      </w:pPr>
      <w:r>
        <w:rPr>
          <w:rStyle w:val="BodyTextChar"/>
          <w:sz w:val="20"/>
        </w:rPr>
        <w:t>„Príslušné orgány autonómnych spoločenstiev, berúc do úvahy agroklimatické charakteristiky ich území a druh použitého materiálu, môžu stanoviť maximálny čas kratší ako 24 hodín na vykonanie tohto zaorania, ak je to povinné.“</w:t>
      </w:r>
    </w:p>
    <w:p w14:paraId="73324CC2" w14:textId="77777777" w:rsidR="00503C92" w:rsidRPr="00F122A6" w:rsidRDefault="0037644B" w:rsidP="00EE0D48">
      <w:pPr>
        <w:pStyle w:val="BodyText"/>
        <w:ind w:left="1560" w:right="1830"/>
        <w:jc w:val="both"/>
        <w:rPr>
          <w:sz w:val="20"/>
        </w:rPr>
      </w:pPr>
      <w:r>
        <w:rPr>
          <w:rStyle w:val="BodyTextChar"/>
          <w:sz w:val="20"/>
        </w:rPr>
        <w:t>Po šieste. Odseky 2, 3 a 4 článku 12 znejú takto:</w:t>
      </w:r>
    </w:p>
    <w:p w14:paraId="6BB7A2EA" w14:textId="77777777" w:rsidR="00503C92" w:rsidRPr="00F122A6" w:rsidRDefault="0037644B" w:rsidP="00EE0D48">
      <w:pPr>
        <w:pStyle w:val="BodyText"/>
        <w:spacing w:after="0"/>
        <w:ind w:left="1560" w:right="1830"/>
        <w:jc w:val="both"/>
        <w:rPr>
          <w:sz w:val="20"/>
        </w:rPr>
      </w:pPr>
      <w:r>
        <w:rPr>
          <w:rStyle w:val="BodyTextChar"/>
          <w:sz w:val="20"/>
        </w:rPr>
        <w:t>„2. V čo najväčšej miere sa bude podporovať používanie produktov na hnojenie, ktoré produkujú menej emisií amoniaku, menej emisií skleníkových plynov alebo znižujú riziko vyplavovania dusičnanov, pričom sa zohľadnia vlastnosti pôdy, klímy a plodín.</w:t>
      </w:r>
    </w:p>
    <w:p w14:paraId="7EF1CF55" w14:textId="77777777" w:rsidR="00503C92" w:rsidRPr="00F122A6" w:rsidRDefault="0037644B" w:rsidP="00EE0D48">
      <w:pPr>
        <w:pStyle w:val="BodyText"/>
        <w:numPr>
          <w:ilvl w:val="0"/>
          <w:numId w:val="2"/>
        </w:numPr>
        <w:tabs>
          <w:tab w:val="left" w:pos="1290"/>
        </w:tabs>
        <w:spacing w:after="0"/>
        <w:ind w:left="1560" w:right="1830"/>
        <w:jc w:val="both"/>
        <w:rPr>
          <w:sz w:val="20"/>
        </w:rPr>
      </w:pPr>
      <w:r>
        <w:rPr>
          <w:rStyle w:val="BodyTextChar"/>
          <w:sz w:val="20"/>
        </w:rPr>
        <w:t>Keď sa používa močovina alebo roztoky močovinového dusíka, musí sa vykonať aspoň jedna z metód uvedených v časti B prílohy V, akákoľvek iná metóda, pri ktorej bola preukázaná podobná účinnosť pri znižovaní emisií amoniaku, alebo sa musí viesť digitálny register poľnohospodárskeho podniku bez toho, aby to bolo povinné podľa ostatných ustanovení tohto kráľovského dekrétu.</w:t>
      </w:r>
    </w:p>
    <w:p w14:paraId="1DABF87A" w14:textId="3D896EA7" w:rsidR="00503C92" w:rsidRPr="00F122A6" w:rsidRDefault="0037644B" w:rsidP="00EE0D48">
      <w:pPr>
        <w:pStyle w:val="BodyText"/>
        <w:numPr>
          <w:ilvl w:val="0"/>
          <w:numId w:val="2"/>
        </w:numPr>
        <w:tabs>
          <w:tab w:val="left" w:pos="1290"/>
        </w:tabs>
        <w:ind w:left="1560" w:right="1830"/>
        <w:jc w:val="both"/>
        <w:rPr>
          <w:sz w:val="20"/>
        </w:rPr>
      </w:pPr>
      <w:r>
        <w:rPr>
          <w:rStyle w:val="BodyTextChar"/>
          <w:sz w:val="20"/>
        </w:rPr>
        <w:t>Ak sa v priebehu jedného roka zistí, že dusík dodávaný z močoviny a roztokov močovinového dusíka presahuje 30 % celkového dusíka uvedeného na trh na vnútroštátnej úrovni, v nasledujúcom období si podniky, ktoré používajú močovinu alebo roztoky močovinového dusíka na pokrytie viac ako 20 % svojich potrieb dusíka, musia vybrať z metód uvedených v časti B prílohy V, ktoré zabezpečia zníženie emisií aspoň o 30 % v porovnaní s referenčnou technikou v súlade s odhadmi usmernení, ktoré vypracovala osobitná skupina Európskej hospodárskej komisie Organizácie Spojených národov (EHK OSN) pre reaktívny dusík „Možnosti zníženia emisií amoniaku“. Na tento účel sa na základe rozhodnutia Generálneho riaditeľstva pre poľnohospodársku výrobu a trhy každoročne uverejňuje množstvo dusíka uvádzaného na trh vo forme močoviny a roztokov močovinového dusíka v pomere k celkovému množstvu. V prípade, že ministerstvo pre ekologickú transformáciu a demografickú výzvu určí národné redukčné koeficienty pre tieto techniky, nahradia koeficienty stanovené v uvedených usmerneniach EHK OSN.“</w:t>
      </w:r>
    </w:p>
    <w:p w14:paraId="696818E4" w14:textId="77777777" w:rsidR="00503C92" w:rsidRPr="00F122A6" w:rsidRDefault="0037644B" w:rsidP="00EE0D48">
      <w:pPr>
        <w:pStyle w:val="BodyText"/>
        <w:ind w:left="1560" w:right="1830"/>
        <w:jc w:val="both"/>
        <w:rPr>
          <w:sz w:val="20"/>
        </w:rPr>
      </w:pPr>
      <w:r>
        <w:rPr>
          <w:rStyle w:val="BodyTextChar"/>
          <w:sz w:val="20"/>
        </w:rPr>
        <w:t>Po siedme. Mení sa znenie článku 15 ods. 1 a vkladá sa nový odsek 6, ktorý znie takto:</w:t>
      </w:r>
    </w:p>
    <w:p w14:paraId="598FC1FC" w14:textId="77777777" w:rsidR="00503C92" w:rsidRPr="00F122A6" w:rsidRDefault="0037644B" w:rsidP="00EE0D48">
      <w:pPr>
        <w:pStyle w:val="BodyText"/>
        <w:spacing w:after="0"/>
        <w:ind w:left="1560" w:right="1830"/>
        <w:jc w:val="both"/>
        <w:rPr>
          <w:sz w:val="20"/>
        </w:rPr>
      </w:pPr>
      <w:r>
        <w:rPr>
          <w:rStyle w:val="BodyTextChar"/>
          <w:sz w:val="20"/>
        </w:rPr>
        <w:t xml:space="preserve">„1. Materiály uvedené v predchádzajúcom článku, ak sa používajú ako pôdne pomocné látky, sa aplikujú len na nekultivované pôdy a ak sa aplikujú na dreviny alebo na trvalé plodiny pestované na ornej pôde, ako sú banány a papája, aplikujú sa priamo do pôdy a pred koncom zimného vegetačného pokoja. V prípade trvalých pasienkov sa môžu aplikovať s povolením autonómneho spoločenstva. Pri aplikovaní s cieľom využiť ich živiny ako hnojivá, ak sa aplikujú na pôdu s vysadenou plodinou, nesmú prísť do styku </w:t>
      </w:r>
      <w:r>
        <w:rPr>
          <w:rStyle w:val="BodyTextChar"/>
          <w:sz w:val="20"/>
        </w:rPr>
        <w:lastRenderedPageBreak/>
        <w:t>s časťou plodiny určenou na spotrebu.“</w:t>
      </w:r>
    </w:p>
    <w:p w14:paraId="7B11D49C" w14:textId="77777777" w:rsidR="00503C92" w:rsidRPr="00F122A6" w:rsidRDefault="0037644B" w:rsidP="00EE0D48">
      <w:pPr>
        <w:pStyle w:val="BodyText"/>
        <w:ind w:left="1560" w:right="1830"/>
        <w:jc w:val="both"/>
        <w:rPr>
          <w:sz w:val="20"/>
        </w:rPr>
      </w:pPr>
      <w:r>
        <w:rPr>
          <w:rStyle w:val="BodyTextChar"/>
          <w:sz w:val="20"/>
        </w:rPr>
        <w:t>„6. V autonómnych spoločenstvách, ktoré nemajú právne predpisy uplatniteľné pred reguláciou stanovenou v tomto predpise, sa aplikujú kvapalné zhodnotiteľné odpady, okrem kalu, ktoré sa používajú na zabezpečenie živín pre plodiny, pričom sa umožní, aby medzi aplikáciou a zberom uplynuli najmenej dva mesiace. Táto lehota sa však môže skrátiť na 21 dní v týchto prípadoch:</w:t>
      </w:r>
    </w:p>
    <w:p w14:paraId="76164C5F" w14:textId="77777777" w:rsidR="00503C92" w:rsidRPr="00F122A6" w:rsidRDefault="0037644B" w:rsidP="00EE0D48">
      <w:pPr>
        <w:pStyle w:val="BodyText"/>
        <w:numPr>
          <w:ilvl w:val="0"/>
          <w:numId w:val="3"/>
        </w:numPr>
        <w:tabs>
          <w:tab w:val="left" w:pos="1304"/>
        </w:tabs>
        <w:spacing w:after="0"/>
        <w:ind w:left="1560" w:right="1830" w:firstLine="920"/>
        <w:jc w:val="both"/>
        <w:rPr>
          <w:sz w:val="20"/>
        </w:rPr>
      </w:pPr>
      <w:r>
        <w:rPr>
          <w:rStyle w:val="BodyTextChar"/>
          <w:sz w:val="20"/>
        </w:rPr>
        <w:t>zber nie je určený na ľudskú alebo živočíšnu spotrebu, alebo</w:t>
      </w:r>
    </w:p>
    <w:p w14:paraId="507CC156" w14:textId="77777777" w:rsidR="00503C92" w:rsidRPr="00F122A6" w:rsidRDefault="0037644B" w:rsidP="00BB487E">
      <w:pPr>
        <w:pStyle w:val="BodyText"/>
        <w:numPr>
          <w:ilvl w:val="0"/>
          <w:numId w:val="3"/>
        </w:numPr>
        <w:tabs>
          <w:tab w:val="left" w:pos="1300"/>
        </w:tabs>
        <w:ind w:left="2127" w:right="1830"/>
        <w:jc w:val="both"/>
        <w:rPr>
          <w:sz w:val="20"/>
        </w:rPr>
      </w:pPr>
      <w:r>
        <w:rPr>
          <w:rStyle w:val="BodyTextChar"/>
          <w:sz w:val="20"/>
        </w:rPr>
        <w:t>forma pestovania alebo systém aplikácie materiálu zabezpečujú, že odpady neprichádzajú do styku s jedlými časťami plodiny.“</w:t>
      </w:r>
    </w:p>
    <w:p w14:paraId="5D11DE93" w14:textId="77777777" w:rsidR="00503C92" w:rsidRPr="00F122A6" w:rsidRDefault="0037644B" w:rsidP="00EE0D48">
      <w:pPr>
        <w:pStyle w:val="BodyText"/>
        <w:ind w:left="1560" w:right="1830"/>
        <w:jc w:val="both"/>
        <w:rPr>
          <w:sz w:val="20"/>
        </w:rPr>
      </w:pPr>
      <w:r>
        <w:rPr>
          <w:rStyle w:val="BodyTextChar"/>
          <w:sz w:val="20"/>
        </w:rPr>
        <w:t>Po ôsme. Prvý pododsek článku 20 znie takto:</w:t>
      </w:r>
    </w:p>
    <w:p w14:paraId="1194A18B" w14:textId="77777777" w:rsidR="00503C92" w:rsidRPr="00F122A6" w:rsidRDefault="0037644B" w:rsidP="00EE0D48">
      <w:pPr>
        <w:pStyle w:val="BodyText"/>
        <w:ind w:left="1560" w:right="1830"/>
        <w:jc w:val="both"/>
        <w:rPr>
          <w:sz w:val="20"/>
        </w:rPr>
      </w:pPr>
      <w:r>
        <w:rPr>
          <w:rStyle w:val="BodyTextChar"/>
          <w:sz w:val="20"/>
        </w:rPr>
        <w:t>„Odporúčanie týkajúce sa rôznych aspektov hnojenia uvedené v tomto kráľovskom dekréte poskytne technik, ktorý môže preukázať svoje postavenie poradcu pre hnojenie v súlade s požiadavkami stanovenými v článku 21. Ak to však stanoví príslušný orgán autonómneho spoločenstva, poradenské povinnosti môžu byť splnené, ak vlastník podniku používa softvér na odporúčanie hnojenia schválený týmto príslušným orgánom v súlade s minimálnymi požiadavkami stanovenými v časti III prílohy III za predpokladu, že vlastník vedie digitálny register poľnohospodárskeho podniku.“</w:t>
      </w:r>
    </w:p>
    <w:p w14:paraId="0E0619CE" w14:textId="77777777" w:rsidR="00503C92" w:rsidRPr="00F122A6" w:rsidRDefault="0037644B" w:rsidP="00EE0D48">
      <w:pPr>
        <w:pStyle w:val="BodyText"/>
        <w:spacing w:after="180"/>
        <w:ind w:left="1560" w:right="1830"/>
        <w:jc w:val="both"/>
        <w:rPr>
          <w:sz w:val="20"/>
        </w:rPr>
      </w:pPr>
      <w:r>
        <w:rPr>
          <w:rStyle w:val="BodyTextChar"/>
          <w:sz w:val="20"/>
        </w:rPr>
        <w:t>Po deviate. Jediné prechodné ustanovenie znie takto:</w:t>
      </w:r>
    </w:p>
    <w:p w14:paraId="1B18B22E" w14:textId="77777777" w:rsidR="00503C92" w:rsidRPr="00F122A6" w:rsidRDefault="0037644B" w:rsidP="00BB487E">
      <w:pPr>
        <w:pStyle w:val="BodyText"/>
        <w:spacing w:line="257" w:lineRule="auto"/>
        <w:ind w:left="1985" w:right="1830" w:hanging="340"/>
        <w:jc w:val="both"/>
        <w:rPr>
          <w:sz w:val="20"/>
          <w:szCs w:val="20"/>
        </w:rPr>
      </w:pPr>
      <w:r>
        <w:rPr>
          <w:rStyle w:val="BodyTextChar"/>
          <w:sz w:val="20"/>
        </w:rPr>
        <w:t xml:space="preserve">„Jediné prechodné ustanovenie. </w:t>
      </w:r>
      <w:r>
        <w:rPr>
          <w:rStyle w:val="BodyTextChar"/>
          <w:i/>
          <w:sz w:val="20"/>
        </w:rPr>
        <w:t>Aplikácia odpadu prostredníctvom prevádzky R1001 Zhodnocovanie odpadu v poľnohospodárskej pôde a záhradníctve.</w:t>
      </w:r>
    </w:p>
    <w:p w14:paraId="1D7846FC" w14:textId="720A5B50" w:rsidR="00503C92" w:rsidRPr="00F122A6" w:rsidRDefault="0037644B" w:rsidP="00EE0D48">
      <w:pPr>
        <w:pStyle w:val="BodyText"/>
        <w:ind w:left="1560" w:right="1830"/>
        <w:jc w:val="both"/>
        <w:rPr>
          <w:sz w:val="20"/>
        </w:rPr>
      </w:pPr>
      <w:r>
        <w:rPr>
          <w:rStyle w:val="BodyTextChar"/>
          <w:sz w:val="20"/>
        </w:rPr>
        <w:t>V prípade odpadu, ktorý bol príslušným orgánom pre životné prostredie povolený na nakladanie s odpadom ako R1001 Zhodnocovanie odpadu v poľnohospodárskej pôde a záhradníctve a ktorý je na tento účel certifikovaný dokumentáciou prostredníctvom opisu procesu a analytických charakteristík, má pôvodca odpadu pred nadobudnutím účinnosti tohto kráľovského dekrétu lehotu 3 roky od uverejnenia tohto kráľovského dekrétu na to, aby pokračoval v nakladaní s týmto odpadom a aby v prípade potreby predložil správu o zmene prílohy VIII.“</w:t>
      </w:r>
    </w:p>
    <w:p w14:paraId="2A47F4D6" w14:textId="77777777" w:rsidR="00503C92" w:rsidRPr="00F122A6" w:rsidRDefault="0037644B" w:rsidP="00EE0D48">
      <w:pPr>
        <w:pStyle w:val="BodyText"/>
        <w:ind w:left="1560" w:right="1830"/>
        <w:jc w:val="both"/>
        <w:rPr>
          <w:sz w:val="20"/>
        </w:rPr>
      </w:pPr>
      <w:r>
        <w:rPr>
          <w:rStyle w:val="BodyTextChar"/>
          <w:sz w:val="20"/>
        </w:rPr>
        <w:t>Po desiate. Pododsek iii) prílohy II znie takto:</w:t>
      </w:r>
    </w:p>
    <w:p w14:paraId="059223B0" w14:textId="77777777" w:rsidR="00EE0D48" w:rsidRPr="00F122A6" w:rsidRDefault="0037644B" w:rsidP="00EE0D48">
      <w:pPr>
        <w:pStyle w:val="BodyText"/>
        <w:ind w:left="1560" w:right="1830"/>
        <w:jc w:val="both"/>
        <w:rPr>
          <w:rStyle w:val="BodyTextChar"/>
          <w:sz w:val="20"/>
        </w:rPr>
      </w:pPr>
      <w:r>
        <w:rPr>
          <w:rStyle w:val="BodyTextChar"/>
          <w:sz w:val="20"/>
        </w:rPr>
        <w:t>„iii) ak sa používajú techniky na zmiernenie vyplavovania, ako sú polyméry, inhibítory atď., určité produkty s oneskoreným uvoľňovaním môžu byť vyňaté zo zákazu aplikácie počas určitých období“.</w:t>
      </w:r>
    </w:p>
    <w:p w14:paraId="7DE01383" w14:textId="0A5F5024" w:rsidR="00503C92" w:rsidRPr="00F122A6" w:rsidRDefault="0037644B" w:rsidP="00EE0D48">
      <w:pPr>
        <w:pStyle w:val="BodyText"/>
        <w:ind w:left="1560" w:right="1830"/>
        <w:jc w:val="both"/>
        <w:rPr>
          <w:sz w:val="20"/>
        </w:rPr>
      </w:pPr>
      <w:r>
        <w:rPr>
          <w:rStyle w:val="BodyTextChar"/>
          <w:sz w:val="20"/>
        </w:rPr>
        <w:t>Po jedenáste. Prvý pododsek časti III prílohy III znie takto:</w:t>
      </w:r>
    </w:p>
    <w:p w14:paraId="18597F81" w14:textId="77777777" w:rsidR="00503C92" w:rsidRPr="00F122A6" w:rsidRDefault="0037644B" w:rsidP="00EE0D48">
      <w:pPr>
        <w:pStyle w:val="BodyText"/>
        <w:spacing w:after="140"/>
        <w:ind w:left="1560" w:right="1830"/>
        <w:jc w:val="both"/>
        <w:rPr>
          <w:sz w:val="20"/>
        </w:rPr>
      </w:pPr>
      <w:r>
        <w:rPr>
          <w:rStyle w:val="BodyTextChar"/>
          <w:sz w:val="20"/>
        </w:rPr>
        <w:t>„Poradenské povinnosti stanovené týmto kráľovským dekrétom sa považujú za splnené, ak poľnohospodár vedie digitálny register poľnohospodárskeho podniku a ak sa používajú nástroje alebo IT aplikácie na prípravu výpočtov potrieb živín jednotlivých plodín a predloženie návrhu na hnojivo za predpokladu, že boli schválené príslušným orgánom autonómneho spoločenstva, v ktorom sa majú používať.“</w:t>
      </w:r>
    </w:p>
    <w:p w14:paraId="3C7D3588" w14:textId="77777777" w:rsidR="00503C92" w:rsidRPr="00F122A6" w:rsidRDefault="0037644B" w:rsidP="00EE0D48">
      <w:pPr>
        <w:pStyle w:val="BodyText"/>
        <w:spacing w:after="140"/>
        <w:ind w:left="1560" w:right="1830" w:firstLine="360"/>
        <w:jc w:val="both"/>
        <w:rPr>
          <w:sz w:val="20"/>
        </w:rPr>
      </w:pPr>
      <w:r>
        <w:rPr>
          <w:rStyle w:val="BodyTextChar"/>
          <w:sz w:val="20"/>
        </w:rPr>
        <w:t>Po dvanáste. Posledný riadok tabuľky uvedenej v odseku 1 časti A prílohy IV sa nahrádza nasledujúcimi dvoma riadkami a odsek 2 znie takto:</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747"/>
        <w:gridCol w:w="2076"/>
        <w:gridCol w:w="3581"/>
      </w:tblGrid>
      <w:tr w:rsidR="00503C92" w:rsidRPr="00F122A6" w14:paraId="22C71BE9" w14:textId="77777777" w:rsidTr="00F122A6">
        <w:trPr>
          <w:trHeight w:hRule="exact" w:val="374"/>
          <w:jc w:val="center"/>
        </w:trPr>
        <w:tc>
          <w:tcPr>
            <w:tcW w:w="1747" w:type="dxa"/>
            <w:shd w:val="clear" w:color="auto" w:fill="D9D9D9" w:themeFill="background1" w:themeFillShade="D9"/>
            <w:vAlign w:val="center"/>
          </w:tcPr>
          <w:p w14:paraId="2A7B68B1"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Stĺpec 1:</w:t>
            </w:r>
          </w:p>
        </w:tc>
        <w:tc>
          <w:tcPr>
            <w:tcW w:w="2076" w:type="dxa"/>
            <w:shd w:val="clear" w:color="auto" w:fill="D9D9D9" w:themeFill="background1" w:themeFillShade="D9"/>
            <w:vAlign w:val="center"/>
          </w:tcPr>
          <w:p w14:paraId="5B6C105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Stĺpec 2:</w:t>
            </w:r>
          </w:p>
        </w:tc>
        <w:tc>
          <w:tcPr>
            <w:tcW w:w="3581" w:type="dxa"/>
            <w:shd w:val="clear" w:color="auto" w:fill="D9D9D9" w:themeFill="background1" w:themeFillShade="D9"/>
            <w:vAlign w:val="center"/>
          </w:tcPr>
          <w:p w14:paraId="5BBAA7E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Stĺpec 3:</w:t>
            </w:r>
          </w:p>
        </w:tc>
      </w:tr>
      <w:tr w:rsidR="00503C92" w:rsidRPr="00F122A6" w14:paraId="20ED82A6" w14:textId="77777777" w:rsidTr="00F122A6">
        <w:trPr>
          <w:trHeight w:hRule="exact" w:val="566"/>
          <w:jc w:val="center"/>
        </w:trPr>
        <w:tc>
          <w:tcPr>
            <w:tcW w:w="1747" w:type="dxa"/>
            <w:shd w:val="clear" w:color="auto" w:fill="D9D9D9" w:themeFill="background1" w:themeFillShade="D9"/>
            <w:vAlign w:val="center"/>
          </w:tcPr>
          <w:p w14:paraId="4B8683D3"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Ťažké kovy</w:t>
            </w:r>
          </w:p>
        </w:tc>
        <w:tc>
          <w:tcPr>
            <w:tcW w:w="2076" w:type="dxa"/>
            <w:shd w:val="clear" w:color="auto" w:fill="D9D9D9" w:themeFill="background1" w:themeFillShade="D9"/>
            <w:vAlign w:val="center"/>
          </w:tcPr>
          <w:p w14:paraId="027C08C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Limitné hodnoty (mg/kg ms)</w:t>
            </w:r>
          </w:p>
        </w:tc>
        <w:tc>
          <w:tcPr>
            <w:tcW w:w="3581" w:type="dxa"/>
            <w:shd w:val="clear" w:color="auto" w:fill="D9D9D9" w:themeFill="background1" w:themeFillShade="D9"/>
            <w:vAlign w:val="center"/>
          </w:tcPr>
          <w:p w14:paraId="6B687215"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Limitné hodnoty (mg/kg ms) uvedené v článku 8 ods. 2</w:t>
            </w:r>
          </w:p>
        </w:tc>
      </w:tr>
      <w:tr w:rsidR="00503C92" w:rsidRPr="00F122A6" w14:paraId="5A358BE6" w14:textId="77777777" w:rsidTr="00F122A6">
        <w:trPr>
          <w:trHeight w:hRule="exact" w:val="336"/>
          <w:jc w:val="center"/>
        </w:trPr>
        <w:tc>
          <w:tcPr>
            <w:tcW w:w="1747" w:type="dxa"/>
            <w:shd w:val="clear" w:color="auto" w:fill="auto"/>
            <w:vAlign w:val="center"/>
          </w:tcPr>
          <w:p w14:paraId="52B9DDD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„Celkový arzén (As)</w:t>
            </w:r>
          </w:p>
        </w:tc>
        <w:tc>
          <w:tcPr>
            <w:tcW w:w="2076" w:type="dxa"/>
            <w:shd w:val="clear" w:color="auto" w:fill="auto"/>
            <w:vAlign w:val="center"/>
          </w:tcPr>
          <w:p w14:paraId="3F7F67A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40</w:t>
            </w:r>
          </w:p>
        </w:tc>
        <w:tc>
          <w:tcPr>
            <w:tcW w:w="3581" w:type="dxa"/>
            <w:shd w:val="clear" w:color="auto" w:fill="auto"/>
            <w:vAlign w:val="center"/>
          </w:tcPr>
          <w:p w14:paraId="15B84B83"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0,8</w:t>
            </w:r>
          </w:p>
        </w:tc>
      </w:tr>
      <w:tr w:rsidR="00503C92" w:rsidRPr="00F122A6" w14:paraId="24C9545C" w14:textId="77777777" w:rsidTr="00F122A6">
        <w:trPr>
          <w:trHeight w:hRule="exact" w:val="346"/>
          <w:jc w:val="center"/>
        </w:trPr>
        <w:tc>
          <w:tcPr>
            <w:tcW w:w="1747" w:type="dxa"/>
            <w:shd w:val="clear" w:color="auto" w:fill="auto"/>
            <w:vAlign w:val="center"/>
          </w:tcPr>
          <w:p w14:paraId="5344CFF1"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Chróm (Cr)</w:t>
            </w:r>
          </w:p>
        </w:tc>
        <w:tc>
          <w:tcPr>
            <w:tcW w:w="2076" w:type="dxa"/>
            <w:shd w:val="clear" w:color="auto" w:fill="auto"/>
            <w:vAlign w:val="center"/>
          </w:tcPr>
          <w:p w14:paraId="11EA45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1000</w:t>
            </w:r>
          </w:p>
        </w:tc>
        <w:tc>
          <w:tcPr>
            <w:tcW w:w="3581" w:type="dxa"/>
            <w:shd w:val="clear" w:color="auto" w:fill="auto"/>
            <w:vAlign w:val="center"/>
          </w:tcPr>
          <w:p w14:paraId="636B41D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20“</w:t>
            </w:r>
          </w:p>
        </w:tc>
      </w:tr>
    </w:tbl>
    <w:p w14:paraId="5AB607F1" w14:textId="77777777" w:rsidR="00503C92" w:rsidRPr="00F122A6" w:rsidRDefault="00503C92" w:rsidP="00EE0D48">
      <w:pPr>
        <w:spacing w:after="239" w:line="1" w:lineRule="exact"/>
        <w:ind w:left="1560" w:right="1830"/>
      </w:pPr>
    </w:p>
    <w:p w14:paraId="145B7D13" w14:textId="5681DD89" w:rsidR="00503C92" w:rsidRPr="00F122A6" w:rsidRDefault="008A217F" w:rsidP="008A217F">
      <w:pPr>
        <w:pStyle w:val="BodyText"/>
        <w:tabs>
          <w:tab w:val="left" w:pos="1278"/>
        </w:tabs>
        <w:spacing w:after="140"/>
        <w:ind w:left="1900" w:right="1830" w:firstLine="510"/>
        <w:jc w:val="both"/>
        <w:rPr>
          <w:sz w:val="20"/>
        </w:rPr>
      </w:pPr>
      <w:r>
        <w:rPr>
          <w:rStyle w:val="BodyTextChar"/>
          <w:sz w:val="20"/>
        </w:rPr>
        <w:lastRenderedPageBreak/>
        <w:t>„2. Hodnoty ťažkých kovov odpadu aplikovaného na pôdu sa zaznamenajú do registra poľnohospodárskeho podniku uvedeného v článku 5 tohto kráľovského dekrétu.“</w:t>
      </w:r>
    </w:p>
    <w:p w14:paraId="14D9F12F" w14:textId="77777777" w:rsidR="00503C92" w:rsidRPr="00F122A6" w:rsidRDefault="0037644B" w:rsidP="00EE0D48">
      <w:pPr>
        <w:pStyle w:val="BodyText"/>
        <w:spacing w:after="140"/>
        <w:ind w:left="1560" w:right="1830" w:firstLine="360"/>
        <w:jc w:val="both"/>
        <w:rPr>
          <w:sz w:val="20"/>
        </w:rPr>
      </w:pPr>
      <w:r>
        <w:rPr>
          <w:rStyle w:val="BodyTextChar"/>
          <w:sz w:val="20"/>
        </w:rPr>
        <w:t>Po trináste. Na konci tabuľky v časti B prílohy IV sa dopĺňa nasledujúci riadok s týmto obsahom:</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59708D39" w14:textId="77777777" w:rsidTr="008A217F">
        <w:trPr>
          <w:trHeight w:hRule="exact" w:val="350"/>
          <w:jc w:val="center"/>
        </w:trPr>
        <w:tc>
          <w:tcPr>
            <w:tcW w:w="1483" w:type="dxa"/>
            <w:shd w:val="clear" w:color="auto" w:fill="auto"/>
            <w:vAlign w:val="center"/>
          </w:tcPr>
          <w:p w14:paraId="08066328" w14:textId="77777777" w:rsidR="00503C92" w:rsidRPr="00F122A6" w:rsidRDefault="0037644B" w:rsidP="00F122A6">
            <w:pPr>
              <w:pStyle w:val="Other0"/>
              <w:spacing w:after="0" w:line="240" w:lineRule="auto"/>
              <w:ind w:left="57" w:right="57" w:firstLine="0"/>
              <w:rPr>
                <w:sz w:val="17"/>
                <w:szCs w:val="17"/>
              </w:rPr>
            </w:pPr>
            <w:r>
              <w:rPr>
                <w:rStyle w:val="Other"/>
                <w:sz w:val="17"/>
              </w:rPr>
              <w:t>„Chróm (Cr)</w:t>
            </w:r>
          </w:p>
        </w:tc>
        <w:tc>
          <w:tcPr>
            <w:tcW w:w="734" w:type="dxa"/>
            <w:shd w:val="clear" w:color="auto" w:fill="auto"/>
            <w:vAlign w:val="center"/>
          </w:tcPr>
          <w:p w14:paraId="7816A92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60</w:t>
            </w:r>
          </w:p>
        </w:tc>
        <w:tc>
          <w:tcPr>
            <w:tcW w:w="744" w:type="dxa"/>
            <w:shd w:val="clear" w:color="auto" w:fill="auto"/>
            <w:vAlign w:val="center"/>
          </w:tcPr>
          <w:p w14:paraId="186443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w:t>
            </w:r>
          </w:p>
        </w:tc>
      </w:tr>
    </w:tbl>
    <w:p w14:paraId="4DE6B90B" w14:textId="77777777" w:rsidR="00503C92" w:rsidRPr="00F122A6" w:rsidRDefault="00503C92" w:rsidP="00EE0D48">
      <w:pPr>
        <w:spacing w:after="239" w:line="1" w:lineRule="exact"/>
        <w:ind w:left="1560" w:right="1830"/>
      </w:pPr>
    </w:p>
    <w:p w14:paraId="2755C612" w14:textId="77777777" w:rsidR="00503C92" w:rsidRPr="00F122A6" w:rsidRDefault="0037644B" w:rsidP="00EE0D48">
      <w:pPr>
        <w:pStyle w:val="BodyText"/>
        <w:spacing w:after="140"/>
        <w:ind w:left="1560" w:right="1830" w:firstLine="360"/>
        <w:jc w:val="both"/>
        <w:rPr>
          <w:sz w:val="20"/>
        </w:rPr>
      </w:pPr>
      <w:r>
        <w:rPr>
          <w:rStyle w:val="BodyTextChar"/>
          <w:sz w:val="20"/>
        </w:rPr>
        <w:t>Po štrnáste. Na konci tabuľky uvedenej v odseku 1 časti C prílohy IV sa dopĺňa riadok s týmto obsahom:</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43508A47" w14:textId="77777777" w:rsidTr="008A217F">
        <w:trPr>
          <w:trHeight w:hRule="exact" w:val="350"/>
          <w:jc w:val="center"/>
        </w:trPr>
        <w:tc>
          <w:tcPr>
            <w:tcW w:w="1483" w:type="dxa"/>
            <w:shd w:val="clear" w:color="auto" w:fill="auto"/>
            <w:vAlign w:val="center"/>
          </w:tcPr>
          <w:p w14:paraId="209C69AC" w14:textId="77777777" w:rsidR="00503C92" w:rsidRPr="00F122A6" w:rsidRDefault="0037644B" w:rsidP="00F122A6">
            <w:pPr>
              <w:pStyle w:val="Other0"/>
              <w:spacing w:after="0" w:line="240" w:lineRule="auto"/>
              <w:ind w:left="57" w:right="57" w:firstLine="0"/>
              <w:rPr>
                <w:sz w:val="17"/>
                <w:szCs w:val="17"/>
              </w:rPr>
            </w:pPr>
            <w:r>
              <w:rPr>
                <w:rStyle w:val="Other"/>
                <w:sz w:val="17"/>
              </w:rPr>
              <w:t>„Chróm (Cr)</w:t>
            </w:r>
          </w:p>
        </w:tc>
        <w:tc>
          <w:tcPr>
            <w:tcW w:w="734" w:type="dxa"/>
            <w:shd w:val="clear" w:color="auto" w:fill="auto"/>
            <w:vAlign w:val="center"/>
          </w:tcPr>
          <w:p w14:paraId="2B8EA9C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2400</w:t>
            </w:r>
          </w:p>
        </w:tc>
        <w:tc>
          <w:tcPr>
            <w:tcW w:w="744" w:type="dxa"/>
            <w:shd w:val="clear" w:color="auto" w:fill="auto"/>
            <w:vAlign w:val="center"/>
          </w:tcPr>
          <w:p w14:paraId="1B13026B"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48“</w:t>
            </w:r>
          </w:p>
        </w:tc>
      </w:tr>
    </w:tbl>
    <w:p w14:paraId="03D5A39B" w14:textId="77777777" w:rsidR="00503C92" w:rsidRPr="00F122A6" w:rsidRDefault="00503C92" w:rsidP="00EE0D48">
      <w:pPr>
        <w:spacing w:after="239" w:line="1" w:lineRule="exact"/>
        <w:ind w:left="1560" w:right="1830"/>
      </w:pPr>
    </w:p>
    <w:p w14:paraId="35F234AC" w14:textId="77777777" w:rsidR="00503C92" w:rsidRPr="00F122A6" w:rsidRDefault="0037644B" w:rsidP="00EE0D48">
      <w:pPr>
        <w:pStyle w:val="BodyText"/>
        <w:spacing w:after="140"/>
        <w:ind w:left="1560" w:right="1830" w:firstLine="360"/>
        <w:jc w:val="both"/>
        <w:rPr>
          <w:sz w:val="20"/>
        </w:rPr>
      </w:pPr>
      <w:r>
        <w:rPr>
          <w:rStyle w:val="BodyTextChar"/>
          <w:sz w:val="20"/>
        </w:rPr>
        <w:t>Po pätnáste. V prílohe V časti A sa menia písmená f) a g) a dopĺňajú sa dve nové písmená h) a i) s týmto obsahom:</w:t>
      </w:r>
    </w:p>
    <w:p w14:paraId="27DB6947" w14:textId="77777777" w:rsidR="00503C92" w:rsidRPr="00F122A6" w:rsidRDefault="0037644B" w:rsidP="008A217F">
      <w:pPr>
        <w:pStyle w:val="BodyText"/>
        <w:spacing w:after="0"/>
        <w:ind w:left="1560" w:right="1830" w:firstLine="283"/>
        <w:jc w:val="both"/>
        <w:rPr>
          <w:sz w:val="20"/>
        </w:rPr>
      </w:pPr>
      <w:r>
        <w:rPr>
          <w:rStyle w:val="BodyTextChar"/>
          <w:sz w:val="20"/>
        </w:rPr>
        <w:t>„f) Použitie okyslenej močovky alebo inhibítorov ureázy.</w:t>
      </w:r>
    </w:p>
    <w:p w14:paraId="27628483"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Použitie inhibítorov ureázy alebo inhibítorov nitrifikácie, s odborným dohľadom v prípade priamej aplikácie na pôdu.</w:t>
      </w:r>
    </w:p>
    <w:p w14:paraId="09826684"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Kompostovanie alebo biodigescia zabezpečujúce konečný obsah amoniakálneho dusíka nižší ako 0,6 %, vyjadrený ako dusík (N), vzhľadom na čerstvú hmotnosť materiálu.</w:t>
      </w:r>
    </w:p>
    <w:p w14:paraId="6AA39005" w14:textId="77777777" w:rsidR="00503C92" w:rsidRPr="00F122A6" w:rsidRDefault="0037644B" w:rsidP="00EE0D48">
      <w:pPr>
        <w:pStyle w:val="BodyText"/>
        <w:numPr>
          <w:ilvl w:val="0"/>
          <w:numId w:val="4"/>
        </w:numPr>
        <w:tabs>
          <w:tab w:val="left" w:pos="1248"/>
        </w:tabs>
        <w:spacing w:after="140"/>
        <w:ind w:left="1560" w:right="1830"/>
        <w:jc w:val="both"/>
        <w:rPr>
          <w:sz w:val="20"/>
        </w:rPr>
      </w:pPr>
      <w:r>
        <w:rPr>
          <w:rStyle w:val="BodyTextChar"/>
          <w:sz w:val="20"/>
        </w:rPr>
        <w:t>Zaorávanie hnoja v priebehu prvých 12 hodín po aplikácii pomocou radličného pluhu, dlátového kypriča, rotačného pluhu alebo zariadenia zabezpečujúceho rovnocennú prácu, s výnimkou priameho výsevu, v pôdoochrannom poľnohospodárstve alebo na pasienkoch.“</w:t>
      </w:r>
    </w:p>
    <w:p w14:paraId="1FD90741" w14:textId="125DFFD4" w:rsidR="00503C92" w:rsidRPr="00F122A6" w:rsidRDefault="0037644B" w:rsidP="00EE0D48">
      <w:pPr>
        <w:pStyle w:val="BodyText"/>
        <w:spacing w:after="140"/>
        <w:ind w:left="1560" w:right="1830" w:firstLine="360"/>
        <w:jc w:val="both"/>
        <w:rPr>
          <w:sz w:val="20"/>
        </w:rPr>
      </w:pPr>
      <w:r>
        <w:rPr>
          <w:rStyle w:val="BodyTextChar"/>
          <w:sz w:val="20"/>
        </w:rPr>
        <w:t>Po šestnáste. Písmená a) a e) odseku 1 časti 1 prílohy VIII majú nasledujúce znenie a vkladajú sa nové písmená g), h), i) a j) s nasledujúcim obsahom:</w:t>
      </w:r>
    </w:p>
    <w:p w14:paraId="63F8109E" w14:textId="20477922" w:rsidR="00503C92" w:rsidRPr="00F122A6" w:rsidRDefault="0037644B" w:rsidP="00EE0D48">
      <w:pPr>
        <w:pStyle w:val="BodyText"/>
        <w:spacing w:after="140"/>
        <w:ind w:left="1560" w:right="1830"/>
        <w:jc w:val="both"/>
        <w:rPr>
          <w:sz w:val="20"/>
        </w:rPr>
      </w:pPr>
      <w:r>
        <w:rPr>
          <w:rStyle w:val="BodyTextChar"/>
          <w:sz w:val="20"/>
        </w:rPr>
        <w:t>„a) Materiály, ktoré bez toho, aby boli použité pri výrobe produktu na hnojenie, spĺňajú všetky požiadavky CMC 3, 4, 5, 6, 12, 13 a 14 prílohy II k nariadeniu (EÚ) 2019/1009. Na jeho zhodnotenie v pôde ako odpadu nie je potrebné splniť požiadavku bodu 2 CMC 1, keď sa vzťahuje na vyššie uvedené kategórie.“</w:t>
      </w:r>
    </w:p>
    <w:p w14:paraId="3EA26C98" w14:textId="77777777" w:rsidR="00503C92" w:rsidRPr="00F122A6" w:rsidRDefault="0037644B" w:rsidP="00BB487E">
      <w:pPr>
        <w:pStyle w:val="BodyText"/>
        <w:keepNext/>
        <w:keepLines/>
        <w:spacing w:after="0"/>
        <w:ind w:left="1559" w:right="1831"/>
        <w:jc w:val="both"/>
        <w:rPr>
          <w:sz w:val="20"/>
        </w:rPr>
      </w:pPr>
      <w:r>
        <w:rPr>
          <w:rStyle w:val="BodyTextChar"/>
          <w:sz w:val="20"/>
        </w:rPr>
        <w:t>„e) Kal uvedený v prílohe I nariadenia AAA/1072/2013 zo 7. júna 2013 zapredpokladu, že bol spracovaný v súlade s ustanoveniami kráľovského dekrétu č. 1310/1990 z 29. októbra 1990.“</w:t>
      </w:r>
    </w:p>
    <w:p w14:paraId="782CCBF9" w14:textId="77777777" w:rsidR="00503C92" w:rsidRPr="00F122A6" w:rsidRDefault="0037644B" w:rsidP="00EE0D48">
      <w:pPr>
        <w:pStyle w:val="BodyText"/>
        <w:spacing w:after="0"/>
        <w:ind w:left="1560" w:right="1830"/>
        <w:jc w:val="both"/>
        <w:rPr>
          <w:sz w:val="20"/>
        </w:rPr>
      </w:pPr>
      <w:r>
        <w:rPr>
          <w:rStyle w:val="BodyTextChar"/>
          <w:sz w:val="20"/>
        </w:rPr>
        <w:t>„g) Materiály, ktoré napriek tomu, že nespĺňajú požiadavky na spracovanie stanovené v CMC 3, 4 a 5 nariadenia (EÚ) 2019/1009, spĺňajú požiadavky na vstupné materiály, pokiaľ ide o stabilitu, nečistoty a kontaminanty.</w:t>
      </w:r>
    </w:p>
    <w:p w14:paraId="6999F79B" w14:textId="77777777" w:rsidR="00503C92" w:rsidRPr="00F122A6" w:rsidRDefault="0037644B" w:rsidP="00EE0D48">
      <w:pPr>
        <w:pStyle w:val="BodyText"/>
        <w:numPr>
          <w:ilvl w:val="0"/>
          <w:numId w:val="5"/>
        </w:numPr>
        <w:tabs>
          <w:tab w:val="left" w:pos="1273"/>
        </w:tabs>
        <w:spacing w:after="0"/>
        <w:ind w:left="1560" w:right="1830" w:firstLine="920"/>
        <w:jc w:val="both"/>
        <w:rPr>
          <w:sz w:val="20"/>
        </w:rPr>
      </w:pPr>
      <w:r>
        <w:rPr>
          <w:rStyle w:val="BodyTextChar"/>
          <w:sz w:val="20"/>
        </w:rPr>
        <w:t>Odpad z ropných mlynov.</w:t>
      </w:r>
    </w:p>
    <w:p w14:paraId="52BCE1BB" w14:textId="77777777" w:rsidR="00503C92" w:rsidRPr="00F122A6" w:rsidRDefault="0037644B" w:rsidP="00EE0D48">
      <w:pPr>
        <w:pStyle w:val="BodyText"/>
        <w:numPr>
          <w:ilvl w:val="0"/>
          <w:numId w:val="5"/>
        </w:numPr>
        <w:tabs>
          <w:tab w:val="left" w:pos="1206"/>
        </w:tabs>
        <w:spacing w:after="0"/>
        <w:ind w:left="1560" w:right="1830" w:firstLine="920"/>
        <w:jc w:val="both"/>
        <w:rPr>
          <w:sz w:val="20"/>
        </w:rPr>
      </w:pPr>
      <w:r>
        <w:rPr>
          <w:rStyle w:val="BodyTextChar"/>
          <w:sz w:val="20"/>
        </w:rPr>
        <w:t>Vínne kaly.</w:t>
      </w:r>
    </w:p>
    <w:p w14:paraId="332C9668" w14:textId="77777777" w:rsidR="00503C92" w:rsidRDefault="0037644B" w:rsidP="008A217F">
      <w:pPr>
        <w:pStyle w:val="BodyText"/>
        <w:numPr>
          <w:ilvl w:val="0"/>
          <w:numId w:val="5"/>
        </w:numPr>
        <w:spacing w:after="0"/>
        <w:ind w:left="1560" w:right="1830" w:firstLine="920"/>
        <w:jc w:val="both"/>
        <w:rPr>
          <w:rStyle w:val="BodyTextChar"/>
          <w:sz w:val="20"/>
        </w:rPr>
      </w:pPr>
      <w:r>
        <w:rPr>
          <w:rStyle w:val="BodyTextChar"/>
          <w:sz w:val="20"/>
        </w:rPr>
        <w:t>Zmesi uvedených zložiek za predpokladu, že sú dodržané najobmedzujúcejšie obmedzenia každej zo zložiek.“</w:t>
      </w:r>
    </w:p>
    <w:p w14:paraId="2B0EA9E3" w14:textId="77777777" w:rsidR="008A217F" w:rsidRPr="00F122A6" w:rsidRDefault="008A217F" w:rsidP="008A217F">
      <w:pPr>
        <w:pStyle w:val="BodyText"/>
        <w:tabs>
          <w:tab w:val="left" w:pos="1207"/>
        </w:tabs>
        <w:spacing w:after="0"/>
        <w:ind w:left="2480" w:right="1830" w:firstLine="0"/>
        <w:jc w:val="both"/>
        <w:rPr>
          <w:sz w:val="20"/>
        </w:rPr>
      </w:pPr>
    </w:p>
    <w:p w14:paraId="5092D498" w14:textId="77777777" w:rsidR="00503C92" w:rsidRPr="00F122A6" w:rsidRDefault="0037644B" w:rsidP="00EE0D48">
      <w:pPr>
        <w:pStyle w:val="BodyText"/>
        <w:ind w:left="1560" w:right="1830" w:firstLine="360"/>
        <w:jc w:val="both"/>
        <w:rPr>
          <w:sz w:val="20"/>
        </w:rPr>
      </w:pPr>
      <w:r>
        <w:rPr>
          <w:rStyle w:val="BodyTextChar"/>
          <w:sz w:val="20"/>
        </w:rPr>
        <w:t>Po sedemnáste. Mení sa znenie odseku 1 a odseku 2 časti 2 prílohy VIII a vkladajú sa dva nové odseky 7 a 8, ktoré znejú takto:</w:t>
      </w:r>
    </w:p>
    <w:p w14:paraId="2BF2A9A1" w14:textId="77777777" w:rsidR="00503C92" w:rsidRPr="00F122A6" w:rsidRDefault="0037644B" w:rsidP="00EE0D48">
      <w:pPr>
        <w:pStyle w:val="BodyText"/>
        <w:ind w:left="1560" w:right="1830"/>
        <w:jc w:val="both"/>
        <w:rPr>
          <w:sz w:val="20"/>
        </w:rPr>
      </w:pPr>
      <w:r>
        <w:rPr>
          <w:rStyle w:val="BodyTextChar"/>
          <w:sz w:val="20"/>
        </w:rPr>
        <w:t>„1. Materiály CMC 3, 4 a 5 získané v súlade s prílohou II k nariadeniu Európskeho parlamentu a Rady (EÚ) 2019/1009 z 5. júna 2019:</w:t>
      </w:r>
    </w:p>
    <w:p w14:paraId="17625A3C" w14:textId="77777777" w:rsidR="00503C92" w:rsidRPr="00F122A6" w:rsidRDefault="0037644B" w:rsidP="00EE0D48">
      <w:pPr>
        <w:pStyle w:val="BodyText"/>
        <w:ind w:left="1560" w:right="1830"/>
        <w:jc w:val="both"/>
        <w:rPr>
          <w:sz w:val="20"/>
        </w:rPr>
      </w:pPr>
      <w:r>
        <w:rPr>
          <w:rStyle w:val="BodyTextChar"/>
          <w:sz w:val="20"/>
        </w:rPr>
        <w:t>Spĺňajú všetky požiadavky uvedenej prílohy vrátane pôvodu vstupných materiálov a tieto parametre:</w:t>
      </w:r>
    </w:p>
    <w:p w14:paraId="332C73FC" w14:textId="0ED2C2D6"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rPr>
      </w:pPr>
      <w:r>
        <w:rPr>
          <w:rStyle w:val="BodyTextChar"/>
          <w:sz w:val="20"/>
        </w:rPr>
        <w:lastRenderedPageBreak/>
        <w:t>Celková organická hmota ≥ 25 % v sušine.</w:t>
      </w:r>
    </w:p>
    <w:p w14:paraId="4B6A4943"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 xml:space="preserve">Deklarovanie obsahu baktérií </w:t>
      </w:r>
      <w:r>
        <w:rPr>
          <w:rStyle w:val="BodyTextChar"/>
          <w:i/>
          <w:sz w:val="20"/>
        </w:rPr>
        <w:t>Salmonella</w:t>
      </w:r>
      <w:r>
        <w:rPr>
          <w:rStyle w:val="BodyTextChar"/>
          <w:sz w:val="20"/>
        </w:rPr>
        <w:t>.</w:t>
      </w:r>
    </w:p>
    <w:p w14:paraId="47896A74"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 xml:space="preserve">Deklarovanie obsahu baktérií </w:t>
      </w:r>
      <w:r>
        <w:rPr>
          <w:rStyle w:val="BodyTextChar"/>
          <w:i/>
          <w:sz w:val="20"/>
        </w:rPr>
        <w:t>Escherichia coli</w:t>
      </w:r>
      <w:r>
        <w:rPr>
          <w:rStyle w:val="BodyTextChar"/>
          <w:sz w:val="20"/>
        </w:rPr>
        <w:t>.</w:t>
      </w:r>
    </w:p>
    <w:p w14:paraId="7DC5B92E" w14:textId="77777777" w:rsidR="00503C92" w:rsidRPr="00F122A6" w:rsidRDefault="0037644B" w:rsidP="00BB487E">
      <w:pPr>
        <w:pStyle w:val="BodyText"/>
        <w:numPr>
          <w:ilvl w:val="0"/>
          <w:numId w:val="6"/>
        </w:numPr>
        <w:tabs>
          <w:tab w:val="left" w:pos="1231"/>
        </w:tabs>
        <w:spacing w:after="0" w:line="276" w:lineRule="auto"/>
        <w:ind w:left="1985" w:right="1830" w:firstLine="567"/>
        <w:jc w:val="both"/>
        <w:rPr>
          <w:sz w:val="20"/>
        </w:rPr>
      </w:pPr>
      <w:r>
        <w:rPr>
          <w:rStyle w:val="BodyTextChar"/>
          <w:sz w:val="20"/>
        </w:rPr>
        <w:t>Predloženie analýzy živín, ktoré poskytujú, najmä dusíka, fosforu (vyjadreného ako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a draslíka (vyjadreného ako K</w:t>
      </w:r>
      <w:r>
        <w:rPr>
          <w:rStyle w:val="BodyTextChar"/>
          <w:sz w:val="20"/>
          <w:vertAlign w:val="subscript"/>
        </w:rPr>
        <w:t>2</w:t>
      </w:r>
      <w:r>
        <w:rPr>
          <w:rStyle w:val="BodyTextChar"/>
          <w:sz w:val="20"/>
        </w:rPr>
        <w:t>O), ako aj pH a elektrickej vodivosti.</w:t>
      </w:r>
    </w:p>
    <w:p w14:paraId="255E2022" w14:textId="77777777" w:rsidR="00503C92" w:rsidRPr="00F122A6" w:rsidRDefault="0037644B" w:rsidP="00BB487E">
      <w:pPr>
        <w:pStyle w:val="BodyText"/>
        <w:numPr>
          <w:ilvl w:val="0"/>
          <w:numId w:val="6"/>
        </w:numPr>
        <w:tabs>
          <w:tab w:val="left" w:pos="1221"/>
        </w:tabs>
        <w:spacing w:line="276" w:lineRule="auto"/>
        <w:ind w:left="1985" w:right="1830" w:firstLine="567"/>
        <w:jc w:val="both"/>
        <w:rPr>
          <w:sz w:val="20"/>
        </w:rPr>
      </w:pPr>
      <w:r>
        <w:rPr>
          <w:rStyle w:val="BodyTextChar"/>
          <w:sz w:val="20"/>
        </w:rPr>
        <w:t>Splnenie všetkých dodatočných požiadaviek uvedených v danom povolení na zhodnocovanie odpadu R1001.“</w:t>
      </w:r>
    </w:p>
    <w:p w14:paraId="27038D19" w14:textId="77777777" w:rsidR="00503C92" w:rsidRPr="00F122A6" w:rsidRDefault="0037644B" w:rsidP="00EE0D48">
      <w:pPr>
        <w:pStyle w:val="BodyText"/>
        <w:ind w:left="1560" w:right="1830"/>
        <w:jc w:val="both"/>
        <w:rPr>
          <w:sz w:val="20"/>
        </w:rPr>
      </w:pPr>
      <w:r>
        <w:rPr>
          <w:rStyle w:val="BodyTextChar"/>
          <w:sz w:val="20"/>
        </w:rPr>
        <w:t>2. Podobne každý materiál podrobený kompostovaniu alebo digescii, ktorý sa má aplikovať na poľnohospodársku pôdu a ktorý sa získa z iných vstupných materiálov, ako sú materiály uvedené v predchádzajúcom odseku, musí spĺňať požiadavky na nečistoty a stabilitu stanovené v CMC3 alebo CMC5 nariadenia Európskeho parlamentu a Rady (EÚ) 2019/1009 z 5. júna 2019, a navyše musí spĺňať tieto parametre:</w:t>
      </w:r>
    </w:p>
    <w:p w14:paraId="4E48BC44" w14:textId="72693F5C"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rPr>
      </w:pPr>
      <w:r>
        <w:rPr>
          <w:rStyle w:val="BodyTextChar"/>
          <w:sz w:val="20"/>
        </w:rPr>
        <w:t>Celková organická hmota ≥ 25 % v sušine.</w:t>
      </w:r>
    </w:p>
    <w:p w14:paraId="576B61C8"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 xml:space="preserve">Deklarovanie obsahu baktérií </w:t>
      </w:r>
      <w:r>
        <w:rPr>
          <w:rStyle w:val="BodyTextChar"/>
          <w:i/>
          <w:sz w:val="20"/>
        </w:rPr>
        <w:t>Salmonella</w:t>
      </w:r>
      <w:r>
        <w:rPr>
          <w:rStyle w:val="BodyTextChar"/>
          <w:sz w:val="20"/>
        </w:rPr>
        <w:t>.</w:t>
      </w:r>
    </w:p>
    <w:p w14:paraId="4D9310C5"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 xml:space="preserve">Deklarovanie obsahu baktérií </w:t>
      </w:r>
      <w:r>
        <w:rPr>
          <w:rStyle w:val="BodyTextChar"/>
          <w:i/>
          <w:sz w:val="20"/>
        </w:rPr>
        <w:t>Escherichia coli</w:t>
      </w:r>
      <w:r>
        <w:rPr>
          <w:rStyle w:val="BodyTextChar"/>
          <w:sz w:val="20"/>
        </w:rPr>
        <w:t>.</w:t>
      </w:r>
    </w:p>
    <w:p w14:paraId="1DF72A9D" w14:textId="77777777" w:rsidR="00503C92" w:rsidRPr="00F122A6" w:rsidRDefault="0037644B" w:rsidP="00BB487E">
      <w:pPr>
        <w:pStyle w:val="BodyText"/>
        <w:numPr>
          <w:ilvl w:val="0"/>
          <w:numId w:val="7"/>
        </w:numPr>
        <w:tabs>
          <w:tab w:val="left" w:pos="1231"/>
        </w:tabs>
        <w:spacing w:after="0" w:line="276" w:lineRule="auto"/>
        <w:ind w:left="1985" w:right="1830" w:firstLine="495"/>
        <w:jc w:val="both"/>
        <w:rPr>
          <w:sz w:val="20"/>
        </w:rPr>
      </w:pPr>
      <w:r>
        <w:rPr>
          <w:rStyle w:val="BodyTextChar"/>
          <w:sz w:val="20"/>
        </w:rPr>
        <w:t>Predloženie analýzy živín, ktoré poskytujú, najmä dusíka, fosforu (vyjadreného ako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a draslíka (vyjadreného ako K</w:t>
      </w:r>
      <w:r>
        <w:rPr>
          <w:rStyle w:val="BodyTextChar"/>
          <w:sz w:val="20"/>
          <w:vertAlign w:val="subscript"/>
        </w:rPr>
        <w:t>2</w:t>
      </w:r>
      <w:r>
        <w:rPr>
          <w:rStyle w:val="BodyTextChar"/>
          <w:sz w:val="20"/>
        </w:rPr>
        <w:t>O), ako aj pH a elektrickej vodivosti.</w:t>
      </w:r>
    </w:p>
    <w:p w14:paraId="2E2A82BB" w14:textId="77777777" w:rsidR="00503C92" w:rsidRPr="00F122A6" w:rsidRDefault="0037644B" w:rsidP="00BB487E">
      <w:pPr>
        <w:pStyle w:val="BodyText"/>
        <w:numPr>
          <w:ilvl w:val="0"/>
          <w:numId w:val="7"/>
        </w:numPr>
        <w:tabs>
          <w:tab w:val="left" w:pos="1221"/>
        </w:tabs>
        <w:spacing w:line="276" w:lineRule="auto"/>
        <w:ind w:left="1985" w:right="1830" w:firstLine="495"/>
        <w:jc w:val="both"/>
        <w:rPr>
          <w:sz w:val="20"/>
        </w:rPr>
      </w:pPr>
      <w:r>
        <w:rPr>
          <w:rStyle w:val="BodyTextChar"/>
          <w:sz w:val="20"/>
        </w:rPr>
        <w:t>Splnenie všetkých dodatočných požiadaviek uvedených v jeho povolení na zhodnocovanie odpadu R1001.“</w:t>
      </w:r>
    </w:p>
    <w:p w14:paraId="2FE61487" w14:textId="2911B964" w:rsidR="00503C92" w:rsidRPr="00F122A6" w:rsidRDefault="00FF7446" w:rsidP="00FF7446">
      <w:pPr>
        <w:pStyle w:val="BodyText"/>
        <w:tabs>
          <w:tab w:val="left" w:pos="1216"/>
        </w:tabs>
        <w:ind w:left="2480" w:right="1830" w:firstLine="0"/>
        <w:jc w:val="both"/>
        <w:rPr>
          <w:sz w:val="20"/>
        </w:rPr>
      </w:pPr>
      <w:r>
        <w:rPr>
          <w:rStyle w:val="BodyTextChar"/>
          <w:sz w:val="20"/>
        </w:rPr>
        <w:t>„7. Odpad z ropných mlynov.</w:t>
      </w:r>
    </w:p>
    <w:p w14:paraId="28AE5BA8" w14:textId="3B2C33EB" w:rsidR="00503C92" w:rsidRPr="00F122A6" w:rsidRDefault="0037644B" w:rsidP="00EE0D48">
      <w:pPr>
        <w:pStyle w:val="BodyText"/>
        <w:ind w:left="1560" w:right="1830"/>
        <w:jc w:val="both"/>
        <w:rPr>
          <w:sz w:val="20"/>
        </w:rPr>
      </w:pPr>
      <w:r>
        <w:rPr>
          <w:rStyle w:val="BodyTextChar"/>
          <w:sz w:val="20"/>
        </w:rPr>
        <w:t>Ide o kvapalinu pozostávajúcu z vody na umývanie olív a vody na umývanie olejov získaných dvojstupňovým extrakčným systémom, ktorá spĺňa všetky dodatočné požiadavky zahrnuté v jej povolení na zhodnocovanie R1001.</w:t>
      </w:r>
    </w:p>
    <w:p w14:paraId="43FF02FD" w14:textId="6FE40C1A" w:rsidR="00503C92" w:rsidRPr="00F122A6" w:rsidRDefault="00FF7446" w:rsidP="00FF7446">
      <w:pPr>
        <w:pStyle w:val="BodyText"/>
        <w:tabs>
          <w:tab w:val="left" w:pos="1216"/>
        </w:tabs>
        <w:ind w:left="2480" w:right="1830" w:firstLine="0"/>
        <w:jc w:val="both"/>
        <w:rPr>
          <w:sz w:val="20"/>
        </w:rPr>
      </w:pPr>
      <w:r>
        <w:rPr>
          <w:rStyle w:val="BodyTextChar"/>
          <w:sz w:val="20"/>
        </w:rPr>
        <w:t>8. Vínne kaly.</w:t>
      </w:r>
    </w:p>
    <w:p w14:paraId="29227E47" w14:textId="2A06893C" w:rsidR="00503C92" w:rsidRPr="00F122A6" w:rsidRDefault="0037644B" w:rsidP="00EE0D48">
      <w:pPr>
        <w:pStyle w:val="BodyText"/>
        <w:ind w:left="1560" w:right="1830"/>
        <w:jc w:val="both"/>
        <w:rPr>
          <w:sz w:val="20"/>
        </w:rPr>
      </w:pPr>
      <w:r>
        <w:rPr>
          <w:rStyle w:val="BodyTextChar"/>
          <w:sz w:val="20"/>
        </w:rPr>
        <w:t>Ide o organické zrazeniny pozostávajúce z kvasníc, baktérií a iných zvyškových látok, ktoré sa tvoria počas procesu výroby vína a ktoré musia spĺňať všetky dodatočné požiadavky uvedené v ich povolení na zhodnocovanie R1001.“</w:t>
      </w:r>
    </w:p>
    <w:p w14:paraId="2B531F85" w14:textId="45C3DAE0" w:rsidR="00503C92" w:rsidRPr="00F122A6" w:rsidRDefault="0037644B" w:rsidP="00EE0D48">
      <w:pPr>
        <w:pStyle w:val="BodyText"/>
        <w:ind w:left="1560" w:right="1830"/>
        <w:jc w:val="both"/>
        <w:rPr>
          <w:sz w:val="20"/>
        </w:rPr>
      </w:pPr>
      <w:r>
        <w:rPr>
          <w:rStyle w:val="BodyTextChar"/>
          <w:sz w:val="20"/>
        </w:rPr>
        <w:t>Po osemnáste. Odseky 1 a 4 prílohy IX znejú takto:</w:t>
      </w:r>
    </w:p>
    <w:p w14:paraId="2EECEDDC" w14:textId="333324DB" w:rsidR="00503C92" w:rsidRPr="00F122A6" w:rsidRDefault="0037644B" w:rsidP="00EE0D48">
      <w:pPr>
        <w:pStyle w:val="BodyText"/>
        <w:spacing w:after="0"/>
        <w:ind w:left="1560" w:right="1830"/>
        <w:jc w:val="both"/>
        <w:rPr>
          <w:sz w:val="20"/>
        </w:rPr>
      </w:pPr>
      <w:r>
        <w:rPr>
          <w:rStyle w:val="BodyTextChar"/>
          <w:sz w:val="20"/>
        </w:rPr>
        <w:t>„1. Vo všeobecnosti sa dávka a frekvencia zavlažovania prispôsobí potrebám plodiny a retenčnej kapacite pôdy, aby sa zabránilo strate živín vyplavovaním, pričom sa zohľadnia odporúčania poradenských služieb pre zavlažovanie autonómneho spoločenstva alebo Agroklimatického informačného systému pre zavlažovanie (SIAR) ministerstva poľnohospodárstva, rybolovu a potravinárstva v prípade, že sa nachádza v autonómnych spoločenstvách, v ktorých niektorý z nich pôsobí; ako podporný nástroj na zistenie stavu pôdy sa odporúča použitie snímačov na kontrolu obsahu vlhkosti pôdy. V prípade, že samotný materiál použitý na hnojenie poskytuje plodine značné množstvo vody (napríklad pri použití kvapalného hospodárskeho hnojiva), sa pri výpočte dávky zavlažovacej vody a frekvencie jej aplikácie zohľadní objem vody, ktorú obsahuje.“</w:t>
      </w:r>
    </w:p>
    <w:p w14:paraId="526DE1C5" w14:textId="12181085" w:rsidR="00503C92" w:rsidRPr="00F122A6" w:rsidRDefault="0037644B" w:rsidP="00EE0D48">
      <w:pPr>
        <w:pStyle w:val="BodyText"/>
        <w:spacing w:after="180"/>
        <w:ind w:left="1560" w:right="1830"/>
        <w:jc w:val="both"/>
        <w:rPr>
          <w:sz w:val="20"/>
        </w:rPr>
      </w:pPr>
      <w:r>
        <w:rPr>
          <w:rStyle w:val="BodyTextChar"/>
          <w:sz w:val="20"/>
        </w:rPr>
        <w:t>„4. V plodinách s lokalizovaným zavlažovaním sa hnojenie vykoná rozpustením živín v zavlažovacej vode a ich aplikáciou do pôdy vodou. Tieto živiny sa budú dávkovať čiastkovým spôsobom počas obdobia vegetatívnej činnosti plodiny, pričom sa poskytnuté koncentrácie a čiastkové množstvá môžu prispôsobiť obdobiam najväčšej potreby v rámci cyklu plodiny.“</w:t>
      </w:r>
    </w:p>
    <w:p w14:paraId="5C7B1C08" w14:textId="77777777" w:rsidR="00503C92" w:rsidRPr="00F122A6" w:rsidRDefault="0037644B" w:rsidP="00EE0D48">
      <w:pPr>
        <w:pStyle w:val="BodyText"/>
        <w:ind w:left="1560" w:right="1830" w:firstLine="0"/>
        <w:jc w:val="both"/>
        <w:rPr>
          <w:sz w:val="20"/>
          <w:szCs w:val="20"/>
        </w:rPr>
      </w:pPr>
      <w:r>
        <w:rPr>
          <w:rStyle w:val="BodyTextChar"/>
          <w:b/>
          <w:sz w:val="20"/>
        </w:rPr>
        <w:t xml:space="preserve">Jediné záverečné ustanovenie. </w:t>
      </w:r>
      <w:r>
        <w:rPr>
          <w:rStyle w:val="BodyTextChar"/>
          <w:i/>
          <w:sz w:val="20"/>
        </w:rPr>
        <w:t>Nadobudnutie účinnosti.</w:t>
      </w:r>
    </w:p>
    <w:p w14:paraId="79EF3419" w14:textId="77777777" w:rsidR="00503C92" w:rsidRPr="00F122A6" w:rsidRDefault="0037644B" w:rsidP="00EE0D48">
      <w:pPr>
        <w:pStyle w:val="BodyText"/>
        <w:ind w:left="1560" w:right="1830"/>
        <w:jc w:val="both"/>
        <w:rPr>
          <w:sz w:val="20"/>
        </w:rPr>
      </w:pPr>
      <w:r>
        <w:rPr>
          <w:rStyle w:val="BodyTextChar"/>
          <w:sz w:val="20"/>
        </w:rPr>
        <w:lastRenderedPageBreak/>
        <w:t>Tento kráľovský dekrét nadobúda účinnosť dňom nasledujúcim po jeho uverejnení v „Úradnom štátnom vestníku“.</w:t>
      </w:r>
    </w:p>
    <w:p w14:paraId="68AE9113" w14:textId="77777777" w:rsidR="00503C92" w:rsidRPr="00F122A6" w:rsidRDefault="0037644B" w:rsidP="00EE0D48">
      <w:pPr>
        <w:pStyle w:val="BodyText"/>
        <w:ind w:left="1560" w:right="1830"/>
        <w:jc w:val="both"/>
        <w:rPr>
          <w:sz w:val="20"/>
        </w:rPr>
      </w:pPr>
      <w:r>
        <w:rPr>
          <w:rStyle w:val="BodyTextChar"/>
          <w:sz w:val="20"/>
        </w:rPr>
        <w:t>Vypracované v Madride 27. augusta 2024.</w:t>
      </w:r>
    </w:p>
    <w:p w14:paraId="0C00789F" w14:textId="77777777" w:rsidR="00503C92" w:rsidRPr="00F122A6" w:rsidRDefault="0037644B" w:rsidP="00EE0D48">
      <w:pPr>
        <w:pStyle w:val="BodyText"/>
        <w:spacing w:after="240"/>
        <w:ind w:left="1560" w:right="1830" w:firstLine="0"/>
        <w:jc w:val="right"/>
        <w:rPr>
          <w:sz w:val="20"/>
        </w:rPr>
      </w:pPr>
      <w:r>
        <w:rPr>
          <w:rStyle w:val="BodyTextChar"/>
          <w:sz w:val="20"/>
        </w:rPr>
        <w:t>FELIPE R.</w:t>
      </w:r>
    </w:p>
    <w:p w14:paraId="278970C7" w14:textId="35CDF83F" w:rsidR="00503C92" w:rsidRDefault="00FF7446" w:rsidP="00EE0D48">
      <w:pPr>
        <w:pStyle w:val="Bodytext30"/>
        <w:spacing w:line="319" w:lineRule="auto"/>
        <w:ind w:left="1560" w:right="1830"/>
        <w:jc w:val="center"/>
        <w:rPr>
          <w:rStyle w:val="Bodytext3"/>
        </w:rPr>
      </w:pPr>
      <w:r>
        <w:rPr>
          <w:rStyle w:val="Bodytext3"/>
        </w:rPr>
        <w:t>Minister poľnohospodárstva, rybolovu a potravinárstva,</w:t>
      </w:r>
      <w:r>
        <w:rPr>
          <w:rStyle w:val="Bodytext3"/>
        </w:rPr>
        <w:br/>
        <w:t>LUIS PLANAS PUCHADES</w:t>
      </w:r>
    </w:p>
    <w:p w14:paraId="79892C53" w14:textId="77777777" w:rsidR="0037644B" w:rsidRDefault="0037644B" w:rsidP="00EE0D48">
      <w:pPr>
        <w:pStyle w:val="Bodytext30"/>
        <w:spacing w:line="319" w:lineRule="auto"/>
        <w:ind w:left="1560" w:right="1830"/>
        <w:jc w:val="center"/>
        <w:rPr>
          <w:rStyle w:val="Bodytext3"/>
        </w:rPr>
      </w:pPr>
    </w:p>
    <w:p w14:paraId="60F86DA3" w14:textId="77777777" w:rsidR="0037644B" w:rsidRDefault="0037644B" w:rsidP="00EE0D48">
      <w:pPr>
        <w:pStyle w:val="Bodytext30"/>
        <w:spacing w:line="319" w:lineRule="auto"/>
        <w:ind w:left="1560" w:right="1830"/>
        <w:jc w:val="center"/>
        <w:rPr>
          <w:rStyle w:val="Bodytext3"/>
        </w:rPr>
      </w:pPr>
    </w:p>
    <w:p w14:paraId="61F764BC" w14:textId="77777777" w:rsidR="0037644B" w:rsidRDefault="0037644B" w:rsidP="00EE0D48">
      <w:pPr>
        <w:pStyle w:val="Bodytext30"/>
        <w:spacing w:line="319" w:lineRule="auto"/>
        <w:ind w:left="1560" w:right="1830"/>
        <w:jc w:val="center"/>
        <w:rPr>
          <w:rStyle w:val="Bodytext3"/>
        </w:rPr>
      </w:pPr>
    </w:p>
    <w:p w14:paraId="3E44A77D" w14:textId="77777777" w:rsidR="0037644B" w:rsidRDefault="0037644B" w:rsidP="00EE0D48">
      <w:pPr>
        <w:pStyle w:val="Bodytext30"/>
        <w:spacing w:line="319" w:lineRule="auto"/>
        <w:ind w:left="1560" w:right="1830"/>
        <w:jc w:val="center"/>
        <w:rPr>
          <w:sz w:val="20"/>
          <w:szCs w:val="19"/>
        </w:rPr>
      </w:pPr>
    </w:p>
    <w:p w14:paraId="1827295C" w14:textId="77777777" w:rsidR="0037644B" w:rsidRDefault="0037644B" w:rsidP="00EE0D48">
      <w:pPr>
        <w:pStyle w:val="Bodytext30"/>
        <w:spacing w:line="319" w:lineRule="auto"/>
        <w:ind w:left="1560" w:right="1830"/>
        <w:jc w:val="center"/>
        <w:rPr>
          <w:sz w:val="20"/>
          <w:szCs w:val="19"/>
        </w:rPr>
      </w:pPr>
    </w:p>
    <w:p w14:paraId="5A349AF9" w14:textId="77777777" w:rsidR="0037644B" w:rsidRDefault="0037644B" w:rsidP="00EE0D48">
      <w:pPr>
        <w:pStyle w:val="Bodytext30"/>
        <w:spacing w:line="319" w:lineRule="auto"/>
        <w:ind w:left="1560" w:right="1830"/>
        <w:jc w:val="center"/>
        <w:rPr>
          <w:sz w:val="20"/>
          <w:szCs w:val="19"/>
        </w:rPr>
      </w:pPr>
    </w:p>
    <w:p w14:paraId="013E16BD" w14:textId="77777777" w:rsidR="0037644B" w:rsidRDefault="0037644B" w:rsidP="00EE0D48">
      <w:pPr>
        <w:pStyle w:val="Bodytext30"/>
        <w:spacing w:line="319" w:lineRule="auto"/>
        <w:ind w:left="1560" w:right="1830"/>
        <w:jc w:val="center"/>
        <w:rPr>
          <w:sz w:val="20"/>
          <w:szCs w:val="19"/>
        </w:rPr>
      </w:pPr>
    </w:p>
    <w:p w14:paraId="47D23BCC" w14:textId="77777777" w:rsidR="0037644B" w:rsidRDefault="0037644B" w:rsidP="00EE0D48">
      <w:pPr>
        <w:pStyle w:val="Bodytext30"/>
        <w:spacing w:line="319" w:lineRule="auto"/>
        <w:ind w:left="1560" w:right="1830"/>
        <w:jc w:val="center"/>
        <w:rPr>
          <w:sz w:val="20"/>
          <w:szCs w:val="19"/>
        </w:rPr>
      </w:pPr>
    </w:p>
    <w:p w14:paraId="08EBBFCD" w14:textId="77777777" w:rsidR="0037644B" w:rsidRDefault="0037644B" w:rsidP="00EE0D48">
      <w:pPr>
        <w:pStyle w:val="Bodytext30"/>
        <w:spacing w:line="319" w:lineRule="auto"/>
        <w:ind w:left="1560" w:right="1830"/>
        <w:jc w:val="center"/>
        <w:rPr>
          <w:sz w:val="20"/>
          <w:szCs w:val="19"/>
        </w:rPr>
      </w:pPr>
    </w:p>
    <w:p w14:paraId="78E11E5C" w14:textId="77777777" w:rsidR="0037644B" w:rsidRDefault="0037644B" w:rsidP="00EE0D48">
      <w:pPr>
        <w:pStyle w:val="Bodytext30"/>
        <w:spacing w:line="319" w:lineRule="auto"/>
        <w:ind w:left="1560" w:right="1830"/>
        <w:jc w:val="center"/>
        <w:rPr>
          <w:sz w:val="20"/>
          <w:szCs w:val="19"/>
        </w:rPr>
      </w:pPr>
    </w:p>
    <w:p w14:paraId="6D570AF4" w14:textId="77777777" w:rsidR="0037644B" w:rsidRDefault="0037644B" w:rsidP="00EE0D48">
      <w:pPr>
        <w:pStyle w:val="Bodytext30"/>
        <w:spacing w:line="319" w:lineRule="auto"/>
        <w:ind w:left="1560" w:right="1830"/>
        <w:jc w:val="center"/>
        <w:rPr>
          <w:sz w:val="20"/>
          <w:szCs w:val="19"/>
        </w:rPr>
      </w:pPr>
    </w:p>
    <w:p w14:paraId="672532C9" w14:textId="77777777" w:rsidR="0037644B" w:rsidRDefault="0037644B" w:rsidP="00EE0D48">
      <w:pPr>
        <w:pStyle w:val="Bodytext30"/>
        <w:spacing w:line="319" w:lineRule="auto"/>
        <w:ind w:left="1560" w:right="1830"/>
        <w:jc w:val="center"/>
        <w:rPr>
          <w:sz w:val="20"/>
          <w:szCs w:val="19"/>
        </w:rPr>
      </w:pPr>
    </w:p>
    <w:p w14:paraId="1E0DDD30" w14:textId="77777777" w:rsidR="0037644B" w:rsidRDefault="0037644B" w:rsidP="00EE0D48">
      <w:pPr>
        <w:pStyle w:val="Bodytext30"/>
        <w:spacing w:line="319" w:lineRule="auto"/>
        <w:ind w:left="1560" w:right="1830"/>
        <w:jc w:val="center"/>
        <w:rPr>
          <w:sz w:val="20"/>
          <w:szCs w:val="19"/>
        </w:rPr>
      </w:pPr>
    </w:p>
    <w:p w14:paraId="39068B9D" w14:textId="39B94AF9" w:rsidR="0037644B" w:rsidRPr="00F122A6" w:rsidRDefault="0037644B" w:rsidP="00745E5D">
      <w:pPr>
        <w:pStyle w:val="Bodytext30"/>
        <w:spacing w:line="319" w:lineRule="auto"/>
        <w:ind w:right="1830"/>
        <w:rPr>
          <w:sz w:val="20"/>
          <w:szCs w:val="19"/>
        </w:rPr>
      </w:pPr>
      <w:r>
        <w:rPr>
          <w:rFonts w:ascii="Microsoft Sans Serif" w:hAnsi="Microsoft Sans Serif"/>
          <w:noProof/>
          <w:sz w:val="24"/>
        </w:rPr>
        <mc:AlternateContent>
          <mc:Choice Requires="wps">
            <w:drawing>
              <wp:anchor distT="0" distB="0" distL="0" distR="0" simplePos="0" relativeHeight="251659264" behindDoc="0" locked="0" layoutInCell="1" allowOverlap="1" wp14:anchorId="3B143088" wp14:editId="3C93C6CB">
                <wp:simplePos x="0" y="0"/>
                <wp:positionH relativeFrom="page">
                  <wp:posOffset>377825</wp:posOffset>
                </wp:positionH>
                <wp:positionV relativeFrom="paragraph">
                  <wp:posOffset>5000625</wp:posOffset>
                </wp:positionV>
                <wp:extent cx="6899275" cy="2165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9275" cy="216535"/>
                        </a:xfrm>
                        <a:prstGeom prst="rect">
                          <a:avLst/>
                        </a:prstGeom>
                        <a:solidFill>
                          <a:srgbClr val="004479"/>
                        </a:solidFill>
                      </wps:spPr>
                      <wps:txbx>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502"/>
                              <w:gridCol w:w="2891"/>
                            </w:tblGrid>
                            <w:tr w:rsidR="00F122A6" w14:paraId="4C7B1FE4" w14:textId="77777777" w:rsidTr="001A30DD">
                              <w:tc>
                                <w:tcPr>
                                  <w:tcW w:w="3234" w:type="dxa"/>
                                  <w:vAlign w:val="bottom"/>
                                </w:tcPr>
                                <w:p w14:paraId="200D134E" w14:textId="77777777" w:rsidR="00F122A6" w:rsidRPr="001A30DD" w:rsidRDefault="00F159AA" w:rsidP="007E1B61">
                                  <w:pPr>
                                    <w:spacing w:before="30"/>
                                    <w:rPr>
                                      <w:b/>
                                      <w:color w:val="FFFFFF"/>
                                    </w:rPr>
                                  </w:pPr>
                                  <w:hyperlink r:id="rId7">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ÚRADNÝ VESTNÍK</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wps:txbx>
                      <wps:bodyPr wrap="square" lIns="0" tIns="0" rIns="0" bIns="0" rtlCol="0">
                        <a:noAutofit/>
                      </wps:bodyPr>
                    </wps:wsp>
                  </a:graphicData>
                </a:graphic>
              </wp:anchor>
            </w:drawing>
          </mc:Choice>
          <mc:Fallback>
            <w:pict>
              <v:shapetype w14:anchorId="3B143088" id="_x0000_t202" coordsize="21600,21600" o:spt="202" path="m,l,21600r21600,l21600,xe">
                <v:stroke joinstyle="miter"/>
                <v:path gradientshapeok="t" o:connecttype="rect"/>
              </v:shapetype>
              <v:shape id="Textbox 21" o:spid="_x0000_s1026" type="#_x0000_t202" style="position:absolute;margin-left:29.75pt;margin-top:393.75pt;width:543.25pt;height:17.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" fillcolor="#004479" stroked="f">
                <v:textbox inset="0,0,0,0">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502"/>
                        <w:gridCol w:w="2891"/>
                      </w:tblGrid>
                      <w:tr w:rsidR="00F122A6" w14:paraId="4C7B1FE4" w14:textId="77777777" w:rsidTr="001A30DD">
                        <w:tc>
                          <w:tcPr>
                            <w:tcW w:w="3234" w:type="dxa"/>
                            <w:vAlign w:val="bottom"/>
                          </w:tcPr>
                          <w:p w14:paraId="200D134E" w14:textId="77777777" w:rsidR="00F122A6" w:rsidRPr="001A30DD" w:rsidRDefault="00F159AA" w:rsidP="007E1B61">
                            <w:pPr>
                              <w:spacing w:before="30"/>
                              <w:rPr>
                                <w:b/>
                                <w:color w:val="FFFFFF"/>
                              </w:rPr>
                            </w:pPr>
                            <w:hyperlink r:id="rId8">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ÚRADNÝ VESTNÍK</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v:textbox>
                <w10:wrap anchorx="page"/>
              </v:shape>
            </w:pict>
          </mc:Fallback>
        </mc:AlternateContent>
      </w:r>
    </w:p>
    <w:sectPr w:rsidR="0037644B" w:rsidRPr="00F122A6" w:rsidSect="00F122A6">
      <w:headerReference w:type="default" r:id="rId9"/>
      <w:footerReference w:type="default" r:id="rId10"/>
      <w:type w:val="continuous"/>
      <w:pgSz w:w="11900" w:h="16840"/>
      <w:pgMar w:top="1077" w:right="357" w:bottom="1276" w:left="357" w:header="612" w:footer="1020" w:gutter="0"/>
      <w:pgNumType w:start="10846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7F73" w14:textId="77777777" w:rsidR="00F159AA" w:rsidRDefault="00F159AA">
      <w:r>
        <w:separator/>
      </w:r>
    </w:p>
  </w:endnote>
  <w:endnote w:type="continuationSeparator" w:id="0">
    <w:p w14:paraId="196C1E84" w14:textId="77777777" w:rsidR="00F159AA" w:rsidRDefault="00F1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673D" w14:textId="4BCE84DE" w:rsidR="00F122A6" w:rsidRDefault="00F122A6">
    <w:pPr>
      <w:pStyle w:val="Footer"/>
    </w:pPr>
    <w:r>
      <w:rPr>
        <w:noProof/>
      </w:rPr>
      <mc:AlternateContent>
        <mc:Choice Requires="wps">
          <w:drawing>
            <wp:anchor distT="0" distB="0" distL="0" distR="0" simplePos="0" relativeHeight="251659264" behindDoc="0" locked="0" layoutInCell="1" allowOverlap="1" wp14:anchorId="4CCC1602" wp14:editId="665CCF54">
              <wp:simplePos x="0" y="0"/>
              <wp:positionH relativeFrom="page">
                <wp:posOffset>6965950</wp:posOffset>
              </wp:positionH>
              <wp:positionV relativeFrom="paragraph">
                <wp:posOffset>-1518920</wp:posOffset>
              </wp:positionV>
              <wp:extent cx="231775" cy="14351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435100"/>
                      </a:xfrm>
                      <a:prstGeom prst="rect">
                        <a:avLst/>
                      </a:prstGeom>
                    </wps:spPr>
                    <wps:txbx>
                      <w:txbxContent>
                        <w:p w14:paraId="521BEB48" w14:textId="77777777" w:rsidR="00F122A6" w:rsidRDefault="00F122A6" w:rsidP="00F122A6">
                          <w:pPr>
                            <w:pStyle w:val="Bodytext20"/>
                          </w:pPr>
                          <w:r>
                            <w:rPr>
                              <w:rStyle w:val="Bodytext2"/>
                            </w:rPr>
                            <w:t>cve: BOE-A-2024-17371</w:t>
                          </w:r>
                        </w:p>
                        <w:p w14:paraId="141DFE5A" w14:textId="77777777" w:rsidR="00F122A6" w:rsidRDefault="00F122A6" w:rsidP="00F122A6">
                          <w:pPr>
                            <w:pStyle w:val="Bodytext20"/>
                          </w:pPr>
                          <w:r>
                            <w:rPr>
                              <w:rStyle w:val="Bodytext2"/>
                            </w:rPr>
                            <w:t xml:space="preserve">Overiteľné na webovom sídle </w:t>
                          </w:r>
                          <w:hyperlink r:id="rId1" w:history="1">
                            <w:r>
                              <w:rPr>
                                <w:rStyle w:val="Bodytext2"/>
                              </w:rPr>
                              <w:t>https://www.boe.es</w:t>
                            </w:r>
                          </w:hyperlink>
                        </w:p>
                        <w:p w14:paraId="5DB38A53" w14:textId="77777777" w:rsidR="00F122A6" w:rsidRPr="00BB5B1F" w:rsidRDefault="00F122A6" w:rsidP="00F122A6">
                          <w:pPr>
                            <w:pStyle w:val="Bodytext20"/>
                            <w:textDirection w:val="btLr"/>
                          </w:pPr>
                        </w:p>
                      </w:txbxContent>
                    </wps:txbx>
                    <wps:bodyPr vert="vert270" wrap="square" lIns="0" tIns="0" rIns="0" bIns="0" rtlCol="0">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type w14:anchorId="4CCC1602" id="_x0000_t202" coordsize="21600,21600" o:spt="202" path="m,l,21600r21600,l21600,xe">
              <v:stroke joinstyle="miter"/>
              <v:path gradientshapeok="t" o:connecttype="rect"/>
            </v:shapetype>
            <v:shape id="Textbox 14" o:spid="_x0000_s1028" type="#_x0000_t202" style="position:absolute;margin-left:548.5pt;margin-top:-119.6pt;width:18.25pt;height:113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" filled="f" stroked="f">
              <v:textbox style="layout-flow:vertical;mso-layout-flow-alt:bottom-to-top" inset="0,0,0,0">
                <w:txbxContent>
                  <w:p w14:paraId="521BEB48" w14:textId="77777777" w:rsidR="00F122A6" w:rsidRDefault="00F122A6" w:rsidP="00F122A6">
                    <w:pPr>
                      <w:pStyle w:val="Bodytext20"/>
                    </w:pPr>
                    <w:r>
                      <w:rPr>
                        <w:rStyle w:val="Bodytext2"/>
                      </w:rPr>
                      <w:t xml:space="preserve">cve:</w:t>
                    </w:r>
                    <w:r>
                      <w:rPr>
                        <w:rStyle w:val="Bodytext2"/>
                      </w:rPr>
                      <w:t xml:space="preserve"> </w:t>
                    </w:r>
                    <w:r>
                      <w:rPr>
                        <w:rStyle w:val="Bodytext2"/>
                      </w:rPr>
                      <w:t xml:space="preserve">BOE-A-2024-17371</w:t>
                    </w:r>
                  </w:p>
                  <w:p w14:paraId="141DFE5A" w14:textId="77777777" w:rsidR="00F122A6" w:rsidRDefault="00F122A6" w:rsidP="00F122A6">
                    <w:pPr>
                      <w:pStyle w:val="Bodytext20"/>
                    </w:pPr>
                    <w:r>
                      <w:rPr>
                        <w:rStyle w:val="Bodytext2"/>
                      </w:rPr>
                      <w:t xml:space="preserve">Overiteľné na webovom sídle </w:t>
                    </w:r>
                    <w:hyperlink r:id="rId2" w:history="1">
                      <w:r>
                        <w:rPr>
                          <w:rStyle w:val="Bodytext2"/>
                        </w:rPr>
                        <w:t xml:space="preserve">https://www.boe.es</w:t>
                      </w:r>
                    </w:hyperlink>
                  </w:p>
                  <w:p w14:paraId="5DB38A53" w14:textId="77777777" w:rsidR="00F122A6" w:rsidRPr="00BB5B1F" w:rsidRDefault="00F122A6" w:rsidP="00F122A6">
                    <w:pPr>
                      <w:pStyle w:val="Bodytext20"/>
                      <w:textDirection w:val="btL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74DB9" w14:textId="77777777" w:rsidR="00F159AA" w:rsidRDefault="00F159AA"/>
  </w:footnote>
  <w:footnote w:type="continuationSeparator" w:id="0">
    <w:p w14:paraId="0BE04834" w14:textId="77777777" w:rsidR="00F159AA" w:rsidRDefault="00F159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04"/>
      <w:gridCol w:w="708"/>
      <w:gridCol w:w="1509"/>
    </w:tblGrid>
    <w:tr w:rsidR="00EE0D48" w:rsidRPr="00EE0D48" w14:paraId="29FF6C3D" w14:textId="77777777" w:rsidTr="0029462A">
      <w:trPr>
        <w:trHeight w:val="851"/>
      </w:trPr>
      <w:tc>
        <w:tcPr>
          <w:tcW w:w="2235" w:type="dxa"/>
          <w:tcBorders>
            <w:bottom w:val="single" w:sz="8" w:space="0" w:color="00447A"/>
          </w:tcBorders>
          <w:vAlign w:val="center"/>
        </w:tcPr>
        <w:p w14:paraId="4ECD7A44" w14:textId="77777777" w:rsidR="00EE0D48" w:rsidRPr="00EE0D48" w:rsidRDefault="00EE0D48" w:rsidP="00EE0D48">
          <w:pPr>
            <w:tabs>
              <w:tab w:val="center" w:pos="4680"/>
              <w:tab w:val="right" w:pos="9360"/>
            </w:tabs>
          </w:pPr>
          <w:r>
            <w:rPr>
              <w:noProof/>
            </w:rPr>
            <w:drawing>
              <wp:inline distT="0" distB="0" distL="0" distR="0" wp14:anchorId="4B258F07" wp14:editId="7AECED03">
                <wp:extent cx="762000" cy="323215"/>
                <wp:effectExtent l="0" t="0" r="0" b="0"/>
                <wp:docPr id="1376890813" name="Picture 1376890813"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787279781" name="Picture 787279781" descr="A blue circle with white text&#10;&#10;Description automatically generated"/>
                        <pic:cNvPicPr/>
                      </pic:nvPicPr>
                      <pic:blipFill>
                        <a:blip r:embed="rId1"/>
                        <a:stretch/>
                      </pic:blipFill>
                      <pic:spPr>
                        <a:xfrm>
                          <a:off x="0" y="0"/>
                          <a:ext cx="762000" cy="323215"/>
                        </a:xfrm>
                        <a:prstGeom prst="rect">
                          <a:avLst/>
                        </a:prstGeom>
                      </pic:spPr>
                    </pic:pic>
                  </a:graphicData>
                </a:graphic>
              </wp:inline>
            </w:drawing>
          </w:r>
        </w:p>
      </w:tc>
      <w:tc>
        <w:tcPr>
          <w:tcW w:w="7512" w:type="dxa"/>
          <w:gridSpan w:val="2"/>
          <w:tcBorders>
            <w:bottom w:val="single" w:sz="8" w:space="0" w:color="00447A"/>
          </w:tcBorders>
          <w:vAlign w:val="center"/>
        </w:tcPr>
        <w:p w14:paraId="3BD86AC7" w14:textId="77777777" w:rsidR="00EE0D48" w:rsidRPr="00EE0D48" w:rsidRDefault="00EE0D48" w:rsidP="00EE0D48">
          <w:pPr>
            <w:jc w:val="center"/>
            <w:rPr>
              <w:rFonts w:ascii="Arial" w:eastAsia="Times New Roman" w:hAnsi="Arial" w:cs="Arial"/>
              <w:sz w:val="20"/>
              <w:szCs w:val="20"/>
            </w:rPr>
          </w:pPr>
          <w:r>
            <w:rPr>
              <w:rFonts w:ascii="Arial" w:hAnsi="Arial"/>
              <w:b/>
              <w:color w:val="00447A"/>
              <w:sz w:val="40"/>
            </w:rPr>
            <w:t>ÚRADNÝ VESTNÍK</w:t>
          </w:r>
        </w:p>
      </w:tc>
      <w:tc>
        <w:tcPr>
          <w:tcW w:w="1509" w:type="dxa"/>
          <w:tcBorders>
            <w:bottom w:val="single" w:sz="8" w:space="0" w:color="00447A"/>
          </w:tcBorders>
          <w:vAlign w:val="center"/>
        </w:tcPr>
        <w:p w14:paraId="78853998" w14:textId="77777777" w:rsidR="00EE0D48" w:rsidRPr="00EE0D48" w:rsidRDefault="00EE0D48" w:rsidP="00EE0D48">
          <w:pPr>
            <w:tabs>
              <w:tab w:val="center" w:pos="4680"/>
              <w:tab w:val="right" w:pos="9360"/>
            </w:tabs>
            <w:jc w:val="right"/>
          </w:pPr>
          <w:r>
            <w:rPr>
              <w:noProof/>
            </w:rPr>
            <w:drawing>
              <wp:inline distT="0" distB="0" distL="0" distR="0" wp14:anchorId="6E4D7463" wp14:editId="2C76F42D">
                <wp:extent cx="384175" cy="408305"/>
                <wp:effectExtent l="0" t="0" r="0" b="0"/>
                <wp:docPr id="2068100945" name="Picture 2068100945" descr="A blue and white emblem&#10;&#10;Description automatically generated"/>
                <wp:cNvGraphicFramePr/>
                <a:graphic xmlns:a="http://schemas.openxmlformats.org/drawingml/2006/main">
                  <a:graphicData uri="http://schemas.openxmlformats.org/drawingml/2006/picture">
                    <pic:pic xmlns:pic="http://schemas.openxmlformats.org/drawingml/2006/picture">
                      <pic:nvPicPr>
                        <pic:cNvPr id="1630636042" name="Picture 1630636042" descr="A blue and white emblem&#10;&#10;Description automatically generated"/>
                        <pic:cNvPicPr/>
                      </pic:nvPicPr>
                      <pic:blipFill>
                        <a:blip r:embed="rId2"/>
                        <a:stretch/>
                      </pic:blipFill>
                      <pic:spPr>
                        <a:xfrm>
                          <a:off x="0" y="0"/>
                          <a:ext cx="384175" cy="408305"/>
                        </a:xfrm>
                        <a:prstGeom prst="rect">
                          <a:avLst/>
                        </a:prstGeom>
                      </pic:spPr>
                    </pic:pic>
                  </a:graphicData>
                </a:graphic>
              </wp:inline>
            </w:drawing>
          </w:r>
        </w:p>
      </w:tc>
    </w:tr>
    <w:tr w:rsidR="00EE0D48" w:rsidRPr="00EE0D48" w14:paraId="040EEF60" w14:textId="77777777" w:rsidTr="0029462A">
      <w:trPr>
        <w:trHeight w:val="350"/>
      </w:trPr>
      <w:tc>
        <w:tcPr>
          <w:tcW w:w="2235" w:type="dxa"/>
          <w:tcBorders>
            <w:top w:val="single" w:sz="8" w:space="0" w:color="00447A"/>
            <w:bottom w:val="single" w:sz="8" w:space="0" w:color="00447A"/>
          </w:tcBorders>
        </w:tcPr>
        <w:p w14:paraId="46E828EA" w14:textId="77777777" w:rsidR="00EE0D48" w:rsidRPr="00EE0D48" w:rsidRDefault="00EE0D48" w:rsidP="00EE0D48">
          <w:pPr>
            <w:tabs>
              <w:tab w:val="center" w:pos="4680"/>
              <w:tab w:val="right" w:pos="9360"/>
            </w:tabs>
            <w:spacing w:before="60"/>
            <w:rPr>
              <w:noProof/>
              <w:sz w:val="20"/>
              <w:szCs w:val="20"/>
            </w:rPr>
          </w:pPr>
          <w:r>
            <w:rPr>
              <w:rFonts w:ascii="Arial" w:hAnsi="Arial"/>
              <w:b/>
              <w:color w:val="00447A"/>
              <w:sz w:val="20"/>
            </w:rPr>
            <w:t>Č. 208</w:t>
          </w:r>
        </w:p>
      </w:tc>
      <w:tc>
        <w:tcPr>
          <w:tcW w:w="6804" w:type="dxa"/>
          <w:tcBorders>
            <w:top w:val="single" w:sz="8" w:space="0" w:color="00447A"/>
            <w:bottom w:val="single" w:sz="8" w:space="0" w:color="00447A"/>
          </w:tcBorders>
        </w:tcPr>
        <w:p w14:paraId="53768128" w14:textId="77777777" w:rsidR="00EE0D48" w:rsidRPr="00EE0D48" w:rsidRDefault="00EE0D48" w:rsidP="00EE0D48">
          <w:pPr>
            <w:spacing w:before="60"/>
            <w:jc w:val="center"/>
            <w:rPr>
              <w:rFonts w:ascii="Arial" w:eastAsia="Arial" w:hAnsi="Arial" w:cs="Arial"/>
              <w:b/>
              <w:bCs/>
              <w:color w:val="00447A"/>
              <w:sz w:val="20"/>
              <w:szCs w:val="20"/>
            </w:rPr>
          </w:pPr>
          <w:r>
            <w:rPr>
              <w:rFonts w:ascii="Arial" w:hAnsi="Arial"/>
              <w:b/>
              <w:color w:val="00447A"/>
              <w:sz w:val="20"/>
            </w:rPr>
            <w:t>28. augusta 2024</w:t>
          </w:r>
        </w:p>
      </w:tc>
      <w:tc>
        <w:tcPr>
          <w:tcW w:w="2217" w:type="dxa"/>
          <w:gridSpan w:val="2"/>
          <w:tcBorders>
            <w:top w:val="single" w:sz="8" w:space="0" w:color="00447A"/>
            <w:bottom w:val="single" w:sz="8" w:space="0" w:color="00447A"/>
          </w:tcBorders>
        </w:tcPr>
        <w:p w14:paraId="0445C7CE" w14:textId="77777777" w:rsidR="00EE0D48" w:rsidRPr="00EE0D48" w:rsidRDefault="00EE0D48" w:rsidP="00EE0D48">
          <w:pPr>
            <w:tabs>
              <w:tab w:val="center" w:pos="4680"/>
              <w:tab w:val="right" w:pos="9360"/>
            </w:tabs>
            <w:spacing w:before="60"/>
            <w:jc w:val="right"/>
            <w:rPr>
              <w:noProof/>
              <w:sz w:val="20"/>
              <w:szCs w:val="20"/>
            </w:rPr>
          </w:pPr>
          <w:r>
            <w:rPr>
              <w:rFonts w:ascii="Arial" w:hAnsi="Arial"/>
              <w:b/>
              <w:color w:val="00447A"/>
              <w:sz w:val="20"/>
            </w:rPr>
            <w:t xml:space="preserve">Odd. I. strana </w:t>
          </w:r>
          <w:r w:rsidRPr="00EE0D48">
            <w:rPr>
              <w:rFonts w:ascii="Arial" w:eastAsia="Arial" w:hAnsi="Arial" w:cs="Arial"/>
              <w:b/>
              <w:color w:val="00447A"/>
              <w:sz w:val="20"/>
            </w:rPr>
            <w:fldChar w:fldCharType="begin"/>
          </w:r>
          <w:r w:rsidRPr="00EE0D48">
            <w:rPr>
              <w:rFonts w:ascii="Arial" w:eastAsia="Arial" w:hAnsi="Arial" w:cs="Arial"/>
              <w:b/>
              <w:color w:val="00447A"/>
              <w:sz w:val="20"/>
            </w:rPr>
            <w:instrText xml:space="preserve"> PAGE   \* MERGEFORMAT </w:instrText>
          </w:r>
          <w:r w:rsidRPr="00EE0D48">
            <w:rPr>
              <w:rFonts w:ascii="Arial" w:eastAsia="Arial" w:hAnsi="Arial" w:cs="Arial"/>
              <w:b/>
              <w:color w:val="00447A"/>
              <w:sz w:val="20"/>
            </w:rPr>
            <w:fldChar w:fldCharType="separate"/>
          </w:r>
          <w:r w:rsidRPr="00EE0D48">
            <w:rPr>
              <w:rFonts w:ascii="Arial" w:eastAsia="Arial" w:hAnsi="Arial" w:cs="Arial"/>
              <w:b/>
              <w:color w:val="00447A"/>
              <w:sz w:val="20"/>
            </w:rPr>
            <w:t>108461</w:t>
          </w:r>
          <w:r w:rsidRPr="00EE0D48">
            <w:rPr>
              <w:rFonts w:ascii="Arial" w:eastAsia="Arial" w:hAnsi="Arial" w:cs="Arial"/>
              <w:b/>
              <w:color w:val="00447A"/>
              <w:sz w:val="20"/>
            </w:rPr>
            <w:fldChar w:fldCharType="end"/>
          </w:r>
        </w:p>
      </w:tc>
    </w:tr>
  </w:tbl>
  <w:p w14:paraId="7DDE1055" w14:textId="77777777" w:rsidR="00EE0D48" w:rsidRPr="00EE0D48" w:rsidRDefault="00EE0D48" w:rsidP="00EE0D48">
    <w:pPr>
      <w:tabs>
        <w:tab w:val="center" w:pos="4680"/>
        <w:tab w:val="right" w:pos="9360"/>
      </w:tabs>
    </w:pPr>
  </w:p>
  <w:p w14:paraId="6D3322AA" w14:textId="77777777" w:rsidR="00EE0D48" w:rsidRPr="00EE0D48" w:rsidRDefault="00EE0D4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00D8"/>
    <w:multiLevelType w:val="multilevel"/>
    <w:tmpl w:val="0428ED76"/>
    <w:lvl w:ilvl="0">
      <w:start w:val="8"/>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71BF6"/>
    <w:multiLevelType w:val="multilevel"/>
    <w:tmpl w:val="5DE44DB4"/>
    <w:lvl w:ilvl="0">
      <w:start w:val="1"/>
      <w:numFmt w:val="upperRoman"/>
      <w:lvlText w:val="%1."/>
      <w:lvlJc w:val="right"/>
      <w:rPr>
        <w:b/>
        <w:bCs/>
        <w:i w:val="0"/>
        <w:iCs w:val="0"/>
        <w:smallCaps w:val="0"/>
        <w:strike w:val="0"/>
        <w:color w:val="000000"/>
        <w:spacing w:val="0"/>
        <w:w w:val="100"/>
        <w:position w:val="0"/>
        <w:sz w:val="30"/>
        <w:szCs w:val="3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3E37C9"/>
    <w:multiLevelType w:val="multilevel"/>
    <w:tmpl w:val="C79A14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D919AA"/>
    <w:multiLevelType w:val="multilevel"/>
    <w:tmpl w:val="A0A0B3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566924"/>
    <w:multiLevelType w:val="multilevel"/>
    <w:tmpl w:val="BA70EF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B75579"/>
    <w:multiLevelType w:val="multilevel"/>
    <w:tmpl w:val="9632A9C0"/>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C93299"/>
    <w:multiLevelType w:val="multilevel"/>
    <w:tmpl w:val="C100907A"/>
    <w:lvl w:ilvl="0">
      <w:start w:val="7"/>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92"/>
    <w:rsid w:val="001C4407"/>
    <w:rsid w:val="0037644B"/>
    <w:rsid w:val="003A02E8"/>
    <w:rsid w:val="00503C92"/>
    <w:rsid w:val="00695D6F"/>
    <w:rsid w:val="00745E5D"/>
    <w:rsid w:val="007C7F14"/>
    <w:rsid w:val="008A217F"/>
    <w:rsid w:val="008D51C9"/>
    <w:rsid w:val="00973FEB"/>
    <w:rsid w:val="00A51493"/>
    <w:rsid w:val="00BB487E"/>
    <w:rsid w:val="00C10FCF"/>
    <w:rsid w:val="00EE0D48"/>
    <w:rsid w:val="00F122A6"/>
    <w:rsid w:val="00F159AA"/>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B8557"/>
  <w15:docId w15:val="{14B7957D-F9B3-420D-ABEF-F04A5FA7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4"/>
      <w:szCs w:val="14"/>
      <w:u w:val="none"/>
    </w:rPr>
  </w:style>
  <w:style w:type="character" w:customStyle="1" w:styleId="Bodytext4">
    <w:name w:val="Body text (4)_"/>
    <w:basedOn w:val="DefaultParagraphFont"/>
    <w:link w:val="Bodytext40"/>
    <w:rPr>
      <w:rFonts w:ascii="Arial" w:eastAsia="Arial" w:hAnsi="Arial" w:cs="Arial"/>
      <w:b/>
      <w:bCs/>
      <w:i w:val="0"/>
      <w:iCs w:val="0"/>
      <w:smallCaps w:val="0"/>
      <w:strike w:val="0"/>
      <w:sz w:val="30"/>
      <w:szCs w:val="3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34"/>
      <w:szCs w:val="34"/>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19"/>
      <w:szCs w:val="19"/>
      <w:u w:val="none"/>
    </w:rPr>
  </w:style>
  <w:style w:type="character" w:customStyle="1" w:styleId="Other">
    <w:name w:val="Other_"/>
    <w:basedOn w:val="DefaultParagraphFont"/>
    <w:link w:val="Other0"/>
    <w:rPr>
      <w:rFonts w:ascii="Arial" w:eastAsia="Arial" w:hAnsi="Arial" w:cs="Arial"/>
      <w:b w:val="0"/>
      <w:bCs w:val="0"/>
      <w:i w:val="0"/>
      <w:iCs w:val="0"/>
      <w:smallCaps w:val="0"/>
      <w:strike w:val="0"/>
      <w:sz w:val="19"/>
      <w:szCs w:val="19"/>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6"/>
      <w:szCs w:val="16"/>
      <w:u w:val="none"/>
    </w:rPr>
  </w:style>
  <w:style w:type="paragraph" w:customStyle="1" w:styleId="Bodytext20">
    <w:name w:val="Body text (2)"/>
    <w:basedOn w:val="Normal"/>
    <w:link w:val="Bodytext2"/>
    <w:rPr>
      <w:rFonts w:ascii="Arial" w:eastAsia="Arial" w:hAnsi="Arial" w:cs="Arial"/>
      <w:sz w:val="14"/>
      <w:szCs w:val="14"/>
    </w:rPr>
  </w:style>
  <w:style w:type="paragraph" w:customStyle="1" w:styleId="Bodytext40">
    <w:name w:val="Body text (4)"/>
    <w:basedOn w:val="Normal"/>
    <w:link w:val="Bodytext4"/>
    <w:pPr>
      <w:spacing w:after="260"/>
      <w:jc w:val="center"/>
    </w:pPr>
    <w:rPr>
      <w:rFonts w:ascii="Arial" w:eastAsia="Arial" w:hAnsi="Arial" w:cs="Arial"/>
      <w:b/>
      <w:bCs/>
      <w:sz w:val="30"/>
      <w:szCs w:val="3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260"/>
      <w:jc w:val="center"/>
      <w:outlineLvl w:val="0"/>
    </w:pPr>
    <w:rPr>
      <w:rFonts w:ascii="Arial" w:eastAsia="Arial" w:hAnsi="Arial" w:cs="Arial"/>
      <w:sz w:val="34"/>
      <w:szCs w:val="34"/>
    </w:rPr>
  </w:style>
  <w:style w:type="paragraph" w:styleId="BodyText">
    <w:name w:val="Body Text"/>
    <w:basedOn w:val="Normal"/>
    <w:link w:val="BodyTextChar"/>
    <w:qFormat/>
    <w:pPr>
      <w:spacing w:after="120" w:line="264" w:lineRule="auto"/>
      <w:ind w:firstLine="340"/>
    </w:pPr>
    <w:rPr>
      <w:rFonts w:ascii="Arial" w:eastAsia="Arial" w:hAnsi="Arial" w:cs="Arial"/>
      <w:sz w:val="19"/>
      <w:szCs w:val="19"/>
    </w:rPr>
  </w:style>
  <w:style w:type="paragraph" w:customStyle="1" w:styleId="Other0">
    <w:name w:val="Other"/>
    <w:basedOn w:val="Normal"/>
    <w:link w:val="Other"/>
    <w:pPr>
      <w:spacing w:after="120" w:line="264" w:lineRule="auto"/>
      <w:ind w:firstLine="340"/>
    </w:pPr>
    <w:rPr>
      <w:rFonts w:ascii="Arial" w:eastAsia="Arial" w:hAnsi="Arial" w:cs="Arial"/>
      <w:sz w:val="19"/>
      <w:szCs w:val="19"/>
    </w:rPr>
  </w:style>
  <w:style w:type="paragraph" w:customStyle="1" w:styleId="Bodytext30">
    <w:name w:val="Body text (3)"/>
    <w:basedOn w:val="Normal"/>
    <w:link w:val="Bodytext3"/>
    <w:pPr>
      <w:spacing w:line="278" w:lineRule="auto"/>
    </w:pPr>
    <w:rPr>
      <w:rFonts w:ascii="Arial" w:eastAsia="Arial" w:hAnsi="Arial" w:cs="Arial"/>
      <w:sz w:val="16"/>
      <w:szCs w:val="16"/>
    </w:rPr>
  </w:style>
  <w:style w:type="paragraph" w:styleId="Footer">
    <w:name w:val="footer"/>
    <w:basedOn w:val="Normal"/>
    <w:link w:val="FooterChar"/>
    <w:uiPriority w:val="99"/>
    <w:unhideWhenUsed/>
    <w:rsid w:val="00EE0D48"/>
    <w:pPr>
      <w:tabs>
        <w:tab w:val="center" w:pos="4680"/>
        <w:tab w:val="right" w:pos="9360"/>
      </w:tabs>
    </w:pPr>
  </w:style>
  <w:style w:type="character" w:customStyle="1" w:styleId="FooterChar">
    <w:name w:val="Footer Char"/>
    <w:basedOn w:val="DefaultParagraphFont"/>
    <w:link w:val="Footer"/>
    <w:uiPriority w:val="99"/>
    <w:rsid w:val="00EE0D48"/>
    <w:rPr>
      <w:color w:val="000000"/>
    </w:rPr>
  </w:style>
  <w:style w:type="paragraph" w:styleId="Header">
    <w:name w:val="header"/>
    <w:basedOn w:val="Normal"/>
    <w:link w:val="HeaderChar"/>
    <w:uiPriority w:val="99"/>
    <w:unhideWhenUsed/>
    <w:rsid w:val="00EE0D48"/>
    <w:pPr>
      <w:tabs>
        <w:tab w:val="center" w:pos="4680"/>
        <w:tab w:val="right" w:pos="9360"/>
      </w:tabs>
    </w:pPr>
  </w:style>
  <w:style w:type="character" w:customStyle="1" w:styleId="HeaderChar">
    <w:name w:val="Header Char"/>
    <w:basedOn w:val="DefaultParagraphFont"/>
    <w:link w:val="Header"/>
    <w:uiPriority w:val="99"/>
    <w:rsid w:val="00EE0D48"/>
    <w:rPr>
      <w:color w:val="000000"/>
    </w:rPr>
  </w:style>
  <w:style w:type="table" w:customStyle="1" w:styleId="TableGrid1">
    <w:name w:val="Table Grid1"/>
    <w:basedOn w:val="TableNormal"/>
    <w:next w:val="TableGrid"/>
    <w:uiPriority w:val="39"/>
    <w:rsid w:val="00EE0D48"/>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0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22A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744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es/" TargetMode="External"/><Relationship Id="rId3" Type="http://schemas.openxmlformats.org/officeDocument/2006/relationships/settings" Target="settings.xml"/><Relationship Id="rId7" Type="http://schemas.openxmlformats.org/officeDocument/2006/relationships/hyperlink" Target="http://www.bo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boe.es" TargetMode="External"/><Relationship Id="rId1" Type="http://schemas.openxmlformats.org/officeDocument/2006/relationships/hyperlink" Target="https://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2744</Words>
  <Characters>16222</Characters>
  <Application>Microsoft Office Word</Application>
  <DocSecurity>0</DocSecurity>
  <Lines>318</Lines>
  <Paragraphs>124</Paragraphs>
  <ScaleCrop>false</ScaleCrop>
  <HeadingPairs>
    <vt:vector size="2" baseType="variant">
      <vt:variant>
        <vt:lpstr>Title</vt:lpstr>
      </vt:variant>
      <vt:variant>
        <vt:i4>1</vt:i4>
      </vt:variant>
    </vt:vector>
  </HeadingPairs>
  <TitlesOfParts>
    <vt:vector size="1" baseType="lpstr">
      <vt:lpstr>Disposición 17371 del BOE núm. 208 de 2024</vt:lpstr>
    </vt:vector>
  </TitlesOfParts>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17371 del BOE núm. 208 de 2024</dc:title>
  <dc:subject>BOE-A-2024-17371</dc:subject>
  <dc:creator>MINISTERIO DE AGRICULTURA, PESCA Y ALIMENTACIÓN</dc:creator>
  <cp:keywords>DECRETO 840/2024 de 27/08/2024; MINISTERIO DE AGRICULTURA, PESCA Y ALIMENTACIÓN; BOE-A-2024-17371; BOE 208 de 2024; 17371; 28/08/2024;Class='Internal'</cp:keywords>
  <cp:lastModifiedBy>Ragnhild Efraimsson</cp:lastModifiedBy>
  <cp:revision>2</cp:revision>
  <dcterms:created xsi:type="dcterms:W3CDTF">2024-10-10T11:24:00Z</dcterms:created>
  <dcterms:modified xsi:type="dcterms:W3CDTF">2024-10-10T11:24:00Z</dcterms:modified>
</cp:coreProperties>
</file>