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B7D9C" w14:textId="5A968861" w:rsidR="00674C49" w:rsidRPr="00683D28" w:rsidRDefault="008630CE" w:rsidP="00923C23">
      <w:pPr>
        <w:ind w:left="-737"/>
      </w:pPr>
      <w:r>
        <w:rPr>
          <w:noProof/>
        </w:rPr>
        <mc:AlternateContent>
          <mc:Choice Requires="wps">
            <w:drawing>
              <wp:anchor distT="0" distB="0" distL="114300" distR="114300" simplePos="0" relativeHeight="251659264" behindDoc="0" locked="0" layoutInCell="1" allowOverlap="1" wp14:anchorId="5BFAD292" wp14:editId="1741D43F">
                <wp:simplePos x="0" y="0"/>
                <wp:positionH relativeFrom="column">
                  <wp:posOffset>462492</wp:posOffset>
                </wp:positionH>
                <wp:positionV relativeFrom="paragraph">
                  <wp:posOffset>149437</wp:posOffset>
                </wp:positionV>
                <wp:extent cx="3064933" cy="626534"/>
                <wp:effectExtent l="0" t="0" r="2540" b="2540"/>
                <wp:wrapNone/>
                <wp:docPr id="880615737" name="Text Box 1"/>
                <wp:cNvGraphicFramePr/>
                <a:graphic xmlns:a="http://schemas.openxmlformats.org/drawingml/2006/main">
                  <a:graphicData uri="http://schemas.microsoft.com/office/word/2010/wordprocessingShape">
                    <wps:wsp>
                      <wps:cNvSpPr txBox="1"/>
                      <wps:spPr>
                        <a:xfrm>
                          <a:off x="0" y="0"/>
                          <a:ext cx="3064933" cy="626534"/>
                        </a:xfrm>
                        <a:prstGeom prst="rect">
                          <a:avLst/>
                        </a:prstGeom>
                        <a:solidFill>
                          <a:schemeClr val="lt1"/>
                        </a:solidFill>
                        <a:ln w="6350">
                          <a:noFill/>
                        </a:ln>
                      </wps:spPr>
                      <wps:txbx>
                        <w:txbxContent>
                          <w:p w14:paraId="031D46EE" w14:textId="049ED798" w:rsidR="008630CE" w:rsidRPr="008630CE" w:rsidRDefault="008630CE">
                            <w:pPr>
                              <w:rPr>
                                <w:rFonts w:ascii="Arial" w:hAnsi="Arial" w:cs="Arial"/>
                                <w:b/>
                                <w:bCs/>
                                <w:sz w:val="28"/>
                                <w:szCs w:val="28"/>
                              </w:rPr>
                            </w:pPr>
                            <w:r>
                              <w:rPr>
                                <w:rFonts w:ascii="Arial" w:hAnsi="Arial"/>
                                <w:b/>
                                <w:sz w:val="28"/>
                              </w:rPr>
                              <w:t>MINISTERIE VAN KLIMAAT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AD292" id="_x0000_t202" coordsize="21600,21600" o:spt="202" path="m,l,21600r21600,l21600,xe">
                <v:stroke joinstyle="miter"/>
                <v:path gradientshapeok="t" o:connecttype="rect"/>
              </v:shapetype>
              <v:shape id="Text Box 1" o:spid="_x0000_s1026" type="#_x0000_t202" style="position:absolute;left:0;text-align:left;margin-left:36.4pt;margin-top:11.75pt;width:241.35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V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" fillcolor="white [3201]" stroked="f" strokeweight=".5pt">
                <v:textbox>
                  <w:txbxContent>
                    <w:p w14:paraId="031D46EE" w14:textId="049ED798" w:rsidR="008630CE" w:rsidRPr="008630CE" w:rsidRDefault="008630CE">
                      <w:pPr>
                        <w:rPr>
                          <w:rFonts w:ascii="Arial" w:hAnsi="Arial" w:cs="Arial"/>
                          <w:b/>
                          <w:bCs/>
                          <w:sz w:val="28"/>
                          <w:szCs w:val="28"/>
                        </w:rPr>
                      </w:pPr>
                      <w:r>
                        <w:rPr>
                          <w:rFonts w:ascii="Arial" w:hAnsi="Arial"/>
                          <w:b/>
                          <w:sz w:val="28"/>
                        </w:rPr>
                        <w:t>MINISTERIE VAN KLIMAAT</w:t>
                      </w:r>
                    </w:p>
                  </w:txbxContent>
                </v:textbox>
              </v:shape>
            </w:pict>
          </mc:Fallback>
        </mc:AlternateContent>
      </w:r>
      <w:r>
        <w:rPr>
          <w:noProof/>
        </w:rPr>
        <w:drawing>
          <wp:inline distT="0" distB="0" distL="0" distR="0" wp14:anchorId="28EC3496" wp14:editId="7203C731">
            <wp:extent cx="2858400" cy="914400"/>
            <wp:effectExtent l="0" t="0" r="0" b="0"/>
            <wp:docPr id="3" name="Pilt 3" descr="Pilt, millel on kujutatud visand, joonistamine, lõikepildid,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descr="Pilt, millel on kujutatud visand, joonistamine, lõikepildid, valge&#10;&#10;Kirjeldus on genereeritud automaatse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914400"/>
                    </a:xfrm>
                    <a:prstGeom prst="rect">
                      <a:avLst/>
                    </a:prstGeom>
                    <a:noFill/>
                    <a:ln>
                      <a:noFill/>
                    </a:ln>
                  </pic:spPr>
                </pic:pic>
              </a:graphicData>
            </a:graphic>
          </wp:inline>
        </w:drawing>
      </w:r>
    </w:p>
    <w:tbl>
      <w:tblPr>
        <w:tblW w:w="0" w:type="auto"/>
        <w:tblInd w:w="-142" w:type="dxa"/>
        <w:tblLook w:val="04A0" w:firstRow="1" w:lastRow="0" w:firstColumn="1" w:lastColumn="0" w:noHBand="0" w:noVBand="1"/>
      </w:tblPr>
      <w:tblGrid>
        <w:gridCol w:w="4161"/>
        <w:gridCol w:w="802"/>
        <w:gridCol w:w="4251"/>
      </w:tblGrid>
      <w:tr w:rsidR="003F55E0" w:rsidRPr="00683D28" w14:paraId="398AB32F" w14:textId="77777777" w:rsidTr="00923C23">
        <w:trPr>
          <w:trHeight w:hRule="exact" w:val="1089"/>
        </w:trPr>
        <w:tc>
          <w:tcPr>
            <w:tcW w:w="4299" w:type="dxa"/>
            <w:vAlign w:val="bottom"/>
          </w:tcPr>
          <w:p w14:paraId="42B8ACCF" w14:textId="33F0B51D" w:rsidR="000D06C6" w:rsidRPr="00DB2F6D" w:rsidRDefault="001B7672" w:rsidP="00EE3F62">
            <w:pPr>
              <w:rPr>
                <w:spacing w:val="20"/>
              </w:rPr>
            </w:pPr>
            <w:r>
              <w:t>VERORDENING</w:t>
            </w:r>
          </w:p>
        </w:tc>
        <w:tc>
          <w:tcPr>
            <w:tcW w:w="838" w:type="dxa"/>
            <w:vAlign w:val="bottom"/>
          </w:tcPr>
          <w:p w14:paraId="41CA5545" w14:textId="77777777" w:rsidR="00674C49" w:rsidRPr="00683D28" w:rsidRDefault="00674C49" w:rsidP="00DC4E77"/>
        </w:tc>
        <w:tc>
          <w:tcPr>
            <w:tcW w:w="4359" w:type="dxa"/>
            <w:vAlign w:val="bottom"/>
          </w:tcPr>
          <w:p w14:paraId="56349025" w14:textId="4F7D3746" w:rsidR="00674C49" w:rsidRPr="00683D28" w:rsidRDefault="00674C49" w:rsidP="008F7110">
            <w:pPr>
              <w:pStyle w:val="viideteie"/>
            </w:pPr>
          </w:p>
        </w:tc>
      </w:tr>
      <w:tr w:rsidR="003F55E0" w:rsidRPr="00683D28" w14:paraId="4E728358" w14:textId="77777777" w:rsidTr="00B6572B">
        <w:trPr>
          <w:trHeight w:hRule="exact" w:val="558"/>
        </w:trPr>
        <w:tc>
          <w:tcPr>
            <w:tcW w:w="4299" w:type="dxa"/>
            <w:vAlign w:val="bottom"/>
          </w:tcPr>
          <w:p w14:paraId="662ACDF1" w14:textId="390D6648" w:rsidR="005B0AFA" w:rsidRDefault="005B0AFA" w:rsidP="00433728"/>
        </w:tc>
        <w:tc>
          <w:tcPr>
            <w:tcW w:w="838" w:type="dxa"/>
            <w:vAlign w:val="bottom"/>
          </w:tcPr>
          <w:p w14:paraId="132B940F" w14:textId="77777777" w:rsidR="005B0AFA" w:rsidRPr="00683D28" w:rsidRDefault="005B0AFA" w:rsidP="00DC4E77"/>
        </w:tc>
        <w:tc>
          <w:tcPr>
            <w:tcW w:w="4359" w:type="dxa"/>
            <w:vAlign w:val="bottom"/>
          </w:tcPr>
          <w:p w14:paraId="72FD25B4" w14:textId="77777777" w:rsidR="0082704C" w:rsidRDefault="005E3B39" w:rsidP="00B6572B">
            <w:pPr>
              <w:pStyle w:val="viideteie"/>
              <w:jc w:val="right"/>
            </w:pPr>
            <w:r>
              <w:t xml:space="preserve">Datum in digitale handtekening </w:t>
            </w:r>
          </w:p>
          <w:p w14:paraId="09DBC072" w14:textId="749C644C" w:rsidR="005B0AFA" w:rsidRPr="00683D28" w:rsidRDefault="005E3B39" w:rsidP="00B6572B">
            <w:pPr>
              <w:pStyle w:val="viideteie"/>
              <w:jc w:val="right"/>
            </w:pPr>
            <w:r>
              <w:t>Nr.</w:t>
            </w:r>
            <w:sdt>
              <w:sdtPr>
                <w:alias w:val="Registratienummer:"/>
                <w:tag w:val="RMReferenceCode"/>
                <w:id w:val="488599500"/>
                <w:placeholder>
                  <w:docPart w:val="45886D0524B8484C872624E5426ECECA"/>
                </w:placeholder>
                <w:showingPlcHdr/>
                <w:dataBinding w:prefixMappings="xmlns:ns0='http://schemas.microsoft.com/office/2006/metadata/properties' xmlns:ns1='http://www.w3.org/2001/XMLSchema-instance' xmlns:ns2='609eabb9-0856-44a7-8264-14370f27e90d' " w:xpath="/ns0:properties[1]/documentManagement[1]/ns2:RMReferenceCode[1]" w:storeItemID="{98B7FAEE-E3D3-40B6-8C86-D029D4B48031}"/>
                <w:text/>
              </w:sdtPr>
              <w:sdtEndPr/>
              <w:sdtContent>
                <w:r>
                  <w:rPr>
                    <w:rStyle w:val="PlaceholderText"/>
                  </w:rPr>
                  <w:t>[Registratienummer]</w:t>
                </w:r>
              </w:sdtContent>
            </w:sdt>
          </w:p>
        </w:tc>
      </w:tr>
    </w:tbl>
    <w:p w14:paraId="3A265CE1" w14:textId="77777777" w:rsidR="006326AA" w:rsidRDefault="006326AA" w:rsidP="006326AA">
      <w:pPr>
        <w:pStyle w:val="peakiri"/>
        <w:spacing w:before="0" w:after="0"/>
      </w:pPr>
    </w:p>
    <w:p w14:paraId="6CC6042B" w14:textId="77777777" w:rsidR="006326AA" w:rsidRDefault="006326AA" w:rsidP="006326AA">
      <w:pPr>
        <w:pStyle w:val="peakiri"/>
        <w:spacing w:before="0" w:after="0"/>
      </w:pPr>
    </w:p>
    <w:p w14:paraId="41824054" w14:textId="4A0D62B1" w:rsidR="00674C49" w:rsidRPr="006F3A4C" w:rsidRDefault="00491D3F" w:rsidP="006326AA">
      <w:pPr>
        <w:pStyle w:val="peakiri"/>
        <w:spacing w:before="0" w:after="0"/>
        <w:rPr>
          <w:b/>
          <w:bCs/>
        </w:rPr>
      </w:pPr>
      <w:r>
        <w:rPr>
          <w:b/>
        </w:rPr>
        <w:t xml:space="preserve">Wijziging van besluit nr. 101 van de minister van Economische Zaken en Infrastructuur van 3 augustus 2015 </w:t>
      </w:r>
      <w:proofErr w:type="gramStart"/>
      <w:r>
        <w:rPr>
          <w:b/>
        </w:rPr>
        <w:t>betreffende</w:t>
      </w:r>
      <w:proofErr w:type="gramEnd"/>
      <w:r>
        <w:rPr>
          <w:b/>
        </w:rPr>
        <w:t xml:space="preserve"> kwaliteitseisen voor de wegenbouw</w:t>
      </w:r>
    </w:p>
    <w:p w14:paraId="039ADD10" w14:textId="77777777" w:rsidR="006326AA" w:rsidRDefault="006326AA" w:rsidP="006326AA">
      <w:pPr>
        <w:pStyle w:val="peakiri"/>
        <w:spacing w:before="0" w:after="0"/>
      </w:pPr>
    </w:p>
    <w:p w14:paraId="671F509A" w14:textId="77777777" w:rsidR="006326AA" w:rsidRPr="00683D28" w:rsidRDefault="006326AA" w:rsidP="006326AA">
      <w:pPr>
        <w:pStyle w:val="peakiri"/>
        <w:spacing w:before="0" w:after="0"/>
      </w:pPr>
    </w:p>
    <w:p w14:paraId="36DB83DC" w14:textId="77777777" w:rsidR="00491D3F" w:rsidRDefault="00491D3F" w:rsidP="00491D3F">
      <w:r>
        <w:t>De Verordening wordt vastgesteld op basis van artikel 96 (3) van de bouwwet.</w:t>
      </w:r>
    </w:p>
    <w:p w14:paraId="2267CFBB" w14:textId="77777777" w:rsidR="00491D3F" w:rsidRDefault="00491D3F" w:rsidP="00491D3F"/>
    <w:p w14:paraId="27F6E63A" w14:textId="0C0997B4" w:rsidR="00491D3F" w:rsidRPr="00C06447" w:rsidRDefault="00491D3F" w:rsidP="00491D3F">
      <w:pPr>
        <w:rPr>
          <w:b/>
          <w:bCs/>
        </w:rPr>
      </w:pPr>
      <w:r>
        <w:rPr>
          <w:b/>
        </w:rPr>
        <w:t xml:space="preserve">In Verordening nr. 101 van de minister van Economische Zaken en Infrastructuur van 3 augustus 2015 </w:t>
      </w:r>
      <w:proofErr w:type="gramStart"/>
      <w:r>
        <w:rPr>
          <w:b/>
        </w:rPr>
        <w:t>betreffende</w:t>
      </w:r>
      <w:proofErr w:type="gramEnd"/>
      <w:r>
        <w:rPr>
          <w:b/>
        </w:rPr>
        <w:t xml:space="preserve"> kwaliteitseisen voor de wegenbouw worden de volgende wijzigingen aangebracht:</w:t>
      </w:r>
    </w:p>
    <w:p w14:paraId="21D9AE75" w14:textId="77777777" w:rsidR="00491D3F" w:rsidRDefault="00491D3F" w:rsidP="00491D3F"/>
    <w:p w14:paraId="65E862AB" w14:textId="42D572BF" w:rsidR="00491D3F" w:rsidRDefault="00491D3F" w:rsidP="00AA5DD3">
      <w:bookmarkStart w:id="0" w:name="_Hlk169183575"/>
      <w:r>
        <w:rPr>
          <w:b/>
        </w:rPr>
        <w:t>(1)</w:t>
      </w:r>
      <w:r>
        <w:t xml:space="preserve"> in de gehele verordening en in de titel van bijlage 14 bij die verordening wordt het woord “asfaltbetonmix” vervangen door het woord “asfaltmengsel”</w:t>
      </w:r>
      <w:bookmarkEnd w:id="0"/>
      <w:r>
        <w:t>;</w:t>
      </w:r>
    </w:p>
    <w:p w14:paraId="113AAEB9" w14:textId="77777777" w:rsidR="00491D3F" w:rsidRDefault="00491D3F" w:rsidP="00491D3F"/>
    <w:p w14:paraId="652EF9A4" w14:textId="1E4DB222" w:rsidR="00491D3F" w:rsidRDefault="00491D3F" w:rsidP="00491D3F">
      <w:r>
        <w:rPr>
          <w:b/>
        </w:rPr>
        <w:t>(2)</w:t>
      </w:r>
      <w:r>
        <w:t xml:space="preserve"> de zin “De conformiteit van bouwmaterialen met de kwaliteitseisen wordt in een laboratorium gecontroleerd door de eigenaar van de weg die in de regel een bevoegde meetmeester moet zijn” toegevoegd na de laatste zin van artikel 1, lid 2;</w:t>
      </w:r>
    </w:p>
    <w:p w14:paraId="2743E445" w14:textId="77777777" w:rsidR="00491D3F" w:rsidRDefault="00491D3F" w:rsidP="00491D3F"/>
    <w:p w14:paraId="71541E18" w14:textId="4EC10FBD" w:rsidR="00491D3F" w:rsidRDefault="00491D3F" w:rsidP="00491D3F">
      <w:r>
        <w:rPr>
          <w:b/>
        </w:rPr>
        <w:t>(3)</w:t>
      </w:r>
      <w:r>
        <w:t xml:space="preserve"> aan artikel 1 wordt lid (2</w:t>
      </w:r>
      <w:r>
        <w:rPr>
          <w:vertAlign w:val="superscript"/>
        </w:rPr>
        <w:t>1</w:t>
      </w:r>
      <w:r>
        <w:t>) toegevoegd, dat als volgt luidt:</w:t>
      </w:r>
    </w:p>
    <w:p w14:paraId="13A92325" w14:textId="607EE836" w:rsidR="00491D3F" w:rsidRDefault="00491D3F" w:rsidP="00491D3F">
      <w:r>
        <w:t>“(2</w:t>
      </w:r>
      <w:r>
        <w:rPr>
          <w:vertAlign w:val="superscript"/>
        </w:rPr>
        <w:t>1</w:t>
      </w:r>
      <w:r>
        <w:t>) Alternatieve bronmaterialen mogen met toestemming van de wegeigenaar voor wegenwerken worden gebruikt, mits de eisen voor de levensduur, stabiliteit en veiligheid van de weg zijn gewaarborgd. Naleving van de voorschriften</w:t>
      </w:r>
    </w:p>
    <w:p w14:paraId="5AB60174" w14:textId="77777777" w:rsidR="00491D3F" w:rsidRDefault="00491D3F" w:rsidP="00491D3F">
      <w:proofErr w:type="gramStart"/>
      <w:r>
        <w:t>voor</w:t>
      </w:r>
      <w:proofErr w:type="gramEnd"/>
      <w:r>
        <w:t xml:space="preserve"> het gebruik van alternatieve bronmaterialen moet worden aangetoond.”;</w:t>
      </w:r>
    </w:p>
    <w:p w14:paraId="2375CC7C" w14:textId="77777777" w:rsidR="00491D3F" w:rsidRDefault="00491D3F" w:rsidP="00491D3F"/>
    <w:p w14:paraId="1362B621" w14:textId="77777777" w:rsidR="00491D3F" w:rsidRDefault="00491D3F" w:rsidP="00491D3F">
      <w:r>
        <w:rPr>
          <w:b/>
        </w:rPr>
        <w:t>(4)</w:t>
      </w:r>
      <w:r>
        <w:t xml:space="preserve"> artikel 1, lid 3, komt als volgt te luiden:</w:t>
      </w:r>
    </w:p>
    <w:p w14:paraId="7473E06A" w14:textId="1A4990BB" w:rsidR="00491D3F" w:rsidRDefault="00491D3F" w:rsidP="00491D3F">
      <w:r>
        <w:t xml:space="preserve">“(3) Bij wijze van uitzondering kunnen wegwerken worden aanvaard onder de door de eigenaar van de weg vastgestelde voorwaarden </w:t>
      </w:r>
      <w:proofErr w:type="gramStart"/>
      <w:r>
        <w:t>indien</w:t>
      </w:r>
      <w:proofErr w:type="gramEnd"/>
      <w:r>
        <w:t xml:space="preserve"> het technisch of economisch niet haalbaar is om de werkzaamheden opnieuw uit te voeren.”;</w:t>
      </w:r>
    </w:p>
    <w:p w14:paraId="216ECA81" w14:textId="77777777" w:rsidR="00491D3F" w:rsidRDefault="00491D3F" w:rsidP="00491D3F"/>
    <w:p w14:paraId="56A7733B" w14:textId="690DC031" w:rsidR="00491D3F" w:rsidRDefault="00491D3F" w:rsidP="00491D3F">
      <w:r>
        <w:rPr>
          <w:b/>
        </w:rPr>
        <w:t>(5)</w:t>
      </w:r>
      <w:r>
        <w:t xml:space="preserve"> in artikel 2, lid 8, wordt de zinsnede “in de bodem en in de wateren” vervangen door de woorden “buiten de wegenbouw”;</w:t>
      </w:r>
    </w:p>
    <w:p w14:paraId="796FCD3D" w14:textId="77777777" w:rsidR="00491D3F" w:rsidRDefault="00491D3F" w:rsidP="00491D3F"/>
    <w:p w14:paraId="70FC73D9" w14:textId="77777777" w:rsidR="00491D3F" w:rsidRDefault="00491D3F" w:rsidP="00491D3F">
      <w:r>
        <w:rPr>
          <w:b/>
        </w:rPr>
        <w:t>(6)</w:t>
      </w:r>
      <w:r>
        <w:t xml:space="preserve"> artikel 2, lid 12, komt als volgt te luiden:</w:t>
      </w:r>
    </w:p>
    <w:p w14:paraId="1FF54EBC" w14:textId="77777777" w:rsidR="00491D3F" w:rsidRDefault="00491D3F" w:rsidP="00491D3F">
      <w:r>
        <w:t>“(12) De wrijvingscoëfficiënt van het wegdek op een rijbaan die openstaat voor verkeer met een maximumsnelheid van meer dan 50</w:t>
      </w:r>
    </w:p>
    <w:p w14:paraId="7030A8DF" w14:textId="56498FD9" w:rsidR="00491D3F" w:rsidRDefault="00491D3F" w:rsidP="00491D3F">
      <w:proofErr w:type="gramStart"/>
      <w:r>
        <w:lastRenderedPageBreak/>
        <w:t>km</w:t>
      </w:r>
      <w:proofErr w:type="gramEnd"/>
      <w:r>
        <w:t>/h mag niet meer dan 0,1 eenheid afwijken van de gemiddelde waarde van de wrijvingscoëfficiënt in de dwarsrichting van de dwarsdoorsnede van de weg.”;</w:t>
      </w:r>
    </w:p>
    <w:p w14:paraId="0FB62085" w14:textId="77777777" w:rsidR="00491D3F" w:rsidRDefault="00491D3F" w:rsidP="00491D3F"/>
    <w:p w14:paraId="15CB70F8" w14:textId="77777777" w:rsidR="00491D3F" w:rsidRDefault="00491D3F" w:rsidP="00491D3F">
      <w:r>
        <w:rPr>
          <w:b/>
        </w:rPr>
        <w:t>(7)</w:t>
      </w:r>
      <w:r>
        <w:t xml:space="preserve"> de leden 14 tot en met 16 van artikel 2 worden als volgt gelezen:</w:t>
      </w:r>
    </w:p>
    <w:p w14:paraId="436D1535" w14:textId="784B69BC" w:rsidR="00491D3F" w:rsidRDefault="00491D3F" w:rsidP="00491D3F">
      <w:r>
        <w:t>“(14) Omwegen ten gevolge van wegwerkzaamheden dienen ten minste te voldoen aan voorwaarde niveau 1 overeenkomstig de eisen voorzien op grond van artikel 97, lid 2, van de bouwwet.</w:t>
      </w:r>
    </w:p>
    <w:p w14:paraId="2DF95987" w14:textId="77777777" w:rsidR="00491D3F" w:rsidRDefault="00491D3F" w:rsidP="00491D3F"/>
    <w:p w14:paraId="25D8B6E4" w14:textId="4BA58816" w:rsidR="00491D3F" w:rsidRDefault="00491D3F" w:rsidP="00491D3F">
      <w:r>
        <w:t>(15) De bekledings- en bedekkingslagen mogen alleen worden gelegd op de onderste lagen die zijn gebouwd en goedgekeurd volgens de door de eigenaar van de weg goedgekeurde procedure. Indien vorstweerstand vereist is moet de vorstweerstand van het gebruikte materiaal worden bepaald als de waterabsorptie meer dan 2 % bedraagt.</w:t>
      </w:r>
    </w:p>
    <w:p w14:paraId="0915E20C" w14:textId="77777777" w:rsidR="00491D3F" w:rsidRDefault="00491D3F" w:rsidP="00491D3F"/>
    <w:p w14:paraId="1F162E12" w14:textId="541D5207" w:rsidR="00491D3F" w:rsidRDefault="00491D3F" w:rsidP="00491D3F">
      <w:r>
        <w:t xml:space="preserve">(16) Bij de controle op de naleving van de kwaliteitseisen voert een gekwalificeerde meetmeester, indien mogelijk, de verificatie uit. </w:t>
      </w:r>
      <w:proofErr w:type="gramStart"/>
      <w:r>
        <w:t>Indien</w:t>
      </w:r>
      <w:proofErr w:type="gramEnd"/>
      <w:r>
        <w:t xml:space="preserve"> het gebruik van een gekwalificeerde meeteenheid niet mogelijk is wordt de kwaliteitscontrole uitgevoerd op basis van de door de eigenaar van de weg vastgestelde eisen.”;</w:t>
      </w:r>
    </w:p>
    <w:p w14:paraId="7D2E459A" w14:textId="77777777" w:rsidR="00491D3F" w:rsidRDefault="00491D3F" w:rsidP="00491D3F"/>
    <w:p w14:paraId="30F21FC3" w14:textId="77777777" w:rsidR="00491D3F" w:rsidRDefault="00491D3F" w:rsidP="00491D3F">
      <w:r>
        <w:t>(</w:t>
      </w:r>
      <w:r>
        <w:rPr>
          <w:b/>
        </w:rPr>
        <w:t>8)</w:t>
      </w:r>
      <w:r>
        <w:t xml:space="preserve"> de leden 3 en 4 van artikel 3 worden als volgt gelezen:</w:t>
      </w:r>
    </w:p>
    <w:p w14:paraId="53B950A8" w14:textId="77777777" w:rsidR="00491D3F" w:rsidRDefault="00491D3F" w:rsidP="00491D3F">
      <w:r>
        <w:t>“(3) Eén partij aggregaat die voor asfaltmengsels wordt geleverd, bedraagt maximaal 3000 ton.</w:t>
      </w:r>
    </w:p>
    <w:p w14:paraId="3F1A782C" w14:textId="77777777" w:rsidR="00491D3F" w:rsidRDefault="00491D3F" w:rsidP="00491D3F"/>
    <w:p w14:paraId="2D2CDA6A" w14:textId="7471609C" w:rsidR="00491D3F" w:rsidRDefault="00491D3F" w:rsidP="00491D3F">
      <w:r>
        <w:t>(4) De verificatie van de conformiteit van elke partij met de conformiteitsbeoordelingsdocumentatie omvat een beoordeling van de deeltjesgrootteverdeling van het fijn aggregaat en de inhoud van de fijne materialen. Het grove aggregaat wordt gecontroleerd op de deeltjesgrootteverdeling, het gehalte aan fijne deeltjes, de vlambaarheidsindex en de breukvastheid.</w:t>
      </w:r>
    </w:p>
    <w:p w14:paraId="725C8C5B" w14:textId="1D75AF8A" w:rsidR="00491D3F" w:rsidRDefault="00491D3F" w:rsidP="00491D3F">
      <w:r>
        <w:t>De slijtvastheid wordt in voorkomend geval bepaald door middel van de Scandinavische test. De vorstbestendigheid van grove aggregaten moet ten minste eenmaal vóór het aanbrengen van de materialen worden gecontroleerd. Bij de beoordeling van de vorstbestendigheid</w:t>
      </w:r>
    </w:p>
    <w:p w14:paraId="797AA4FA" w14:textId="0209D668" w:rsidR="00491D3F" w:rsidRDefault="00491D3F" w:rsidP="00491D3F">
      <w:proofErr w:type="gramStart"/>
      <w:r>
        <w:t>zijn</w:t>
      </w:r>
      <w:proofErr w:type="gramEnd"/>
      <w:r>
        <w:t xml:space="preserve"> laboratoriumgegevens noodzakelijk en er mogen materialen worden aangebracht, indien de waterabsorptie van het materiaal volgens de laboratoriumgegevens minder dan 2 % bedraagt.”;</w:t>
      </w:r>
    </w:p>
    <w:p w14:paraId="736B296C" w14:textId="77777777" w:rsidR="00491D3F" w:rsidRDefault="00491D3F" w:rsidP="00491D3F"/>
    <w:p w14:paraId="437CCAB7" w14:textId="2AC844BC" w:rsidR="00491D3F" w:rsidRDefault="00491D3F" w:rsidP="00491D3F">
      <w:r>
        <w:rPr>
          <w:b/>
        </w:rPr>
        <w:t>(9)</w:t>
      </w:r>
      <w:r>
        <w:t xml:space="preserve"> de vierde zin van artikel 3, lid 7, en de derde zin van artikel 12, lid 3, worden aangevuld met de zinsnede “of, in overleg met de aanbestedende dienst, corrigerende maatregelen nemen” na het woord “verwijderen”;</w:t>
      </w:r>
    </w:p>
    <w:p w14:paraId="1DBAD732" w14:textId="77777777" w:rsidR="00491D3F" w:rsidRDefault="00491D3F" w:rsidP="00491D3F"/>
    <w:p w14:paraId="7FB3AEF2" w14:textId="39C8FF32" w:rsidR="00491D3F" w:rsidRDefault="00491D3F" w:rsidP="00491D3F">
      <w:r>
        <w:rPr>
          <w:b/>
        </w:rPr>
        <w:t>(10)</w:t>
      </w:r>
      <w:r>
        <w:t xml:space="preserve"> in de derde zin van artikel 4, lid 2, wordt de zinsnede “wegens de onvoorziene duur van de regen of met 24 uur in geval van een onverwachte temperatuurdaling van minder dan 5 °C op het wegdek” geschrapt;</w:t>
      </w:r>
    </w:p>
    <w:p w14:paraId="2314F6E8" w14:textId="77777777" w:rsidR="00491D3F" w:rsidRDefault="00491D3F" w:rsidP="00491D3F"/>
    <w:p w14:paraId="2B4B649D" w14:textId="77777777" w:rsidR="00491D3F" w:rsidRDefault="00491D3F" w:rsidP="00491D3F">
      <w:r>
        <w:rPr>
          <w:b/>
        </w:rPr>
        <w:t>(11)</w:t>
      </w:r>
      <w:r>
        <w:t xml:space="preserve"> artikel 5, lid 1, komt als volgt te luiden:</w:t>
      </w:r>
    </w:p>
    <w:p w14:paraId="065FA7B1" w14:textId="77777777" w:rsidR="00491D3F" w:rsidRDefault="00491D3F" w:rsidP="00491D3F">
      <w:r>
        <w:t xml:space="preserve">“(1) De bovenste grindlaag met een dikte van ten minste 12 cm van de totale grindlaag moet </w:t>
      </w:r>
      <w:proofErr w:type="gramStart"/>
      <w:r>
        <w:t>een</w:t>
      </w:r>
      <w:proofErr w:type="gramEnd"/>
      <w:r>
        <w:t xml:space="preserve"> deeltjesgrootteverdeling hebben</w:t>
      </w:r>
    </w:p>
    <w:p w14:paraId="023A23FF" w14:textId="79C25079" w:rsidR="00491D3F" w:rsidRDefault="00491D3F" w:rsidP="00491D3F">
      <w:proofErr w:type="gramStart"/>
      <w:r>
        <w:t>van</w:t>
      </w:r>
      <w:proofErr w:type="gramEnd"/>
      <w:r>
        <w:t xml:space="preserve"> positie 5 of 6, zoals beschreven in bijlage 10. De bovenste grindlaag wordt gemeten langs de as van de weg en op een afstand van 1 m van de rand van de weg. Het afgesloten oppervlak mag geen losse deeltjes bevatten die niet door een</w:t>
      </w:r>
    </w:p>
    <w:p w14:paraId="0B83A04B" w14:textId="77777777" w:rsidR="00491D3F" w:rsidRDefault="00491D3F" w:rsidP="00491D3F">
      <w:proofErr w:type="gramStart"/>
      <w:r>
        <w:t>zeef</w:t>
      </w:r>
      <w:proofErr w:type="gramEnd"/>
      <w:r>
        <w:t xml:space="preserve"> van maat 40 mm gaan.”;</w:t>
      </w:r>
    </w:p>
    <w:p w14:paraId="1869EB07" w14:textId="77777777" w:rsidR="00491D3F" w:rsidRDefault="00491D3F" w:rsidP="00491D3F"/>
    <w:p w14:paraId="6BAFB338" w14:textId="0E1E05C2" w:rsidR="00491D3F" w:rsidRDefault="00491D3F" w:rsidP="00491D3F">
      <w:r>
        <w:rPr>
          <w:b/>
        </w:rPr>
        <w:lastRenderedPageBreak/>
        <w:t>(12)</w:t>
      </w:r>
      <w:r>
        <w:t xml:space="preserve"> de vier laatste zinnen van artikel 5, lid 2, punt 4, artikel 12, lid 10, de vijfde zin van artikel 13, lid 12, punt 7, en de derde zin van artikel 23, lid 4, worden gewijzigd door toevoeging van het tekstdeel “of inspecteur” na het tekstgedeelte “LOADMAN-” en door de zinsnede “vermenigvuldigd met de overgangsfactor” te vervangen door de woorden</w:t>
      </w:r>
    </w:p>
    <w:p w14:paraId="4E7B5C8F" w14:textId="77777777" w:rsidR="00491D3F" w:rsidRDefault="00491D3F" w:rsidP="00491D3F">
      <w:r>
        <w:t>“</w:t>
      </w:r>
      <w:proofErr w:type="gramStart"/>
      <w:r>
        <w:t>omgezet</w:t>
      </w:r>
      <w:proofErr w:type="gramEnd"/>
      <w:r>
        <w:t xml:space="preserve"> om vergelijkbaar te zijn”;</w:t>
      </w:r>
    </w:p>
    <w:p w14:paraId="2DDE4159" w14:textId="77777777" w:rsidR="00491D3F" w:rsidRDefault="00491D3F" w:rsidP="00491D3F"/>
    <w:p w14:paraId="6D9AC578" w14:textId="77777777" w:rsidR="00491D3F" w:rsidRDefault="00491D3F" w:rsidP="00491D3F">
      <w:r>
        <w:rPr>
          <w:b/>
        </w:rPr>
        <w:t>(13)</w:t>
      </w:r>
      <w:r>
        <w:t xml:space="preserve"> de titel van artikel 6 komt als volgt te luiden:</w:t>
      </w:r>
    </w:p>
    <w:p w14:paraId="65967F88" w14:textId="6FB91CB4" w:rsidR="00491D3F" w:rsidRPr="00491D3F" w:rsidRDefault="00491D3F" w:rsidP="00491D3F">
      <w:pPr>
        <w:rPr>
          <w:b/>
          <w:bCs/>
        </w:rPr>
      </w:pPr>
      <w:r>
        <w:rPr>
          <w:b/>
        </w:rPr>
        <w:t>“Artikel 6. Asfalt en verharde weg”;</w:t>
      </w:r>
    </w:p>
    <w:p w14:paraId="2DE706DD" w14:textId="77777777" w:rsidR="00491D3F" w:rsidRDefault="00491D3F" w:rsidP="00491D3F"/>
    <w:p w14:paraId="59A776D2" w14:textId="77777777" w:rsidR="00491D3F" w:rsidRDefault="00491D3F" w:rsidP="00491D3F">
      <w:r>
        <w:rPr>
          <w:b/>
        </w:rPr>
        <w:t>(14)</w:t>
      </w:r>
      <w:r>
        <w:t xml:space="preserve"> artikel 6, lid 1, punt 1, wordt als volgt gelezen:</w:t>
      </w:r>
    </w:p>
    <w:p w14:paraId="210ABB7A" w14:textId="01F86C92" w:rsidR="00491D3F" w:rsidRDefault="00491D3F" w:rsidP="00491D3F">
      <w:r>
        <w:t>“1) verkanting op een dubbelzijdige verkanting; en het</w:t>
      </w:r>
      <w:r>
        <w:rPr>
          <w:color w:val="202020"/>
          <w:shd w:val="clear" w:color="auto" w:fill="FFFFFF"/>
        </w:rPr>
        <w:t xml:space="preserve"> in de zin van de verkeerswet</w:t>
      </w:r>
      <w:r>
        <w:t xml:space="preserve"> op trottoirs, voetpaden, voetpaden en fietspaden, en fietsgedeelten ± 0,5 % en eenzijdige kantines ± 0,3 %;”;</w:t>
      </w:r>
    </w:p>
    <w:p w14:paraId="5F0DA653" w14:textId="77777777" w:rsidR="00491D3F" w:rsidRDefault="00491D3F" w:rsidP="00491D3F"/>
    <w:p w14:paraId="33C70D57" w14:textId="77777777" w:rsidR="00491D3F" w:rsidRDefault="00491D3F" w:rsidP="00491D3F">
      <w:r>
        <w:rPr>
          <w:b/>
        </w:rPr>
        <w:t>(15)</w:t>
      </w:r>
      <w:r>
        <w:t xml:space="preserve"> artikel 6, lid 1, punt 3, en artikel 20, lid 1, punt 3, worden als volgt gelezen:</w:t>
      </w:r>
    </w:p>
    <w:p w14:paraId="76578A29" w14:textId="77777777" w:rsidR="00491D3F" w:rsidRDefault="00491D3F" w:rsidP="00491D3F">
      <w:r>
        <w:t>“3) De afstand tussen de rand van het wegdek en de as van de weg mag verschillen -5/+15 cm, waarbij de totale breedte van het wegdek niet</w:t>
      </w:r>
    </w:p>
    <w:p w14:paraId="470F9F36" w14:textId="6913F37D" w:rsidR="00491D3F" w:rsidRDefault="00491D3F" w:rsidP="00491D3F">
      <w:proofErr w:type="gramStart"/>
      <w:r>
        <w:t>kleiner</w:t>
      </w:r>
      <w:proofErr w:type="gramEnd"/>
      <w:r>
        <w:t xml:space="preserve"> dan het ontwerp en het verschil tussen twee opeenvolgende metingen op rechte delen met een uniforme breedte van niet meer dan 5 cm.”;</w:t>
      </w:r>
    </w:p>
    <w:p w14:paraId="46047FD9" w14:textId="77777777" w:rsidR="00491D3F" w:rsidRDefault="00491D3F" w:rsidP="00491D3F"/>
    <w:p w14:paraId="3D5BA818" w14:textId="77777777" w:rsidR="00491D3F" w:rsidRDefault="00491D3F" w:rsidP="00491D3F">
      <w:r>
        <w:rPr>
          <w:b/>
        </w:rPr>
        <w:t>(16)</w:t>
      </w:r>
      <w:r>
        <w:t xml:space="preserve"> de vijfde zin van artikel 6, lid 3, komt als volgt te luiden:</w:t>
      </w:r>
    </w:p>
    <w:p w14:paraId="004C7385" w14:textId="77777777" w:rsidR="00491D3F" w:rsidRDefault="00491D3F" w:rsidP="00491D3F">
      <w:r>
        <w:t>“</w:t>
      </w:r>
      <w:proofErr w:type="gramStart"/>
      <w:r>
        <w:t>Indien</w:t>
      </w:r>
      <w:proofErr w:type="gramEnd"/>
      <w:r>
        <w:t xml:space="preserve"> de wrijvingscoëfficiënt niet in overeenstemming is met de voorschriften worden de desbetreffende verkeersborden aangebracht.”;</w:t>
      </w:r>
    </w:p>
    <w:p w14:paraId="41D5212F" w14:textId="77777777" w:rsidR="00491D3F" w:rsidRDefault="00491D3F" w:rsidP="00491D3F"/>
    <w:p w14:paraId="0FF85DC8" w14:textId="77777777" w:rsidR="00491D3F" w:rsidRDefault="00491D3F" w:rsidP="00491D3F">
      <w:r>
        <w:rPr>
          <w:b/>
        </w:rPr>
        <w:t>(17)</w:t>
      </w:r>
      <w:r>
        <w:t xml:space="preserve"> artikel 6, lid 6, komt als volgt te luiden:</w:t>
      </w:r>
    </w:p>
    <w:p w14:paraId="7093426B" w14:textId="1D2479D8" w:rsidR="00491D3F" w:rsidRDefault="00491D3F" w:rsidP="00491D3F">
      <w:r>
        <w:t xml:space="preserve">“(6) De elastische modulus voor nieuwe steunlagen voor wegen die met de ontworpen structuur zijn gebouwd, gemeten met een inrichting van het LOADMAN- of INSPECTOR-type, moet in het midden van de steunlaag ten minste 130 MPa bedragen. </w:t>
      </w:r>
      <w:proofErr w:type="gramStart"/>
      <w:r>
        <w:t>Indien</w:t>
      </w:r>
      <w:proofErr w:type="gramEnd"/>
      <w:r>
        <w:t xml:space="preserve"> een ander meetapparaat van een analoge elastische modulus wordt gebruikt worden de afgelezen waarden ervan vergeleken met de apparatuur van het LOADMAN- of INSPECTOR-type en worden de meetresultaten omgezet om vergelijkbaar te zijn.”;</w:t>
      </w:r>
    </w:p>
    <w:p w14:paraId="084502F2" w14:textId="77777777" w:rsidR="00491D3F" w:rsidRDefault="00491D3F" w:rsidP="00491D3F"/>
    <w:p w14:paraId="1ACF7E4F" w14:textId="4B85E912" w:rsidR="00491D3F" w:rsidRDefault="00491D3F" w:rsidP="00491D3F">
      <w:r>
        <w:rPr>
          <w:b/>
        </w:rPr>
        <w:t>(18)</w:t>
      </w:r>
      <w:r>
        <w:t xml:space="preserve"> lid (6</w:t>
      </w:r>
      <w:r>
        <w:rPr>
          <w:vertAlign w:val="superscript"/>
        </w:rPr>
        <w:t>1</w:t>
      </w:r>
      <w:r>
        <w:t>) wordt toegevoegd aan artikel 6 en komt als volgt te luiden:</w:t>
      </w:r>
    </w:p>
    <w:p w14:paraId="42CCAE02" w14:textId="4463FD2D" w:rsidR="00491D3F" w:rsidRDefault="00491D3F" w:rsidP="00491D3F">
      <w:r>
        <w:t>“(6</w:t>
      </w:r>
      <w:r>
        <w:rPr>
          <w:vertAlign w:val="superscript"/>
        </w:rPr>
        <w:t>1</w:t>
      </w:r>
      <w:r>
        <w:t>) Bij het vullen van de bestaande steunlagen dienen de lagen te worden gecomprimeerd, maar de in lid 6 van dit artikel gespecificeerde eis voor de elastische modulus is niet van toepassing.”;</w:t>
      </w:r>
    </w:p>
    <w:p w14:paraId="471ED76F" w14:textId="77777777" w:rsidR="00491D3F" w:rsidRDefault="00491D3F" w:rsidP="00491D3F"/>
    <w:p w14:paraId="413C68DB" w14:textId="31D1CBF0" w:rsidR="00491D3F" w:rsidRDefault="00491D3F" w:rsidP="00491D3F">
      <w:r>
        <w:rPr>
          <w:b/>
        </w:rPr>
        <w:t>(19)</w:t>
      </w:r>
      <w:r>
        <w:t xml:space="preserve"> </w:t>
      </w:r>
      <w:bookmarkStart w:id="1" w:name="_Hlk168560581"/>
      <w:r>
        <w:t>in artikel 6, lid 7, wordt het tekstgedeelte “± 0,5 %” vervangen door het tekstgedeelte “± 1,0 %” en wordt na de laatste zin de zin “In geen geval mag de helling van de weglaag kleiner zijn dan de verkanting van de weg” toegevoegd;</w:t>
      </w:r>
      <w:bookmarkEnd w:id="1"/>
    </w:p>
    <w:p w14:paraId="5B482ABD" w14:textId="77777777" w:rsidR="00491D3F" w:rsidRDefault="00491D3F" w:rsidP="00491D3F"/>
    <w:p w14:paraId="458F6323" w14:textId="77777777" w:rsidR="00491D3F" w:rsidRDefault="00491D3F" w:rsidP="00491D3F">
      <w:r>
        <w:rPr>
          <w:b/>
        </w:rPr>
        <w:t>(20)</w:t>
      </w:r>
      <w:r>
        <w:t xml:space="preserve"> de eerste zin van artikel 8, lid 5, komt als volgt te luiden:</w:t>
      </w:r>
    </w:p>
    <w:p w14:paraId="7912B3AF" w14:textId="21887A8D" w:rsidR="00491D3F" w:rsidRDefault="00491D3F" w:rsidP="00491D3F">
      <w:r>
        <w:t>“De compressiefactor van de ondergrond moet ≥ 0,94 zijn, tenzij het ontwerp in een specifieke oplossing voorziet.”;</w:t>
      </w:r>
    </w:p>
    <w:p w14:paraId="5E75F41A" w14:textId="77777777" w:rsidR="00491D3F" w:rsidRDefault="00491D3F" w:rsidP="00491D3F"/>
    <w:p w14:paraId="5D843097" w14:textId="77777777" w:rsidR="00491D3F" w:rsidRDefault="00491D3F" w:rsidP="00491D3F">
      <w:r>
        <w:rPr>
          <w:b/>
        </w:rPr>
        <w:t>(21)</w:t>
      </w:r>
      <w:r>
        <w:t xml:space="preserve"> artikel 9, lid 3, komt als volgt te luiden:</w:t>
      </w:r>
    </w:p>
    <w:p w14:paraId="3348FFFA" w14:textId="77777777" w:rsidR="00491D3F" w:rsidRDefault="00491D3F" w:rsidP="00491D3F">
      <w:r>
        <w:t>“(3) De oppervlakte mag vóór het verstrijken van één jaar na de datum van aanvaarding van de berm op de bodem worden aangebracht, op voorwaarde dat</w:t>
      </w:r>
    </w:p>
    <w:p w14:paraId="3F53DAAA" w14:textId="78640B6A" w:rsidR="00491D3F" w:rsidRDefault="00491D3F" w:rsidP="00491D3F">
      <w:proofErr w:type="gramStart"/>
      <w:r>
        <w:lastRenderedPageBreak/>
        <w:t>de</w:t>
      </w:r>
      <w:proofErr w:type="gramEnd"/>
      <w:r>
        <w:t xml:space="preserve"> berm wordt samengeperst in lagen met een dikte tot 0,3 m en de compressie van alle lagen voldoet aan de eisen, of in lagen tot 0,6 m dik indien de maker van de weg aantoont dat de vereiste compressie haalbaar is voor de volledige dikte van de samengeperste laag.”;</w:t>
      </w:r>
    </w:p>
    <w:p w14:paraId="39DA2716" w14:textId="77777777" w:rsidR="00491D3F" w:rsidRDefault="00491D3F" w:rsidP="00491D3F"/>
    <w:p w14:paraId="6CA62D38" w14:textId="577EA209" w:rsidR="00491D3F" w:rsidRDefault="00491D3F" w:rsidP="00491D3F">
      <w:r>
        <w:rPr>
          <w:b/>
        </w:rPr>
        <w:t>(22)</w:t>
      </w:r>
      <w:r>
        <w:t xml:space="preserve"> in artikel 9, leden 5 en 6, en artikel 11, leden 3 en 4, wordt de zinsnede “vermenigvuldigd met de overgangsfactor” vervangen door de zinsnede “omgerekend om vergelijkbaar te zijn”;</w:t>
      </w:r>
    </w:p>
    <w:p w14:paraId="6956D027" w14:textId="77777777" w:rsidR="00491D3F" w:rsidRDefault="00491D3F" w:rsidP="00491D3F"/>
    <w:p w14:paraId="3E21BF7F" w14:textId="77777777" w:rsidR="00491D3F" w:rsidRDefault="00491D3F" w:rsidP="00491D3F">
      <w:r>
        <w:rPr>
          <w:b/>
        </w:rPr>
        <w:t>(23)</w:t>
      </w:r>
      <w:r>
        <w:t xml:space="preserve"> artikel 9, lid 8, komt als volgt te luiden:</w:t>
      </w:r>
    </w:p>
    <w:p w14:paraId="2FBC323F" w14:textId="77777777" w:rsidR="00491D3F" w:rsidRDefault="00491D3F" w:rsidP="00491D3F">
      <w:r>
        <w:t>“(8) De vlakheid van het wegdek moet worden gecontroleerd op weggedeelten met een uniforme helling in de lengterichting langs de as van de weg en ten minste één</w:t>
      </w:r>
    </w:p>
    <w:p w14:paraId="61E05CD2" w14:textId="77777777" w:rsidR="00491D3F" w:rsidRDefault="00491D3F" w:rsidP="00491D3F">
      <w:proofErr w:type="gramStart"/>
      <w:r>
        <w:t>meter</w:t>
      </w:r>
      <w:proofErr w:type="gramEnd"/>
      <w:r>
        <w:t xml:space="preserve"> aan weerszijden van de berm om de 25 meter, geodetisch of met een strook van 3 meter.</w:t>
      </w:r>
    </w:p>
    <w:p w14:paraId="7755DE7E" w14:textId="77777777" w:rsidR="00491D3F" w:rsidRDefault="00491D3F" w:rsidP="00491D3F">
      <w:r>
        <w:t>De maximaal toelaatbare ruwheid in lengte- en dwarsrichting bedraagt &lt; 30 mm.”;</w:t>
      </w:r>
    </w:p>
    <w:p w14:paraId="373EBE5C" w14:textId="77777777" w:rsidR="00491D3F" w:rsidRDefault="00491D3F" w:rsidP="00491D3F"/>
    <w:p w14:paraId="344591CB" w14:textId="0B3E2C70" w:rsidR="00491D3F" w:rsidRDefault="00491D3F" w:rsidP="00491D3F">
      <w:r>
        <w:rPr>
          <w:b/>
        </w:rPr>
        <w:t>(24)</w:t>
      </w:r>
      <w:r>
        <w:t xml:space="preserve"> artikel 9, lid 9, wordt ingetrokken;</w:t>
      </w:r>
    </w:p>
    <w:p w14:paraId="5A5A39B6" w14:textId="77777777" w:rsidR="00491D3F" w:rsidRDefault="00491D3F" w:rsidP="00491D3F"/>
    <w:p w14:paraId="7963D194" w14:textId="7D6B2D2C" w:rsidR="00491D3F" w:rsidRDefault="00491D3F" w:rsidP="00491D3F">
      <w:r>
        <w:rPr>
          <w:b/>
        </w:rPr>
        <w:t>(25)</w:t>
      </w:r>
      <w:r>
        <w:t xml:space="preserve"> in artikel 9, lid 10, tweede zin, wordt na het woord “verwijderen” de zinsnede “of met instemming van de aanbestedende dienst corrigerende maatregelen nemen” toegevoegd;</w:t>
      </w:r>
    </w:p>
    <w:p w14:paraId="0435EB0E" w14:textId="77777777" w:rsidR="00491D3F" w:rsidRDefault="00491D3F" w:rsidP="00491D3F"/>
    <w:p w14:paraId="056C11FB" w14:textId="77777777" w:rsidR="00491D3F" w:rsidRDefault="00491D3F" w:rsidP="00491D3F">
      <w:r>
        <w:rPr>
          <w:b/>
        </w:rPr>
        <w:t>(26)</w:t>
      </w:r>
      <w:r>
        <w:t xml:space="preserve"> artikel 9, lid 12, punten 2 en 3, worden als volgt gelezen:</w:t>
      </w:r>
    </w:p>
    <w:p w14:paraId="13F5411C" w14:textId="42CF79A8" w:rsidR="00491D3F" w:rsidRDefault="00491D3F" w:rsidP="00491D3F">
      <w:r>
        <w:t>“2) De afstand tussen de rand van de berm van de as van de weg -5 cm/+15 cm;</w:t>
      </w:r>
    </w:p>
    <w:p w14:paraId="2DA80E96" w14:textId="77777777" w:rsidR="00491D3F" w:rsidRDefault="00491D3F" w:rsidP="00491D3F">
      <w:r>
        <w:t>(3) verkantingen op een weg met dubbelzijdige verkantingen ± 0,5 % en op een weg met eenzijdige verkantingen ± 0,5 %.”;</w:t>
      </w:r>
    </w:p>
    <w:p w14:paraId="050F0C56" w14:textId="77777777" w:rsidR="00491D3F" w:rsidRDefault="00491D3F" w:rsidP="00491D3F"/>
    <w:p w14:paraId="23445401" w14:textId="77777777" w:rsidR="00491D3F" w:rsidRDefault="00491D3F" w:rsidP="00491D3F">
      <w:r>
        <w:rPr>
          <w:b/>
        </w:rPr>
        <w:t>(27)</w:t>
      </w:r>
      <w:r>
        <w:t xml:space="preserve"> artikel 11, lid 8, punten 2 en 3, worden als volgt gelezen:</w:t>
      </w:r>
    </w:p>
    <w:p w14:paraId="11C2017E" w14:textId="0E831462" w:rsidR="002801DB" w:rsidRDefault="00491D3F" w:rsidP="002801DB">
      <w:r>
        <w:t>“2) de afstand tussen de rand van de afwateringslaag en de as van de weg -5 cm/+15 cm; de totale breedte van de afwateringslaag mag niet kleiner zijn</w:t>
      </w:r>
    </w:p>
    <w:p w14:paraId="0F577718" w14:textId="0774C0ED" w:rsidR="00491D3F" w:rsidRDefault="002801DB" w:rsidP="002801DB">
      <w:proofErr w:type="gramStart"/>
      <w:r>
        <w:t>dan</w:t>
      </w:r>
      <w:proofErr w:type="gramEnd"/>
      <w:r>
        <w:t xml:space="preserve"> het ontwerp en het verschil tussen twee opeenvolgende metingen op rechte secties met een uniforme breedte mag niet groter zijn dan 5 cm;</w:t>
      </w:r>
    </w:p>
    <w:p w14:paraId="29808732" w14:textId="77777777" w:rsidR="00491D3F" w:rsidRDefault="00491D3F" w:rsidP="00491D3F">
      <w:r>
        <w:t>(3) verkantingen op een weg met dubbelzijdige verkantingen ± 0,5 % en op een weg met eenzijdige verkantingen ± 0,5 %.”;</w:t>
      </w:r>
    </w:p>
    <w:p w14:paraId="45A9CDF1" w14:textId="77777777" w:rsidR="00491D3F" w:rsidRDefault="00491D3F" w:rsidP="00491D3F"/>
    <w:p w14:paraId="42CF5AD6" w14:textId="77777777" w:rsidR="00491D3F" w:rsidRDefault="00491D3F" w:rsidP="00491D3F">
      <w:r>
        <w:rPr>
          <w:b/>
        </w:rPr>
        <w:t>(28)</w:t>
      </w:r>
      <w:r>
        <w:t xml:space="preserve"> artikel 12, lid 6, punt 3, komt als volgt te luiden:</w:t>
      </w:r>
    </w:p>
    <w:p w14:paraId="5584EF93" w14:textId="7312D35A" w:rsidR="00491D3F" w:rsidRDefault="00491D3F" w:rsidP="00491D3F">
      <w:r>
        <w:t>“3) fijngemaakte deeltjes van het grove aggregaat dienen ten minste te overeenkomen met categorie C50/30 en de categorie van de maximumwaarde voor breukbestendigheid moet ten minste gelijk zijn aan</w:t>
      </w:r>
    </w:p>
    <w:p w14:paraId="67E7CC84" w14:textId="77777777" w:rsidR="00491D3F" w:rsidRDefault="00491D3F" w:rsidP="00491D3F">
      <w:r>
        <w:t>LA40.”;</w:t>
      </w:r>
    </w:p>
    <w:p w14:paraId="42C197EC" w14:textId="77777777" w:rsidR="00491D3F" w:rsidRDefault="00491D3F" w:rsidP="00491D3F"/>
    <w:p w14:paraId="429DD64B" w14:textId="77777777" w:rsidR="00491D3F" w:rsidRDefault="00491D3F" w:rsidP="00491D3F">
      <w:r>
        <w:rPr>
          <w:b/>
        </w:rPr>
        <w:t>(29)</w:t>
      </w:r>
      <w:r>
        <w:t xml:space="preserve"> artikel 12, lid 8, punten 2 en 3, worden als volgt gelezen:</w:t>
      </w:r>
    </w:p>
    <w:p w14:paraId="3C32DC21" w14:textId="4ABD0F34" w:rsidR="00491D3F" w:rsidRDefault="00491D3F" w:rsidP="002801DB">
      <w:r>
        <w:t>“2) de afstand van de rand van het platform tot de as van de weg –0/+ 15 cm, de totale breedte van het platform mag niet kleiner zijn dan het ontwerp en het verschil tussen twee opeenvolgende metingen op rechte gedeelten met een uniforme breedte mag niet groter zijn dan 5 cm;</w:t>
      </w:r>
    </w:p>
    <w:p w14:paraId="0633B283" w14:textId="77777777" w:rsidR="00491D3F" w:rsidRDefault="00491D3F" w:rsidP="00491D3F">
      <w:r>
        <w:t>(3) verkanting op een weg met een dubbelzijdige verkanting ± 0,5 % en een eenzijdige verkanting ± 0,5 %;”;</w:t>
      </w:r>
    </w:p>
    <w:p w14:paraId="22F24716" w14:textId="77777777" w:rsidR="00491D3F" w:rsidRDefault="00491D3F" w:rsidP="00491D3F"/>
    <w:p w14:paraId="18CC0818" w14:textId="1941BA30" w:rsidR="00491D3F" w:rsidRDefault="00491D3F" w:rsidP="00491D3F">
      <w:r>
        <w:rPr>
          <w:b/>
        </w:rPr>
        <w:t>(30)</w:t>
      </w:r>
      <w:r>
        <w:t xml:space="preserve"> artikel 12, lid 8, punt 6, komt als volgt te luiden:</w:t>
      </w:r>
    </w:p>
    <w:p w14:paraId="6D67F393" w14:textId="165B9A13" w:rsidR="00491D3F" w:rsidRDefault="00491D3F" w:rsidP="00491D3F">
      <w:r>
        <w:t>“6) het verzamelmonster dat van de samengeperste basis wordt genomen mag niet meer dan 7 % deeltjes van minder dan 0,063 mm bevatten.”;</w:t>
      </w:r>
    </w:p>
    <w:p w14:paraId="08EF0100" w14:textId="77777777" w:rsidR="00491D3F" w:rsidRDefault="00491D3F" w:rsidP="00491D3F"/>
    <w:p w14:paraId="47F845EA" w14:textId="05CD1FDA" w:rsidR="00491D3F" w:rsidRDefault="00491D3F" w:rsidP="00491D3F">
      <w:r>
        <w:rPr>
          <w:b/>
        </w:rPr>
        <w:lastRenderedPageBreak/>
        <w:t>(31)</w:t>
      </w:r>
      <w:r>
        <w:t xml:space="preserve"> aan artikel 12 wordt lid (8</w:t>
      </w:r>
      <w:r>
        <w:rPr>
          <w:vertAlign w:val="superscript"/>
        </w:rPr>
        <w:t>1</w:t>
      </w:r>
      <w:r>
        <w:t>) toegevoegd, dat als volgt luidt:</w:t>
      </w:r>
    </w:p>
    <w:p w14:paraId="38E2EEFF" w14:textId="52388BA5" w:rsidR="00491D3F" w:rsidRDefault="00491D3F" w:rsidP="00491D3F">
      <w:r>
        <w:t>“(8</w:t>
      </w:r>
      <w:r>
        <w:rPr>
          <w:vertAlign w:val="superscript"/>
        </w:rPr>
        <w:t>1</w:t>
      </w:r>
      <w:r>
        <w:t>) Het in lid 8, punt 6, van dit artikel gespecificeerde verzamelmonster moet worden genomen overeenkomstig de beschrijving in norm EVS-EN 932-1.”;</w:t>
      </w:r>
    </w:p>
    <w:p w14:paraId="547CEA0E" w14:textId="77777777" w:rsidR="00491D3F" w:rsidRDefault="00491D3F" w:rsidP="00491D3F"/>
    <w:p w14:paraId="74F791A3" w14:textId="77777777" w:rsidR="00491D3F" w:rsidRDefault="00491D3F" w:rsidP="00491D3F">
      <w:r>
        <w:rPr>
          <w:b/>
        </w:rPr>
        <w:t>(32)</w:t>
      </w:r>
      <w:r>
        <w:t xml:space="preserve"> de eerste zin van artikel 12, lid 9, wordt na de zinsnede “op het oppervlak” aangevuld met het woord “gemeten”;</w:t>
      </w:r>
    </w:p>
    <w:p w14:paraId="4ED85D51" w14:textId="77777777" w:rsidR="00491D3F" w:rsidRDefault="00491D3F" w:rsidP="00491D3F"/>
    <w:p w14:paraId="324E18D7" w14:textId="791BB45D" w:rsidR="00491D3F" w:rsidRDefault="00491D3F" w:rsidP="00491D3F">
      <w:r>
        <w:rPr>
          <w:b/>
        </w:rPr>
        <w:t>(33)</w:t>
      </w:r>
      <w:r>
        <w:t xml:space="preserve"> in artikel 13, lid 2, wordt het woord “asfaltbeton” vervangen door het woord “asfaltbestrating”;</w:t>
      </w:r>
    </w:p>
    <w:p w14:paraId="09527D29" w14:textId="77777777" w:rsidR="00F82EBE" w:rsidRDefault="00F82EBE" w:rsidP="00491D3F"/>
    <w:p w14:paraId="7A0DBA10" w14:textId="0D1A7AAB" w:rsidR="00491D3F" w:rsidRDefault="00491D3F" w:rsidP="00491D3F">
      <w:r>
        <w:rPr>
          <w:b/>
        </w:rPr>
        <w:t>(34)</w:t>
      </w:r>
      <w:r>
        <w:t xml:space="preserve"> in artikel 13, lid 9, punt 1, wordt de tekst “70/100, 100/150 of” toegevoegd na de zinsnede “met een markering”;</w:t>
      </w:r>
    </w:p>
    <w:p w14:paraId="4714A585" w14:textId="77777777" w:rsidR="00491D3F" w:rsidRDefault="00491D3F" w:rsidP="00491D3F"/>
    <w:p w14:paraId="7BA7F22B" w14:textId="77777777" w:rsidR="00491D3F" w:rsidRDefault="00491D3F" w:rsidP="00491D3F">
      <w:r>
        <w:rPr>
          <w:b/>
        </w:rPr>
        <w:t>(35)</w:t>
      </w:r>
      <w:r>
        <w:t xml:space="preserve"> </w:t>
      </w:r>
      <w:bookmarkStart w:id="2" w:name="_Hlk168563596"/>
      <w:r>
        <w:t xml:space="preserve">artikel 13, lid 12, punt 8, </w:t>
      </w:r>
      <w:bookmarkEnd w:id="2"/>
      <w:r>
        <w:t>wordt ingetrokken;</w:t>
      </w:r>
    </w:p>
    <w:p w14:paraId="6C44C313" w14:textId="77777777" w:rsidR="00491D3F" w:rsidRDefault="00491D3F" w:rsidP="00491D3F"/>
    <w:p w14:paraId="75024D49" w14:textId="77777777" w:rsidR="00491D3F" w:rsidRDefault="00491D3F" w:rsidP="00491D3F">
      <w:r>
        <w:rPr>
          <w:b/>
        </w:rPr>
        <w:t>(36)</w:t>
      </w:r>
      <w:r>
        <w:t xml:space="preserve"> in artikel 13, lid 13, worden de woorden “met asfaltbeton” vervangen door woorden “met asfaltmengsel”;</w:t>
      </w:r>
    </w:p>
    <w:p w14:paraId="7D1F14C6" w14:textId="77777777" w:rsidR="00491D3F" w:rsidRDefault="00491D3F" w:rsidP="00491D3F"/>
    <w:p w14:paraId="745BD87C" w14:textId="77777777" w:rsidR="00491D3F" w:rsidRDefault="00491D3F" w:rsidP="00491D3F">
      <w:r>
        <w:rPr>
          <w:b/>
        </w:rPr>
        <w:t>(37)</w:t>
      </w:r>
      <w:r>
        <w:t xml:space="preserve"> artikel 14, lid 1, komt als volgt te luiden:</w:t>
      </w:r>
    </w:p>
    <w:p w14:paraId="78536138" w14:textId="05B07F93" w:rsidR="00491D3F" w:rsidRDefault="00491D3F" w:rsidP="00491D3F">
      <w:r>
        <w:t>“(1) Het wegdek moet worden gelijkgetrokken voor de prestaties van de oppervlaktebehandeling. Gaten en scheuren op het wegoppervlak van meer dan 20 mm dienen te worden gevuld en verzegeld.”;</w:t>
      </w:r>
    </w:p>
    <w:p w14:paraId="0D44AA40" w14:textId="77777777" w:rsidR="00491D3F" w:rsidRDefault="00491D3F" w:rsidP="00491D3F"/>
    <w:p w14:paraId="31C58F58" w14:textId="77777777" w:rsidR="00491D3F" w:rsidRDefault="00491D3F" w:rsidP="00491D3F">
      <w:r>
        <w:rPr>
          <w:b/>
        </w:rPr>
        <w:t>(38)</w:t>
      </w:r>
      <w:r>
        <w:t xml:space="preserve"> in artikel 14, lid 2, wordt het woord “gefractioneerd” in de gehele tekst geschrapt;</w:t>
      </w:r>
    </w:p>
    <w:p w14:paraId="35669933" w14:textId="77777777" w:rsidR="00491D3F" w:rsidRDefault="00491D3F" w:rsidP="00491D3F"/>
    <w:p w14:paraId="0318E00A" w14:textId="77777777" w:rsidR="00491D3F" w:rsidRDefault="00491D3F" w:rsidP="00491D3F">
      <w:r>
        <w:rPr>
          <w:b/>
        </w:rPr>
        <w:t>(39)</w:t>
      </w:r>
      <w:r>
        <w:t xml:space="preserve"> in artikel 14 komen de leden 10 en 11 als volgt te luiden:</w:t>
      </w:r>
    </w:p>
    <w:p w14:paraId="76EA0863" w14:textId="257F69BF" w:rsidR="00491D3F" w:rsidRDefault="00491D3F" w:rsidP="00491D3F">
      <w:r>
        <w:t>“(10) In overleg met de aanbestedende dienst is voor de behandeling van het wegdek het gebruik toegestaan van olie die het bitumen verzacht en die geen paraffine of andere additieven bevat die op soortgelijke basis werken. Olieschaliebitumen mag niet worden gebruikt in bevolkte gebieden.</w:t>
      </w:r>
    </w:p>
    <w:p w14:paraId="4BF55AA9" w14:textId="77777777" w:rsidR="00491D3F" w:rsidRDefault="00491D3F" w:rsidP="00491D3F"/>
    <w:p w14:paraId="0B50ACCA" w14:textId="77777777" w:rsidR="00491D3F" w:rsidRDefault="00491D3F" w:rsidP="00491D3F">
      <w:r>
        <w:t>(11) Oppervlaktebehandeling is toegestaan als de luchttemperatuur ten minste + 15 °C bedraagt </w:t>
      </w:r>
    </w:p>
    <w:p w14:paraId="1F9F15EE" w14:textId="21760BF7" w:rsidR="00491D3F" w:rsidRDefault="00491D3F" w:rsidP="00491D3F">
      <w:proofErr w:type="gramStart"/>
      <w:r>
        <w:t>bij</w:t>
      </w:r>
      <w:proofErr w:type="gramEnd"/>
      <w:r>
        <w:t xml:space="preserve"> gebruik van wegenbitumen en bij het gebruik van bitumenemulsies van ten minste + 10 °C en een temperatuur van het wegdek van ten minste + 10 °C. Indien gebruik wordt gemaakt van polymergemodificeerd bitumen is de aanbevolen luchttemperatuur &gt; + 25 °C en de oppervlaktetemperatuur &gt; + 40 °C, en indien bitumenemulsie met polymergemodificeerde basisbitumen wordt gebruikt, is de aanbevolen luchttemperatuur &gt; + 20 °C en de oppervlaktetemperatuur &gt; + 30 °C. Oppervlaktebehandeling bij lagere luchttemperaturen is toegestaan met toestemming van de aanbestedende dienst, mits de persoon die de werkzaamheden uitvoert heeft aangetoond dat hij nieuw materiaal of nieuwe technologie gebruikt die een laag van gelijkwaardige kwaliteit biedt. In geval van neerslag wordt de oppervlaktebehandeling gestopt.”;</w:t>
      </w:r>
    </w:p>
    <w:p w14:paraId="120AD7B4" w14:textId="77777777" w:rsidR="00491D3F" w:rsidRDefault="00491D3F" w:rsidP="00491D3F"/>
    <w:p w14:paraId="3519114C" w14:textId="77777777" w:rsidR="00491D3F" w:rsidRDefault="00491D3F" w:rsidP="00491D3F">
      <w:r>
        <w:rPr>
          <w:b/>
        </w:rPr>
        <w:t>(40)</w:t>
      </w:r>
      <w:r>
        <w:t xml:space="preserve"> </w:t>
      </w:r>
      <w:bookmarkStart w:id="3" w:name="_Hlk168563589"/>
      <w:r>
        <w:t xml:space="preserve">in artikel 14 worden de leden 12 tot en met 16 </w:t>
      </w:r>
      <w:bookmarkEnd w:id="3"/>
      <w:r>
        <w:t>ingetrokken;</w:t>
      </w:r>
    </w:p>
    <w:p w14:paraId="6EF051BE" w14:textId="77777777" w:rsidR="00491D3F" w:rsidRDefault="00491D3F" w:rsidP="00491D3F"/>
    <w:p w14:paraId="1DB94F2D" w14:textId="77777777" w:rsidR="00491D3F" w:rsidRDefault="00491D3F" w:rsidP="00491D3F">
      <w:r>
        <w:rPr>
          <w:b/>
        </w:rPr>
        <w:t>(41)</w:t>
      </w:r>
      <w:r>
        <w:t xml:space="preserve"> in artikel 15 komen de leden 2 en 3 als volgt te luiden:</w:t>
      </w:r>
    </w:p>
    <w:p w14:paraId="6EAE77F6" w14:textId="1E96B375" w:rsidR="00491D3F" w:rsidRDefault="00491D3F" w:rsidP="00491D3F">
      <w:r>
        <w:t>“(2) De deeltjesgrootteverdeling van het grindaggregaat moet voldoen aan de voorschriften van positie 5 of 6 van bijlage 10. De eisen voor aggregaten zijn beschreven in norm EVS-EN 13285.</w:t>
      </w:r>
    </w:p>
    <w:p w14:paraId="27F2D387" w14:textId="60286D15" w:rsidR="00491D3F" w:rsidRDefault="00491D3F" w:rsidP="00491D3F">
      <w:r>
        <w:lastRenderedPageBreak/>
        <w:t>Per 1500 m³ aangebracht materiaal moet ten minste eenmaal worden gecontroleerd of de deeltjesgrootteverdeling van het aggregaat aan de voorschriften voldoet. Niet-</w:t>
      </w:r>
      <w:proofErr w:type="gramStart"/>
      <w:r>
        <w:t>conform</w:t>
      </w:r>
      <w:proofErr w:type="gramEnd"/>
      <w:r>
        <w:t xml:space="preserve"> materiaal moet uit de constructie worden verwijderd of, in overleg met de aanbestedende dienst, dienen er corrigerende maatregelen te worden genomen.</w:t>
      </w:r>
    </w:p>
    <w:p w14:paraId="1479C956" w14:textId="77777777" w:rsidR="00491D3F" w:rsidRDefault="00491D3F" w:rsidP="00491D3F"/>
    <w:p w14:paraId="3A036EA4" w14:textId="79789231" w:rsidR="00491D3F" w:rsidRDefault="00491D3F" w:rsidP="00491D3F">
      <w:r>
        <w:t xml:space="preserve">(3) De te gebruiken breukweerstandscategorie van het grove aggregaat moet ten minste LA35 (Los Angeles-factor ≤ 35) zijn, categorie C50/30 voor fijngemaakte deeltjes, volledig fijngemaakte deeltjes en volledig afgeronde deeltjes, en ten minste F4. De eisen </w:t>
      </w:r>
      <w:proofErr w:type="gramStart"/>
      <w:r>
        <w:t>inzake</w:t>
      </w:r>
      <w:proofErr w:type="gramEnd"/>
      <w:r>
        <w:t xml:space="preserve"> breukbestendigheid worden beschreven in norm EVS-EN 13242 en de vorstbestendigheidseisen in EVS-EN 1367-1.”;</w:t>
      </w:r>
    </w:p>
    <w:p w14:paraId="30B85961" w14:textId="1F2DB4D2" w:rsidR="00491D3F" w:rsidRDefault="00491D3F" w:rsidP="00491D3F"/>
    <w:p w14:paraId="2B49A2E0" w14:textId="77777777" w:rsidR="00491D3F" w:rsidRDefault="00491D3F" w:rsidP="00491D3F">
      <w:r>
        <w:rPr>
          <w:b/>
        </w:rPr>
        <w:t>(42)</w:t>
      </w:r>
      <w:r>
        <w:t xml:space="preserve"> de artikelen 16 tot en met 18 worden als volgt gelezen:</w:t>
      </w:r>
    </w:p>
    <w:p w14:paraId="42FA2D89" w14:textId="77777777" w:rsidR="00491D3F" w:rsidRDefault="00491D3F" w:rsidP="00491D3F">
      <w:pPr>
        <w:rPr>
          <w:b/>
          <w:bCs/>
        </w:rPr>
      </w:pPr>
      <w:r>
        <w:rPr>
          <w:b/>
        </w:rPr>
        <w:t>“Artikel 16. Bereiding van asfaltmix</w:t>
      </w:r>
    </w:p>
    <w:p w14:paraId="110739B8" w14:textId="77777777" w:rsidR="00491D3F" w:rsidRPr="00491D3F" w:rsidRDefault="00491D3F" w:rsidP="00491D3F">
      <w:pPr>
        <w:rPr>
          <w:b/>
          <w:bCs/>
        </w:rPr>
      </w:pPr>
    </w:p>
    <w:p w14:paraId="498CCA9C" w14:textId="45748EE0" w:rsidR="00491D3F" w:rsidRDefault="00491D3F" w:rsidP="00491D3F">
      <w:r>
        <w:t>(1) Het asfaltmengsel moet zodanig worden voorbereid en aangebracht dat het gedurende de beoogde levensduur meegaat. De eisen voor de vervaardiging van asfaltmengsels worden beschreven in norm EVS 901-3.</w:t>
      </w:r>
    </w:p>
    <w:p w14:paraId="2DB14C88" w14:textId="77777777" w:rsidR="00491D3F" w:rsidRDefault="00491D3F" w:rsidP="00491D3F"/>
    <w:p w14:paraId="39458D9A" w14:textId="77777777" w:rsidR="00491D3F" w:rsidRDefault="00491D3F" w:rsidP="00491D3F">
      <w:r>
        <w:t>(2) De contractant coördineert het recept van het aan te brengen asfaltmengsel onder toezicht van de eigenaar.</w:t>
      </w:r>
    </w:p>
    <w:p w14:paraId="31E1DEAD" w14:textId="77777777" w:rsidR="00E91CBB" w:rsidRDefault="00E91CBB" w:rsidP="00491D3F"/>
    <w:p w14:paraId="3C561900" w14:textId="127BC930" w:rsidR="00491D3F" w:rsidRDefault="00491D3F" w:rsidP="00491D3F">
      <w:r>
        <w:t>(3) Het recept voor asfaltmengsel wordt bereid overeenkomstig norm EVS 901-3.</w:t>
      </w:r>
    </w:p>
    <w:p w14:paraId="5C8C30F5" w14:textId="77777777" w:rsidR="00491D3F" w:rsidRDefault="00491D3F" w:rsidP="00491D3F"/>
    <w:p w14:paraId="6A7649CE" w14:textId="65DA1067" w:rsidR="00491D3F" w:rsidRDefault="00491D3F" w:rsidP="00491D3F">
      <w:r>
        <w:t>(4) De eisen voor aggregaten die in asfaltmengsels worden gebruikt en de opslag ervan worden beschreven in normen EVS 901-1 en EVS 901-3.</w:t>
      </w:r>
    </w:p>
    <w:p w14:paraId="51A5A96A" w14:textId="77777777" w:rsidR="00491D3F" w:rsidRDefault="00491D3F" w:rsidP="00491D3F"/>
    <w:p w14:paraId="56FA6037" w14:textId="77777777" w:rsidR="00491D3F" w:rsidRDefault="00491D3F" w:rsidP="00491D3F">
      <w:r>
        <w:t>(5) Alvorens de samenstelling van het asfaltmengsel in het laboratorium en tijdens de werkzaamheden te coördineren, moet de contractant ten minste</w:t>
      </w:r>
    </w:p>
    <w:p w14:paraId="3AEB6150" w14:textId="1F401FE6" w:rsidR="00491D3F" w:rsidRDefault="00491D3F" w:rsidP="00491D3F">
      <w:proofErr w:type="gramStart"/>
      <w:r>
        <w:t>eenmaal</w:t>
      </w:r>
      <w:proofErr w:type="gramEnd"/>
      <w:r>
        <w:t xml:space="preserve"> op elke partij aggregaat controleren of breukbestendigheid, slijtvastheid en deeltjesgrootteverdeling van alle fracties van de geleverde aggregaten (met uitzondering van fracties met D minder dan 5 mm) in overeenstemming zijn met de conformiteitsbeoordelingsdocumentatie (indien deze kenmerken vereist en aangegeven zijn) en de penetratie en wrijving van bitumen met het grove aggregaat van ontvlambaar gesteente. De eisen </w:t>
      </w:r>
      <w:proofErr w:type="gramStart"/>
      <w:r>
        <w:t>inzake</w:t>
      </w:r>
      <w:proofErr w:type="gramEnd"/>
      <w:r>
        <w:t xml:space="preserve"> breukvastheid, slijtvastheid en deeltjesgrootteverdeling worden beschreven in EVS 901-1. De penetratie van bitumen en hechting met de in het mengsel gebruikte grove aggregaten moet ten minste eenmaal per 200 ton bitumen worden gecontroleerd. De prestatieverklaring van de fabrikant van het asfaltmengsel mag worden gebruikt als basis voor het herstel van de aan de opgraving gerelateerde overlast met een oppervlakte van maximaal 1000 m</w:t>
      </w:r>
      <w:r>
        <w:rPr>
          <w:vertAlign w:val="superscript"/>
        </w:rPr>
        <w:t>2</w:t>
      </w:r>
      <w:r>
        <w:t>.</w:t>
      </w:r>
    </w:p>
    <w:p w14:paraId="3A994A5D" w14:textId="77777777" w:rsidR="00491D3F" w:rsidRDefault="00491D3F" w:rsidP="00491D3F"/>
    <w:p w14:paraId="74022BA5" w14:textId="6B782187" w:rsidR="00491D3F" w:rsidRDefault="00491D3F" w:rsidP="00491D3F">
      <w:r>
        <w:t>(6) Stof afkomstig van stofverzamelaars in de asfaltinstallatie kan worden gebruikt in asfaltmengsels die zijn gemaakt van ontvlambaar en metamorfe gesteente en kunstmatige aggregaten tot 50 % van het totale gewicht van de toegevoegde vulstof en stof. Deze eis is niet van toepassing op asfaltmengsels van het AC-basistype. De eisen voor het gebruik van stof afkomstig van stofverzamelaars van de asfaltinstallatie in het asfaltmengsel worden beschreven in norm EVS 901-3.</w:t>
      </w:r>
    </w:p>
    <w:p w14:paraId="50E3F41C" w14:textId="77777777" w:rsidR="00491D3F" w:rsidRDefault="00491D3F" w:rsidP="00491D3F"/>
    <w:p w14:paraId="479DA499" w14:textId="4435D1F1" w:rsidR="00491D3F" w:rsidRDefault="00491D3F" w:rsidP="00491D3F">
      <w:r>
        <w:t>(7) In de onmiddellijke nabijheid van elke asfaltinstallatie, met inbegrip van mobiele installaties, moet een laboratorium aanwezig zijn om de deeltjesgrootteverdeling van aggregaten en asfaltmengsels en het bindgehalte van asfaltmengsels te bepalen.</w:t>
      </w:r>
    </w:p>
    <w:p w14:paraId="508D0720" w14:textId="77777777" w:rsidR="00491D3F" w:rsidRDefault="00491D3F" w:rsidP="00491D3F"/>
    <w:p w14:paraId="05C04E63" w14:textId="77777777" w:rsidR="00491D3F" w:rsidRDefault="00491D3F" w:rsidP="00491D3F">
      <w:r>
        <w:t>(8) Het in lid 7 van dit artikel bedoelde laboratorium behoeft niet te worden geaccrediteerd.</w:t>
      </w:r>
    </w:p>
    <w:p w14:paraId="264F86DE" w14:textId="77777777" w:rsidR="00491D3F" w:rsidRDefault="00491D3F" w:rsidP="00491D3F"/>
    <w:p w14:paraId="4D7A6E45" w14:textId="7CCA245C" w:rsidR="00491D3F" w:rsidRDefault="00491D3F" w:rsidP="00491D3F">
      <w:r>
        <w:t>(9) De mengtemperatuur van de asfaltmengsels wordt gekozen overeenkomstig het merk van het bindmiddel en de toegestane temperaturen worden vermeld in norm EVS 901-3. Voor de vervaardiging van asfaltmengsels bij temperaturen die lager zijn dan toegestaan worden additieven gebruikt om de verwerkbaarheid van het mengsel te verbeteren. Afhankelijk van het bitumenmerk kunnen mengtemperaturen die afwijken van die van in norm EVS 901-3 vermelde worden gebruikt in overleg met de aanbestedende dienst van de wegenwerken.</w:t>
      </w:r>
    </w:p>
    <w:p w14:paraId="15C9FF12" w14:textId="77777777" w:rsidR="00491D3F" w:rsidRDefault="00491D3F" w:rsidP="00491D3F"/>
    <w:p w14:paraId="6CE51AEA" w14:textId="77777777" w:rsidR="00491D3F" w:rsidRPr="00491D3F" w:rsidRDefault="00491D3F" w:rsidP="00491D3F">
      <w:pPr>
        <w:rPr>
          <w:b/>
          <w:bCs/>
        </w:rPr>
      </w:pPr>
      <w:r>
        <w:rPr>
          <w:b/>
        </w:rPr>
        <w:t>Artikel 17. Vervoer van asfaltmix</w:t>
      </w:r>
    </w:p>
    <w:p w14:paraId="38159F92" w14:textId="77777777" w:rsidR="00491D3F" w:rsidRDefault="00491D3F" w:rsidP="00491D3F"/>
    <w:p w14:paraId="5E97DD6E" w14:textId="244DD683" w:rsidR="00491D3F" w:rsidRDefault="00491D3F" w:rsidP="00491D3F">
      <w:r>
        <w:t>(1) De achterkant van de vrachtwagen die het asfaltmengsel vervoert moet vóór het laden schoon zijn. Het mengsel mag tijdens het vervoer niet lekken of stratificeren. De asfaltmix mag met een aangepaste vrachtwagen worden vervoerd. De lading asfaltmengsel moet worden afgedekt.</w:t>
      </w:r>
    </w:p>
    <w:p w14:paraId="4023AE19" w14:textId="77777777" w:rsidR="00491D3F" w:rsidRDefault="00491D3F" w:rsidP="00491D3F"/>
    <w:p w14:paraId="1672292A" w14:textId="68D9F30E" w:rsidR="00491D3F" w:rsidRDefault="00491D3F" w:rsidP="00491D3F">
      <w:r>
        <w:t xml:space="preserve">(2) </w:t>
      </w:r>
      <w:proofErr w:type="gramStart"/>
      <w:r>
        <w:t>Indien</w:t>
      </w:r>
      <w:proofErr w:type="gramEnd"/>
      <w:r>
        <w:t xml:space="preserve"> het asfaltmengsel door een niet-aangepaste vrachtwagen wordt vervoerd bedraagt de maximale transportafstand 15 km voor SMA-mengsels en 40 km voor AC-mengsels.</w:t>
      </w:r>
    </w:p>
    <w:p w14:paraId="6A60FB00" w14:textId="77777777" w:rsidR="00491D3F" w:rsidRDefault="00491D3F" w:rsidP="00491D3F"/>
    <w:p w14:paraId="1C4D48EB" w14:textId="6BBC3EB4" w:rsidR="00491D3F" w:rsidRDefault="00491D3F" w:rsidP="00491D3F">
      <w:r>
        <w:t xml:space="preserve">(3) </w:t>
      </w:r>
      <w:proofErr w:type="gramStart"/>
      <w:r>
        <w:t>Indien</w:t>
      </w:r>
      <w:proofErr w:type="gramEnd"/>
      <w:r>
        <w:t xml:space="preserve"> het asfaltmengsel in een aangepaste vrachtwagen wordt vervoerd boven de toegestane 15 km voor SMA-mengsels en 40 km voor AC-mengsels hangt de maximale transportafstand af van het tijdstip van vervoer, de weersomstandigheden en de samenstelling van het mengsel, maar moet het mengsel bij het aanbrengen verwerkbaar zijn. De temperatuur van het asfaltmengsel moet in de aanhangwagen van elke inkomende vrachtwagen worden gecontroleerd onmiddellijk voordat deze in de paver wordt gelost en schriftelijk in het rapport worden vermeld. Het rapport bevat de tijd en de plaats waar de belasting wordt waargenomen en de temperatuur van het asfaltmengsel. In de bunker van de asfalteermachine mag de temperatuur van het asfaltmengsel tot 10 °C lager zijn dan de laagste toegestane mengtemperatuur van dit type mengsel in EVS 901-3. Met instemming van de aanbestedende dienst kan het mengsel op lagere temperaturen worden aangebracht </w:t>
      </w:r>
      <w:proofErr w:type="gramStart"/>
      <w:r>
        <w:t>indien</w:t>
      </w:r>
      <w:proofErr w:type="gramEnd"/>
      <w:r>
        <w:t xml:space="preserve"> de uitvoerder van het werk aantoont dat het mengsel verwerkbaar is.</w:t>
      </w:r>
    </w:p>
    <w:p w14:paraId="6495301D" w14:textId="77777777" w:rsidR="00491D3F" w:rsidRDefault="00491D3F" w:rsidP="00491D3F"/>
    <w:p w14:paraId="5BF32760" w14:textId="77777777" w:rsidR="00491D3F" w:rsidRPr="00491D3F" w:rsidRDefault="00491D3F" w:rsidP="00491D3F">
      <w:pPr>
        <w:rPr>
          <w:b/>
          <w:bCs/>
        </w:rPr>
      </w:pPr>
      <w:r>
        <w:rPr>
          <w:b/>
        </w:rPr>
        <w:t>Artikel 18. Aanbrengen van asfaltmix</w:t>
      </w:r>
    </w:p>
    <w:p w14:paraId="6B842C9B" w14:textId="77777777" w:rsidR="00491D3F" w:rsidRDefault="00491D3F" w:rsidP="00491D3F"/>
    <w:p w14:paraId="50DCE44B" w14:textId="37465D97" w:rsidR="00491D3F" w:rsidRDefault="00491D3F" w:rsidP="00491D3F">
      <w:r>
        <w:t>(1) De asfaltmix wordt aangebracht op een ondergrond die naar behoren is gebouwd en is geaccepteerd door de toezichthouder van de eigenaar.</w:t>
      </w:r>
    </w:p>
    <w:p w14:paraId="27931A85" w14:textId="77777777" w:rsidR="00491D3F" w:rsidRDefault="00491D3F" w:rsidP="00491D3F"/>
    <w:p w14:paraId="652D6043" w14:textId="4680986B" w:rsidR="00491D3F" w:rsidRDefault="00491D3F" w:rsidP="00491D3F">
      <w:r>
        <w:t>(2) Draagoppervlakken mogen worden aangebracht bij temperaturen boven + 5 °C en ondergrond (bindings- en steunlagen) boven 0 °C. Het asfaltmengsel wordt gelegd bij temperaturen van 0 tot + 5 °C met additieven die de verwerkbaarheid van het mengsel verbeteren (verlaging van de aanbrengingstemperatuur). Het oppervlak moet worden aangebracht</w:t>
      </w:r>
    </w:p>
    <w:p w14:paraId="6BF8C522" w14:textId="7119AD05" w:rsidR="00491D3F" w:rsidRDefault="00491D3F" w:rsidP="00491D3F">
      <w:proofErr w:type="gramStart"/>
      <w:r>
        <w:t>bij</w:t>
      </w:r>
      <w:proofErr w:type="gramEnd"/>
      <w:r>
        <w:t xml:space="preserve"> droog weer en op voorwaarde dat de basis en de berm niet zijn bevroren. Oppervlakken mogen worden aangebracht op een basis die met een bindmiddel is behandeld wanneer de basis droog is.</w:t>
      </w:r>
    </w:p>
    <w:p w14:paraId="41AFAB81" w14:textId="77777777" w:rsidR="00491D3F" w:rsidRDefault="00491D3F" w:rsidP="00491D3F">
      <w:r>
        <w:t>(3) Om de grip tussen de oppervlaktelagen te verbeteren dienen het asfalt en het wegdek te worden geprimed.</w:t>
      </w:r>
    </w:p>
    <w:p w14:paraId="07230A8A" w14:textId="3F5DDA4D" w:rsidR="00491D3F" w:rsidRDefault="00491D3F" w:rsidP="00491D3F">
      <w:proofErr w:type="gramStart"/>
      <w:r>
        <w:lastRenderedPageBreak/>
        <w:t>met</w:t>
      </w:r>
      <w:proofErr w:type="gramEnd"/>
      <w:r>
        <w:t xml:space="preserve"> bitumen of bitumenemulsie. De kenmerken van bitumen en bitumenemulsie worden beschreven in norm EVS 901-2. Het emulsiewater moet worden verdampt voordat de laag wordt verspreid. De norm voor het verbruik van prime op bitumen is 0,10-0,30 l/m².</w:t>
      </w:r>
    </w:p>
    <w:p w14:paraId="6215B379" w14:textId="77777777" w:rsidR="00491D3F" w:rsidRDefault="00491D3F" w:rsidP="00491D3F"/>
    <w:p w14:paraId="12583836" w14:textId="0774BEA4" w:rsidR="00491D3F" w:rsidRDefault="00491D3F" w:rsidP="00491D3F">
      <w:r>
        <w:t>(4) Koude, eerder aangebrachte asfaltmixvoegen dienen te worden geprimed, waarbij dezelfde primer in de onderste lagen wordt gebruikt als voor het primen van de onderste lagen, maar voor het primen van de oppervlaktevoegen, speciale voegenlijm, voegentapes worden gebruikt of deze worden gebouwd als hete voegen met behulp van speciale apparatuur.</w:t>
      </w:r>
    </w:p>
    <w:p w14:paraId="29234121" w14:textId="77777777" w:rsidR="00491D3F" w:rsidRDefault="00491D3F" w:rsidP="00491D3F"/>
    <w:p w14:paraId="5BDA192B" w14:textId="4DDEFA93" w:rsidR="00491D3F" w:rsidRDefault="00491D3F" w:rsidP="00491D3F">
      <w:r>
        <w:t>(5) De minimum- en maximumdikte van de aan te brengen laag hangt af van de maximale deeltjesgrootte D van het aggregaat van het gebruikte mengseltype. De minimum- en maximumdikte van de in te brengen laag</w:t>
      </w:r>
    </w:p>
    <w:p w14:paraId="590476B6" w14:textId="77777777" w:rsidR="00491D3F" w:rsidRDefault="00491D3F" w:rsidP="00491D3F">
      <w:proofErr w:type="gramStart"/>
      <w:r>
        <w:t>zijn</w:t>
      </w:r>
      <w:proofErr w:type="gramEnd"/>
      <w:r>
        <w:t xml:space="preserve"> vermeld in norm EVS 901-3.</w:t>
      </w:r>
    </w:p>
    <w:p w14:paraId="6531788D" w14:textId="77777777" w:rsidR="00491D3F" w:rsidRDefault="00491D3F" w:rsidP="00491D3F"/>
    <w:p w14:paraId="1B4B1A22" w14:textId="77777777" w:rsidR="00491D3F" w:rsidRDefault="00491D3F" w:rsidP="00491D3F">
      <w:r>
        <w:t>(6) In het geval van meerlagig asfalt met eenzijdige helling moet de lengtevoeg van elke volgende laag met ten minste 15 cm worden verplaatst</w:t>
      </w:r>
    </w:p>
    <w:p w14:paraId="1A1065A1" w14:textId="17B70145" w:rsidR="00491D3F" w:rsidRDefault="00491D3F" w:rsidP="00491D3F">
      <w:proofErr w:type="gramStart"/>
      <w:r>
        <w:t>ten</w:t>
      </w:r>
      <w:proofErr w:type="gramEnd"/>
      <w:r>
        <w:t xml:space="preserve"> opzichte van de lengtelagen van de vorige asfaltlagen. Lengtevoegen op het breekpunt van de onder- en bovenlaag van het wegdek met twee of meer rijbanen met een dubbele helling dienen ten minste 5 cm ten opzichte van elkaar te worden verplaatst. De lengtevoeg mag zich niet op het spoor van de hoofdverkeersstroom bevinden.”;</w:t>
      </w:r>
    </w:p>
    <w:p w14:paraId="05D03F31" w14:textId="77777777" w:rsidR="00491D3F" w:rsidRDefault="00491D3F" w:rsidP="00491D3F"/>
    <w:p w14:paraId="02178977" w14:textId="77777777" w:rsidR="00491D3F" w:rsidRDefault="00491D3F" w:rsidP="00491D3F">
      <w:r>
        <w:rPr>
          <w:b/>
        </w:rPr>
        <w:t>(43)</w:t>
      </w:r>
      <w:r>
        <w:t xml:space="preserve"> artikel 19, lid 2, komt als volgt te luiden:</w:t>
      </w:r>
    </w:p>
    <w:p w14:paraId="5C0141A4" w14:textId="77777777" w:rsidR="00491D3F" w:rsidRDefault="00491D3F" w:rsidP="00491D3F">
      <w:r>
        <w:t xml:space="preserve">“(2) Verkeer op het oppervlak is toegestaan </w:t>
      </w:r>
      <w:proofErr w:type="gramStart"/>
      <w:r>
        <w:t>indien</w:t>
      </w:r>
      <w:proofErr w:type="gramEnd"/>
      <w:r>
        <w:t xml:space="preserve"> de oppervlaktetemperatuur onder de + 40 °C is gedaald.”;</w:t>
      </w:r>
    </w:p>
    <w:p w14:paraId="3AFA6BFC" w14:textId="77777777" w:rsidR="00491D3F" w:rsidRDefault="00491D3F" w:rsidP="00491D3F"/>
    <w:p w14:paraId="37401F40" w14:textId="77777777" w:rsidR="00491D3F" w:rsidRDefault="00491D3F" w:rsidP="00491D3F">
      <w:r>
        <w:rPr>
          <w:b/>
        </w:rPr>
        <w:t>(44)</w:t>
      </w:r>
      <w:r>
        <w:t xml:space="preserve"> </w:t>
      </w:r>
      <w:bookmarkStart w:id="4" w:name="_Hlk168563581"/>
      <w:r>
        <w:t xml:space="preserve">artikel 20, lid 1, punt 2, </w:t>
      </w:r>
      <w:bookmarkEnd w:id="4"/>
      <w:r>
        <w:t>wordt ingetrokken;</w:t>
      </w:r>
    </w:p>
    <w:p w14:paraId="01111A2E" w14:textId="77777777" w:rsidR="00491D3F" w:rsidRDefault="00491D3F" w:rsidP="00491D3F"/>
    <w:p w14:paraId="31FBAF98" w14:textId="77777777" w:rsidR="00491D3F" w:rsidRDefault="00491D3F" w:rsidP="00491D3F">
      <w:r>
        <w:rPr>
          <w:b/>
        </w:rPr>
        <w:t>(45)</w:t>
      </w:r>
      <w:r>
        <w:t xml:space="preserve"> artikel 24 wordt als volgt gelezen:</w:t>
      </w:r>
    </w:p>
    <w:p w14:paraId="1F8C2FCA" w14:textId="77777777" w:rsidR="00491D3F" w:rsidRDefault="00491D3F" w:rsidP="00491D3F">
      <w:pPr>
        <w:rPr>
          <w:b/>
          <w:bCs/>
        </w:rPr>
      </w:pPr>
      <w:r>
        <w:rPr>
          <w:b/>
        </w:rPr>
        <w:t>“Artikel 24. Bouw van duikers en bruggen</w:t>
      </w:r>
    </w:p>
    <w:p w14:paraId="3661A51D" w14:textId="77777777" w:rsidR="00491D3F" w:rsidRPr="00491D3F" w:rsidRDefault="00491D3F" w:rsidP="00491D3F">
      <w:pPr>
        <w:rPr>
          <w:b/>
          <w:bCs/>
        </w:rPr>
      </w:pPr>
    </w:p>
    <w:p w14:paraId="31DBEBE2" w14:textId="5B938130" w:rsidR="00491D3F" w:rsidRDefault="00491D3F" w:rsidP="00491D3F">
      <w:r>
        <w:t>(1) Voor de toepassing van deze verordening worden onder bruggen viaducten, tunnels, ondergangen en overgangen verstaan. Een duiker is een voorziening in de stortplaats om het water onder de weg door te laten lopen.</w:t>
      </w:r>
    </w:p>
    <w:p w14:paraId="6613EF83" w14:textId="77777777" w:rsidR="00491D3F" w:rsidRDefault="00491D3F" w:rsidP="00491D3F"/>
    <w:p w14:paraId="6C839304" w14:textId="3BD28EB4" w:rsidR="00491D3F" w:rsidRDefault="00491D3F" w:rsidP="00491D3F">
      <w:r>
        <w:t>(2) De kwaliteitseisen voor de bouw van bruggen en duikers worden in de ontwerpdocumentatie opgenomen voor zover de bouw en inspectie van de uitgevoerde werken kunnen worden voltooid. Afwijkingen van het project voor de bouw van duikers zijn opgenomen in bijlage 16 bij de Verordening en in bijlage 17 voor de bouw van bruggen.</w:t>
      </w:r>
    </w:p>
    <w:p w14:paraId="023E5DF7" w14:textId="77777777" w:rsidR="00491D3F" w:rsidRDefault="00491D3F" w:rsidP="00491D3F"/>
    <w:p w14:paraId="0EABFF63" w14:textId="77777777" w:rsidR="00491D3F" w:rsidRDefault="00491D3F" w:rsidP="00491D3F">
      <w:r>
        <w:t>(3) Voor de bouw van duikers en bruggen worden de volgende afmetingen getoetst aan het ontwerp:</w:t>
      </w:r>
    </w:p>
    <w:p w14:paraId="7771210C" w14:textId="77777777" w:rsidR="00491D3F" w:rsidRDefault="00491D3F" w:rsidP="00491D3F">
      <w:r>
        <w:t>(1) de hoogte en de geplande positie van de inrichting;</w:t>
      </w:r>
    </w:p>
    <w:p w14:paraId="4A0DD061" w14:textId="77777777" w:rsidR="00491D3F" w:rsidRDefault="00491D3F" w:rsidP="00491D3F">
      <w:r>
        <w:t>(2) grensafmetingen boven en onder de inrichting;</w:t>
      </w:r>
    </w:p>
    <w:p w14:paraId="0EFFFF5E" w14:textId="77777777" w:rsidR="00491D3F" w:rsidRDefault="00491D3F" w:rsidP="00491D3F">
      <w:r>
        <w:t>(3) lengtehellingen en verkantingen van de weg op de duiker en de brug;</w:t>
      </w:r>
    </w:p>
    <w:p w14:paraId="0DF482BB" w14:textId="77777777" w:rsidR="00491D3F" w:rsidRDefault="00491D3F" w:rsidP="00491D3F">
      <w:r>
        <w:t>(4) de plaats en meting van structurele elementen (met inbegrip van voegen en vangrails);</w:t>
      </w:r>
    </w:p>
    <w:p w14:paraId="784801A5" w14:textId="77777777" w:rsidR="00491D3F" w:rsidRDefault="00491D3F" w:rsidP="00491D3F">
      <w:r>
        <w:t>(5) verdichting van ondergrond en aggregaat;</w:t>
      </w:r>
    </w:p>
    <w:p w14:paraId="7D73FC3E" w14:textId="77777777" w:rsidR="00491D3F" w:rsidRDefault="00491D3F" w:rsidP="00491D3F">
      <w:r>
        <w:t>(6) het bestaan van een prestatieverklaring of een conformiteitsverklaring voor producten en materialen;</w:t>
      </w:r>
    </w:p>
    <w:p w14:paraId="65A0C68A" w14:textId="77777777" w:rsidR="00491D3F" w:rsidRDefault="00491D3F" w:rsidP="00491D3F">
      <w:r>
        <w:t>(7) bouwwerken (met inbegrip van bescherming van de berm) en hun oppervlakken;</w:t>
      </w:r>
    </w:p>
    <w:p w14:paraId="63ED8B40" w14:textId="77777777" w:rsidR="00491D3F" w:rsidRDefault="00491D3F" w:rsidP="00491D3F">
      <w:r>
        <w:lastRenderedPageBreak/>
        <w:t>(8) de prestaties van waterafwateringssystemen (bv. hydro-isolatie en systemen voor de afwatering van bodem en oppervlaktewater).</w:t>
      </w:r>
    </w:p>
    <w:p w14:paraId="0F3BB3EE" w14:textId="77777777" w:rsidR="00491D3F" w:rsidRDefault="00491D3F" w:rsidP="00491D3F"/>
    <w:p w14:paraId="2B03FE67" w14:textId="77777777" w:rsidR="00491D3F" w:rsidRDefault="00491D3F" w:rsidP="00491D3F">
      <w:r>
        <w:t>(4) Betonwerken op duikers en bruggen zijn gebaseerd op het volgende:</w:t>
      </w:r>
    </w:p>
    <w:p w14:paraId="5EDF0B0C" w14:textId="3F1DCD12" w:rsidR="00491D3F" w:rsidRDefault="00491D3F" w:rsidP="00491D3F">
      <w:r>
        <w:t>(1) de eisen voor afgewerkte betonproducten als beschreven in normen EVS-EN 12794, EVS-EN 14844, EVS-EN 14991, EVS-EN 15050 en EVS-EN 15258;</w:t>
      </w:r>
    </w:p>
    <w:p w14:paraId="7C8541F3" w14:textId="11522EFE" w:rsidR="00491D3F" w:rsidRDefault="00491D3F" w:rsidP="00491D3F">
      <w:r>
        <w:t>(2) de eisen voor beton en beton als beschreven in normen EVS-EN 12350 en EVS-EN 206, EVS-EN 1536, EVS-EN 12699, EVS-EN 13670 en EVS 814;</w:t>
      </w:r>
    </w:p>
    <w:p w14:paraId="538EDC7A" w14:textId="4ABCB53A" w:rsidR="00491D3F" w:rsidRDefault="00491D3F" w:rsidP="00491D3F">
      <w:r>
        <w:t xml:space="preserve">(3) de naleving van de gespecificeerde eisen voor het luchtgehalte van een betonmengsel dat voldoet aan de eisen </w:t>
      </w:r>
      <w:proofErr w:type="gramStart"/>
      <w:r>
        <w:t>inzake</w:t>
      </w:r>
      <w:proofErr w:type="gramEnd"/>
      <w:r>
        <w:t xml:space="preserve"> vorstbestendigheid moet worden gecontroleerd voor elke lading die onmiddellijk vóór het aanbrengen als steekproefmonster aan de locatie wordt geleverd;</w:t>
      </w:r>
    </w:p>
    <w:p w14:paraId="02BED8D1" w14:textId="18A2A607" w:rsidR="00491D3F" w:rsidRDefault="00491D3F" w:rsidP="00491D3F">
      <w:r>
        <w:t>(4) de onderhouds- en beschermingstermijn van het beton tegen het weer moet ten minste 120 uur (vijf dagen) bedragen, wat overeenkomt met onderhoudsklasse 4, waarbij de onderhoudsklasse afhankelijk is van de oppervlaktetemperatuur van het beton tot de standaard druksterkte van 70 % van het beton.</w:t>
      </w:r>
    </w:p>
    <w:p w14:paraId="4051F474" w14:textId="77777777" w:rsidR="00491D3F" w:rsidRDefault="00491D3F" w:rsidP="00491D3F"/>
    <w:p w14:paraId="37AC0FA7" w14:textId="1778E5B7" w:rsidR="00491D3F" w:rsidRDefault="00491D3F" w:rsidP="00491D3F">
      <w:r>
        <w:t>(5) Betonmengsel dat niet voldoet aan de eisen van lid 4, punt 3, van dit artikel mag niet worden gebruikt en het aangebrachte niet-conforme materiaal moet worden verwijderd.</w:t>
      </w:r>
    </w:p>
    <w:p w14:paraId="7F751CEE" w14:textId="77777777" w:rsidR="00491D3F" w:rsidRDefault="00491D3F" w:rsidP="00491D3F"/>
    <w:p w14:paraId="5EE15B73" w14:textId="77777777" w:rsidR="00491D3F" w:rsidRDefault="00491D3F" w:rsidP="00491D3F">
      <w:r>
        <w:t>(6) Bij het uitvoeren van metaalwerkzaamheden aan duikers en bruggen geldt het volgende:</w:t>
      </w:r>
    </w:p>
    <w:p w14:paraId="067E2632" w14:textId="5A34B8D9" w:rsidR="00491D3F" w:rsidRDefault="00491D3F" w:rsidP="00491D3F">
      <w:r>
        <w:t>(1) eisen voor constructiestaal zoals beschreven in de normenreeks EVS-EN 10027;</w:t>
      </w:r>
    </w:p>
    <w:p w14:paraId="308BF05B" w14:textId="77777777" w:rsidR="00491D3F" w:rsidRDefault="00491D3F" w:rsidP="00491D3F">
      <w:r>
        <w:t>(2) de opgegeven testtemperatuur van het constructiestaal moet ten minste –20 °C bedragen;</w:t>
      </w:r>
    </w:p>
    <w:p w14:paraId="0390A2A3" w14:textId="1440B8B3" w:rsidR="00491D3F" w:rsidRDefault="00491D3F" w:rsidP="00491D3F">
      <w:r>
        <w:t>(3) een verfbeveiligingssysteem dat is ontworpen om stalen constructies in de atmosfeer te beschermen moet voldoen aan de eisen van normenreeks EVS-EN 12944, milieuklasse C3;</w:t>
      </w:r>
    </w:p>
    <w:p w14:paraId="6BFD7070" w14:textId="0A42CABB" w:rsidR="00491D3F" w:rsidRDefault="00491D3F" w:rsidP="00491D3F">
      <w:r>
        <w:t>(4) de duurzaamheidsklasse voor nieuwe bruggen en culverts in het verfcoatingsysteem ter bescherming van staalconstructies moet ten minste H zijn en voor herstelbare bruggen en duikers M.</w:t>
      </w:r>
    </w:p>
    <w:p w14:paraId="1E8FED76" w14:textId="77777777" w:rsidR="00491D3F" w:rsidRDefault="00491D3F" w:rsidP="00491D3F"/>
    <w:p w14:paraId="74CF604F" w14:textId="77777777" w:rsidR="00491D3F" w:rsidRDefault="00491D3F" w:rsidP="00491D3F">
      <w:r>
        <w:t>(7) De elementen van bruggen dienen te worden geïnstalleerd op basis van de volgende elementen:</w:t>
      </w:r>
    </w:p>
    <w:p w14:paraId="52AEBEFE" w14:textId="2ED0577E" w:rsidR="00491D3F" w:rsidRDefault="00491D3F" w:rsidP="00491D3F">
      <w:r>
        <w:t>(1) de eisen voor structurele lagers van bruggen zoals beschreven in normenreeks EVS-EN 1337;</w:t>
      </w:r>
    </w:p>
    <w:p w14:paraId="14E1FFB3" w14:textId="77777777" w:rsidR="00491D3F" w:rsidRDefault="00491D3F" w:rsidP="00491D3F">
      <w:r>
        <w:t>(2) de vervormingsvoeg van de brug mag niet groter zijn dan het wegdek;</w:t>
      </w:r>
    </w:p>
    <w:p w14:paraId="3D1B3F4F" w14:textId="77777777" w:rsidR="00491D3F" w:rsidRDefault="00491D3F" w:rsidP="00491D3F">
      <w:r>
        <w:t>(3) de diepte van het laagoppervlak van het wegdek mag niet meer dan 5 mm bedragen.”;</w:t>
      </w:r>
    </w:p>
    <w:p w14:paraId="1207EC24" w14:textId="77777777" w:rsidR="00241F1B" w:rsidRDefault="00241F1B" w:rsidP="00491D3F"/>
    <w:p w14:paraId="5D53CE81" w14:textId="333FA667" w:rsidR="00241F1B" w:rsidRDefault="00241F1B" w:rsidP="00491D3F">
      <w:r>
        <w:rPr>
          <w:b/>
        </w:rPr>
        <w:t>(46)</w:t>
      </w:r>
      <w:r>
        <w:t xml:space="preserve"> artikel 25, lid 1, komt als volgt te luiden:</w:t>
      </w:r>
    </w:p>
    <w:p w14:paraId="64B3C794" w14:textId="096E410A" w:rsidR="00241F1B" w:rsidRDefault="00241F1B" w:rsidP="00491D3F">
      <w:r>
        <w:t>“(1) De installatie van verkeersleidingsapparatuur moet voldoen aan de Estse normen EVS 613, EVS 614 en EVS 615.”;</w:t>
      </w:r>
    </w:p>
    <w:p w14:paraId="0BDA8E72" w14:textId="77777777" w:rsidR="00491D3F" w:rsidRDefault="00491D3F" w:rsidP="00491D3F"/>
    <w:p w14:paraId="595885E6" w14:textId="18E184C4" w:rsidR="00491D3F" w:rsidRDefault="00491D3F" w:rsidP="00491D3F">
      <w:r>
        <w:rPr>
          <w:b/>
        </w:rPr>
        <w:t>(47)</w:t>
      </w:r>
      <w:r>
        <w:t xml:space="preserve"> artikel 25, lid 2, komt als volgt te luiden:</w:t>
      </w:r>
    </w:p>
    <w:p w14:paraId="4133FE20" w14:textId="1879814C" w:rsidR="00491D3F" w:rsidRDefault="00491D3F" w:rsidP="00491D3F">
      <w:r>
        <w:t>“(2) De toleranties voor de hoogte van beveiligingssystemen voor de weg ten opzichte van de hoogte van het oppervlak bedragen ± 0,05 m en de tolerantie ten opzichte van het verticale vlak ± 0,02 m op een recht weggedeelte met een lengte van 50 m.”;</w:t>
      </w:r>
    </w:p>
    <w:p w14:paraId="7D0EB7C3" w14:textId="77777777" w:rsidR="00491D3F" w:rsidRDefault="00491D3F" w:rsidP="00491D3F"/>
    <w:p w14:paraId="79CE52CA" w14:textId="1EAF196A" w:rsidR="00491D3F" w:rsidRDefault="00491D3F" w:rsidP="00491D3F">
      <w:r>
        <w:rPr>
          <w:b/>
        </w:rPr>
        <w:t>(48)</w:t>
      </w:r>
      <w:r>
        <w:t xml:space="preserve"> aan artikel 25 wordt lid (2</w:t>
      </w:r>
      <w:r>
        <w:rPr>
          <w:vertAlign w:val="superscript"/>
        </w:rPr>
        <w:t>1</w:t>
      </w:r>
      <w:r>
        <w:t>) toegevoegd, dat als volgt luidt:</w:t>
      </w:r>
    </w:p>
    <w:p w14:paraId="48A15B42" w14:textId="67C3BFC7" w:rsidR="00491D3F" w:rsidRDefault="00491D3F" w:rsidP="00491D3F">
      <w:r>
        <w:t>“(2</w:t>
      </w:r>
      <w:r>
        <w:rPr>
          <w:vertAlign w:val="superscript"/>
        </w:rPr>
        <w:t>1</w:t>
      </w:r>
      <w:r>
        <w:t>) De positie van de marker loodrecht op de weg mag ± 0,1 m afwijken van de montagelijn, de hoogte van de reflectoren boven het wegoppervlak ± 0,05 m en de afwijking van de verticaal ± 3°.”;</w:t>
      </w:r>
    </w:p>
    <w:p w14:paraId="4BD653A3" w14:textId="77777777" w:rsidR="00491D3F" w:rsidRDefault="00491D3F" w:rsidP="00491D3F"/>
    <w:p w14:paraId="5F33D5E6" w14:textId="4E01EF2F" w:rsidR="00491D3F" w:rsidRDefault="00491D3F" w:rsidP="00491D3F">
      <w:r>
        <w:rPr>
          <w:b/>
        </w:rPr>
        <w:lastRenderedPageBreak/>
        <w:t>(49)</w:t>
      </w:r>
      <w:r>
        <w:t xml:space="preserve"> in artikel 26, lid 2, wordt na het woord “diep” de zinsnede “met ten minste bestaande opbanking” toegevoegd;</w:t>
      </w:r>
    </w:p>
    <w:p w14:paraId="62A1AFD8" w14:textId="78537193" w:rsidR="00491D3F" w:rsidRDefault="00491D3F" w:rsidP="00491D3F"/>
    <w:p w14:paraId="6FE3E2C2" w14:textId="37C4AA28" w:rsidR="00491D3F" w:rsidRDefault="00241F1B" w:rsidP="00491D3F">
      <w:r>
        <w:rPr>
          <w:b/>
        </w:rPr>
        <w:t>(50)</w:t>
      </w:r>
      <w:r>
        <w:t xml:space="preserve"> </w:t>
      </w:r>
      <w:bookmarkStart w:id="5" w:name="_Hlk168563566"/>
      <w:r>
        <w:t xml:space="preserve">artikel 26, lid 13, </w:t>
      </w:r>
      <w:bookmarkEnd w:id="5"/>
      <w:r>
        <w:t>wordt ingetrokken;</w:t>
      </w:r>
    </w:p>
    <w:p w14:paraId="07EB8272" w14:textId="77777777" w:rsidR="00613B83" w:rsidRDefault="00613B83" w:rsidP="00491D3F"/>
    <w:p w14:paraId="247FF69B" w14:textId="1B51FFAA" w:rsidR="00613B83" w:rsidRDefault="00613B83" w:rsidP="00491D3F">
      <w:r>
        <w:rPr>
          <w:b/>
        </w:rPr>
        <w:t>(51)</w:t>
      </w:r>
      <w:r>
        <w:t xml:space="preserve"> aan de verordening wordt artikel 27 toegevoegd, dat als volgt luidt:</w:t>
      </w:r>
    </w:p>
    <w:p w14:paraId="76F5304B" w14:textId="2F21465F" w:rsidR="00613B83" w:rsidRDefault="00613B83" w:rsidP="00491D3F">
      <w:bookmarkStart w:id="6" w:name="_Hlk170209720"/>
      <w:r>
        <w:rPr>
          <w:b/>
        </w:rPr>
        <w:t>“Artikel 27. Uitvoeringsbepalingen</w:t>
      </w:r>
    </w:p>
    <w:p w14:paraId="78E51E63" w14:textId="54A57533" w:rsidR="00D604E5" w:rsidRDefault="00D604E5" w:rsidP="00491D3F">
      <w:r>
        <w:t xml:space="preserve">(1) Gesloten contracten </w:t>
      </w:r>
      <w:bookmarkStart w:id="7" w:name="_Hlk170289224"/>
      <w:r>
        <w:t>of werkzaamheden waarmee vóór de inwerkingtreding van deze bepaling is begonnen vallen onder de versie van de verordening die op 23 november 2020 in werking is getreden</w:t>
      </w:r>
      <w:bookmarkEnd w:id="7"/>
      <w:r>
        <w:t>.</w:t>
      </w:r>
    </w:p>
    <w:p w14:paraId="2C0CB7BE" w14:textId="77777777" w:rsidR="00D604E5" w:rsidRDefault="00D604E5" w:rsidP="00491D3F"/>
    <w:p w14:paraId="616CF903" w14:textId="2E3D1897" w:rsidR="00613B83" w:rsidRDefault="00D604E5" w:rsidP="00491D3F">
      <w:r>
        <w:t xml:space="preserve">(2) </w:t>
      </w:r>
      <w:bookmarkStart w:id="8" w:name="_Hlk170289246"/>
      <w:r>
        <w:t>De op 23 november 2020 in werking getreden versie van de verordening kan worden toegepast op een binnen drie maanden na de inwerkingtreding van deze bepaling gesloten overeenkomst.</w:t>
      </w:r>
      <w:bookmarkEnd w:id="8"/>
      <w:r>
        <w:t>”;</w:t>
      </w:r>
    </w:p>
    <w:bookmarkEnd w:id="6"/>
    <w:p w14:paraId="08F5BCCE" w14:textId="77777777" w:rsidR="00491D3F" w:rsidRDefault="00491D3F" w:rsidP="00491D3F"/>
    <w:p w14:paraId="147F1EE5" w14:textId="072AB8A2" w:rsidR="00491D3F" w:rsidRDefault="00491D3F" w:rsidP="00491D3F">
      <w:r>
        <w:rPr>
          <w:b/>
        </w:rPr>
        <w:t>(52)</w:t>
      </w:r>
      <w:r>
        <w:t xml:space="preserve"> de nieuwe formulering van de bijlagen 3 tot en met 10 en 12 (aangehangen) wordt vastgesteld;</w:t>
      </w:r>
    </w:p>
    <w:p w14:paraId="2C46BE5D" w14:textId="77777777" w:rsidR="00491D3F" w:rsidRDefault="00491D3F" w:rsidP="00491D3F"/>
    <w:p w14:paraId="4D6FBFE7" w14:textId="00201D56" w:rsidR="001B7672" w:rsidRDefault="00491D3F" w:rsidP="00491D3F">
      <w:r>
        <w:rPr>
          <w:b/>
        </w:rPr>
        <w:t xml:space="preserve">(53) </w:t>
      </w:r>
      <w:bookmarkStart w:id="9" w:name="_Hlk168563549"/>
      <w:r>
        <w:t>Bijlage 15 bij de verordening</w:t>
      </w:r>
      <w:bookmarkEnd w:id="9"/>
      <w:r>
        <w:t xml:space="preserve"> wordt ingetrokken.</w:t>
      </w:r>
    </w:p>
    <w:p w14:paraId="0E94427F" w14:textId="77777777" w:rsidR="009503D0" w:rsidRDefault="009503D0" w:rsidP="00491D3F"/>
    <w:p w14:paraId="5321E64C" w14:textId="4E223B87" w:rsidR="001B7672" w:rsidRDefault="001B7672" w:rsidP="006326AA"/>
    <w:p w14:paraId="57AF815D" w14:textId="77777777" w:rsidR="004B73F5" w:rsidRDefault="004B73F5" w:rsidP="00683D28"/>
    <w:p w14:paraId="3B9E9D98" w14:textId="77777777" w:rsidR="006326AA" w:rsidRDefault="006326AA" w:rsidP="00683D28"/>
    <w:p w14:paraId="4F109D05" w14:textId="77777777" w:rsidR="006326AA" w:rsidRDefault="006326AA" w:rsidP="00683D2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1B7672" w14:paraId="43060C04" w14:textId="77777777" w:rsidTr="004A1794">
        <w:tc>
          <w:tcPr>
            <w:tcW w:w="4672" w:type="dxa"/>
          </w:tcPr>
          <w:p w14:paraId="6D3BD41D" w14:textId="77777777" w:rsidR="001B7672" w:rsidRPr="00D02F9D" w:rsidRDefault="001B7672" w:rsidP="00A300B9">
            <w:pPr>
              <w:ind w:hanging="108"/>
            </w:pPr>
            <w:r>
              <w:t>(</w:t>
            </w:r>
            <w:proofErr w:type="gramStart"/>
            <w:r>
              <w:t>digitaal</w:t>
            </w:r>
            <w:proofErr w:type="gramEnd"/>
            <w:r>
              <w:t xml:space="preserve"> ondertekend)</w:t>
            </w:r>
          </w:p>
          <w:p w14:paraId="2B455206" w14:textId="52EA83C1" w:rsidR="001B7672" w:rsidRPr="00D02F9D" w:rsidRDefault="002002AA" w:rsidP="00A300B9">
            <w:pPr>
              <w:ind w:hanging="108"/>
            </w:pPr>
            <w:r>
              <w:t>Kristen Michal</w:t>
            </w:r>
          </w:p>
          <w:p w14:paraId="0145708B" w14:textId="716071F9" w:rsidR="00491D3F" w:rsidRPr="00D02F9D" w:rsidRDefault="006326AA" w:rsidP="00491D3F">
            <w:pPr>
              <w:ind w:hanging="108"/>
            </w:pPr>
            <w:r>
              <w:t>De minister</w:t>
            </w:r>
          </w:p>
        </w:tc>
        <w:tc>
          <w:tcPr>
            <w:tcW w:w="4672" w:type="dxa"/>
          </w:tcPr>
          <w:p w14:paraId="51A88D42" w14:textId="77777777" w:rsidR="001B7672" w:rsidRPr="00D02F9D" w:rsidRDefault="001B7672" w:rsidP="00683D28">
            <w:pPr>
              <w:rPr>
                <w:lang w:val="de-DE"/>
              </w:rPr>
            </w:pPr>
          </w:p>
          <w:p w14:paraId="44890AE9" w14:textId="77777777" w:rsidR="001B7672" w:rsidRDefault="001B7672" w:rsidP="00683D28">
            <w:r>
              <w:t>(</w:t>
            </w:r>
            <w:proofErr w:type="gramStart"/>
            <w:r>
              <w:t>digitaal</w:t>
            </w:r>
            <w:proofErr w:type="gramEnd"/>
            <w:r>
              <w:t xml:space="preserve"> ondertekend)</w:t>
            </w:r>
          </w:p>
          <w:p w14:paraId="587475D8" w14:textId="23094C06" w:rsidR="001B7672" w:rsidRDefault="00923C23" w:rsidP="00683D28">
            <w:r>
              <w:t>Keit Kasemets</w:t>
            </w:r>
          </w:p>
          <w:p w14:paraId="5FFB33FB" w14:textId="40BCC26D" w:rsidR="00491D3F" w:rsidRDefault="006326AA" w:rsidP="00683D28">
            <w:r>
              <w:t>Staatssecretaris</w:t>
            </w:r>
          </w:p>
        </w:tc>
      </w:tr>
    </w:tbl>
    <w:p w14:paraId="7C18BC2B" w14:textId="77777777" w:rsidR="008E2E80" w:rsidRDefault="008E2E80" w:rsidP="00683D28"/>
    <w:p w14:paraId="46DE9FFE" w14:textId="77777777" w:rsidR="008E2E80" w:rsidRDefault="008E2E80" w:rsidP="00683D28"/>
    <w:p w14:paraId="6DF1E0CD" w14:textId="5BF7A76B" w:rsidR="008E2E80" w:rsidRDefault="00491D3F" w:rsidP="00683D28">
      <w:r>
        <w:rPr>
          <w:b/>
        </w:rPr>
        <w:t>Bijlage 3.</w:t>
      </w:r>
      <w:r>
        <w:t xml:space="preserve"> Compressiefactor van het oppervlak en het poriëngehalte </w:t>
      </w:r>
    </w:p>
    <w:p w14:paraId="7862E77A" w14:textId="77777777" w:rsidR="008E2E80" w:rsidRDefault="008E2E80" w:rsidP="00683D28">
      <w:r>
        <w:rPr>
          <w:b/>
        </w:rPr>
        <w:t>Bijlage 10.</w:t>
      </w:r>
      <w:r>
        <w:t xml:space="preserve"> Algemene grenzen van de deeltjesgrootteverdeling van ongebonden mengsels </w:t>
      </w:r>
    </w:p>
    <w:p w14:paraId="6F32D132" w14:textId="5472E26B" w:rsidR="003F55E0" w:rsidRDefault="008E2E80" w:rsidP="00683D28">
      <w:r>
        <w:rPr>
          <w:b/>
        </w:rPr>
        <w:t>Bijlage 12.</w:t>
      </w:r>
      <w:r>
        <w:t xml:space="preserve"> Minimumeisen voor aggregaten die worden gebruikt voor oppervlaktebehandeling</w:t>
      </w:r>
    </w:p>
    <w:p w14:paraId="566503FA" w14:textId="77777777" w:rsidR="003F55E0" w:rsidRDefault="003F55E0">
      <w:r>
        <w:br w:type="page"/>
      </w:r>
    </w:p>
    <w:p w14:paraId="657955F4" w14:textId="77777777" w:rsidR="00BE0A03" w:rsidRDefault="003F55E0" w:rsidP="003F55E0">
      <w:pPr>
        <w:jc w:val="right"/>
      </w:pPr>
      <w:r>
        <w:lastRenderedPageBreak/>
        <w:t>Minister van Economische Zaken en Infrastructuur</w:t>
      </w:r>
    </w:p>
    <w:p w14:paraId="3A8EAAFE" w14:textId="77777777" w:rsidR="00BE0A03" w:rsidRDefault="003F55E0" w:rsidP="003F55E0">
      <w:pPr>
        <w:jc w:val="right"/>
      </w:pPr>
      <w:r>
        <w:t>Verordening nr. 101 van 3 augustus 2015</w:t>
      </w:r>
    </w:p>
    <w:p w14:paraId="3B55A979" w14:textId="77777777" w:rsidR="00BE0A03" w:rsidRDefault="003F55E0" w:rsidP="003F55E0">
      <w:pPr>
        <w:jc w:val="right"/>
      </w:pPr>
      <w:r>
        <w:t>“Kwaliteitseisen voor de wegenbouw”</w:t>
      </w:r>
    </w:p>
    <w:p w14:paraId="4DD4DD6F" w14:textId="77777777" w:rsidR="00BE0A03" w:rsidRDefault="003F55E0" w:rsidP="003F55E0">
      <w:pPr>
        <w:jc w:val="right"/>
      </w:pPr>
      <w:r>
        <w:t>Bijlage 3</w:t>
      </w:r>
    </w:p>
    <w:p w14:paraId="751ECC4C" w14:textId="78A43010" w:rsidR="003F55E0" w:rsidRDefault="003F55E0" w:rsidP="003F55E0">
      <w:pPr>
        <w:jc w:val="right"/>
      </w:pPr>
      <w:r>
        <w:t>(</w:t>
      </w:r>
      <w:proofErr w:type="gramStart"/>
      <w:r>
        <w:t>zoals</w:t>
      </w:r>
      <w:proofErr w:type="gramEnd"/>
      <w:r>
        <w:t xml:space="preserve"> gewijzigd)</w:t>
      </w:r>
    </w:p>
    <w:p w14:paraId="0503F10A" w14:textId="77777777" w:rsidR="003F55E0" w:rsidRPr="003F55E0" w:rsidRDefault="003F55E0" w:rsidP="003F55E0">
      <w:pPr>
        <w:jc w:val="right"/>
      </w:pPr>
    </w:p>
    <w:p w14:paraId="39907E8A" w14:textId="77777777" w:rsidR="003F55E0" w:rsidRPr="003F55E0" w:rsidRDefault="003F55E0" w:rsidP="003F55E0">
      <w:pPr>
        <w:jc w:val="center"/>
        <w:rPr>
          <w:b/>
          <w:bCs/>
        </w:rPr>
      </w:pPr>
      <w:r>
        <w:rPr>
          <w:b/>
        </w:rPr>
        <w:t>Bijlage 3</w:t>
      </w:r>
    </w:p>
    <w:p w14:paraId="77534294" w14:textId="77777777" w:rsidR="003F55E0" w:rsidRPr="003F55E0" w:rsidRDefault="003F55E0" w:rsidP="003F55E0">
      <w:pPr>
        <w:jc w:val="center"/>
      </w:pPr>
      <w:r>
        <w:rPr>
          <w:b/>
        </w:rPr>
        <w:t>COMPRESSIEFACTOR VAN HET OPPERVLAK EN HET PORIËNGEHALTE</w:t>
      </w:r>
    </w:p>
    <w:p w14:paraId="502E2EC9" w14:textId="77777777" w:rsidR="003F55E0" w:rsidRPr="003F55E0" w:rsidRDefault="003F55E0" w:rsidP="003F55E0"/>
    <w:tbl>
      <w:tblPr>
        <w:tblW w:w="9290" w:type="dxa"/>
        <w:tblInd w:w="-72" w:type="dxa"/>
        <w:tblCellMar>
          <w:top w:w="21" w:type="dxa"/>
          <w:left w:w="14" w:type="dxa"/>
          <w:right w:w="65" w:type="dxa"/>
        </w:tblCellMar>
        <w:tblLook w:val="04A0" w:firstRow="1" w:lastRow="0" w:firstColumn="1" w:lastColumn="0" w:noHBand="0" w:noVBand="1"/>
      </w:tblPr>
      <w:tblGrid>
        <w:gridCol w:w="2432"/>
        <w:gridCol w:w="1772"/>
        <w:gridCol w:w="1630"/>
        <w:gridCol w:w="1772"/>
        <w:gridCol w:w="1684"/>
      </w:tblGrid>
      <w:tr w:rsidR="003F55E0" w:rsidRPr="003F55E0" w14:paraId="44DCE727" w14:textId="77777777" w:rsidTr="00551C29">
        <w:trPr>
          <w:trHeight w:val="648"/>
        </w:trPr>
        <w:tc>
          <w:tcPr>
            <w:tcW w:w="2785" w:type="dxa"/>
            <w:vMerge w:val="restart"/>
            <w:tcBorders>
              <w:top w:val="single" w:sz="4" w:space="0" w:color="000000"/>
              <w:left w:val="single" w:sz="4" w:space="0" w:color="000000"/>
              <w:bottom w:val="single" w:sz="4" w:space="0" w:color="000000"/>
              <w:right w:val="single" w:sz="4" w:space="0" w:color="000000"/>
            </w:tcBorders>
            <w:vAlign w:val="center"/>
          </w:tcPr>
          <w:p w14:paraId="16C5BB26" w14:textId="77777777" w:rsidR="003F55E0" w:rsidRPr="003F55E0" w:rsidRDefault="003F55E0" w:rsidP="003F55E0">
            <w:r>
              <w:t xml:space="preserve">Mengsel type EVS 901-3 </w:t>
            </w:r>
          </w:p>
        </w:tc>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AA96A63" w14:textId="77777777" w:rsidR="003F55E0" w:rsidRPr="003F55E0" w:rsidRDefault="003F55E0" w:rsidP="003F55E0">
            <w:r>
              <w:t xml:space="preserve">Gemiddeld oppervlaktemonster </w:t>
            </w:r>
          </w:p>
        </w:tc>
        <w:tc>
          <w:tcPr>
            <w:tcW w:w="3435" w:type="dxa"/>
            <w:gridSpan w:val="2"/>
            <w:tcBorders>
              <w:top w:val="single" w:sz="4" w:space="0" w:color="000000"/>
              <w:left w:val="single" w:sz="4" w:space="0" w:color="000000"/>
              <w:bottom w:val="single" w:sz="4" w:space="0" w:color="000000"/>
              <w:right w:val="single" w:sz="4" w:space="0" w:color="000000"/>
            </w:tcBorders>
            <w:vAlign w:val="center"/>
          </w:tcPr>
          <w:p w14:paraId="106319AE" w14:textId="77777777" w:rsidR="003F55E0" w:rsidRPr="003F55E0" w:rsidRDefault="003F55E0" w:rsidP="003F55E0">
            <w:r>
              <w:t xml:space="preserve">Voegensteekproef </w:t>
            </w:r>
          </w:p>
        </w:tc>
      </w:tr>
      <w:tr w:rsidR="003F55E0" w:rsidRPr="003F55E0" w14:paraId="49BA5424" w14:textId="77777777" w:rsidTr="00551C29">
        <w:trPr>
          <w:trHeight w:val="590"/>
        </w:trPr>
        <w:tc>
          <w:tcPr>
            <w:tcW w:w="0" w:type="auto"/>
            <w:vMerge/>
            <w:tcBorders>
              <w:top w:val="nil"/>
              <w:left w:val="single" w:sz="4" w:space="0" w:color="000000"/>
              <w:bottom w:val="single" w:sz="4" w:space="0" w:color="000000"/>
              <w:right w:val="single" w:sz="4" w:space="0" w:color="000000"/>
            </w:tcBorders>
          </w:tcPr>
          <w:p w14:paraId="699C8CD2" w14:textId="77777777" w:rsidR="003F55E0" w:rsidRPr="003F55E0" w:rsidRDefault="003F55E0" w:rsidP="003F55E0">
            <w:pPr>
              <w:rPr>
                <w:lang w:val="en-US"/>
              </w:rPr>
            </w:pPr>
          </w:p>
        </w:tc>
        <w:tc>
          <w:tcPr>
            <w:tcW w:w="1387" w:type="dxa"/>
            <w:tcBorders>
              <w:top w:val="single" w:sz="4" w:space="0" w:color="000000"/>
              <w:left w:val="single" w:sz="4" w:space="0" w:color="000000"/>
              <w:bottom w:val="single" w:sz="4" w:space="0" w:color="000000"/>
              <w:right w:val="single" w:sz="4" w:space="0" w:color="000000"/>
            </w:tcBorders>
          </w:tcPr>
          <w:p w14:paraId="35D34355" w14:textId="77777777" w:rsidR="003F55E0" w:rsidRPr="003F55E0" w:rsidRDefault="003F55E0" w:rsidP="003F55E0">
            <w:r>
              <w:t xml:space="preserve">Compressiefactor </w:t>
            </w:r>
          </w:p>
        </w:tc>
        <w:tc>
          <w:tcPr>
            <w:tcW w:w="1683" w:type="dxa"/>
            <w:tcBorders>
              <w:top w:val="single" w:sz="4" w:space="0" w:color="000000"/>
              <w:left w:val="single" w:sz="4" w:space="0" w:color="000000"/>
              <w:bottom w:val="single" w:sz="4" w:space="0" w:color="000000"/>
              <w:right w:val="single" w:sz="4" w:space="0" w:color="000000"/>
            </w:tcBorders>
            <w:vAlign w:val="center"/>
          </w:tcPr>
          <w:p w14:paraId="04CAF511" w14:textId="77777777" w:rsidR="003F55E0" w:rsidRPr="003F55E0" w:rsidRDefault="003F55E0" w:rsidP="003F55E0">
            <w:r>
              <w:t xml:space="preserve">Poriëngehalte in % </w:t>
            </w:r>
          </w:p>
        </w:tc>
        <w:tc>
          <w:tcPr>
            <w:tcW w:w="1685" w:type="dxa"/>
            <w:tcBorders>
              <w:top w:val="single" w:sz="4" w:space="0" w:color="000000"/>
              <w:left w:val="single" w:sz="4" w:space="0" w:color="000000"/>
              <w:bottom w:val="single" w:sz="4" w:space="0" w:color="000000"/>
              <w:right w:val="single" w:sz="4" w:space="0" w:color="000000"/>
            </w:tcBorders>
            <w:vAlign w:val="center"/>
          </w:tcPr>
          <w:p w14:paraId="792830D7" w14:textId="77777777" w:rsidR="003F55E0" w:rsidRPr="003F55E0" w:rsidRDefault="003F55E0" w:rsidP="003F55E0">
            <w:r>
              <w:t xml:space="preserve">Compressiefactor </w:t>
            </w:r>
          </w:p>
        </w:tc>
        <w:tc>
          <w:tcPr>
            <w:tcW w:w="1750" w:type="dxa"/>
            <w:tcBorders>
              <w:top w:val="single" w:sz="4" w:space="0" w:color="000000"/>
              <w:left w:val="single" w:sz="4" w:space="0" w:color="000000"/>
              <w:bottom w:val="single" w:sz="4" w:space="0" w:color="000000"/>
              <w:right w:val="single" w:sz="4" w:space="0" w:color="000000"/>
            </w:tcBorders>
            <w:vAlign w:val="center"/>
          </w:tcPr>
          <w:p w14:paraId="15E693A1" w14:textId="77777777" w:rsidR="003F55E0" w:rsidRPr="003F55E0" w:rsidRDefault="003F55E0" w:rsidP="003F55E0">
            <w:r>
              <w:t xml:space="preserve">Poriëngehalte in % </w:t>
            </w:r>
          </w:p>
        </w:tc>
      </w:tr>
      <w:tr w:rsidR="003F55E0" w:rsidRPr="003F55E0" w14:paraId="307AAE6A" w14:textId="77777777" w:rsidTr="00551C29">
        <w:trPr>
          <w:trHeight w:val="435"/>
        </w:trPr>
        <w:tc>
          <w:tcPr>
            <w:tcW w:w="2785" w:type="dxa"/>
            <w:tcBorders>
              <w:top w:val="single" w:sz="4" w:space="0" w:color="000000"/>
              <w:left w:val="single" w:sz="4" w:space="0" w:color="000000"/>
              <w:bottom w:val="single" w:sz="4" w:space="0" w:color="000000"/>
              <w:right w:val="single" w:sz="4" w:space="0" w:color="000000"/>
            </w:tcBorders>
          </w:tcPr>
          <w:p w14:paraId="0C3ABBF4" w14:textId="77777777" w:rsidR="003F55E0" w:rsidRPr="003F55E0" w:rsidRDefault="003F55E0" w:rsidP="003F55E0">
            <w:r>
              <w:t xml:space="preserve">MSE </w:t>
            </w:r>
          </w:p>
        </w:tc>
        <w:tc>
          <w:tcPr>
            <w:tcW w:w="1387" w:type="dxa"/>
            <w:tcBorders>
              <w:top w:val="single" w:sz="4" w:space="0" w:color="000000"/>
              <w:left w:val="single" w:sz="4" w:space="0" w:color="000000"/>
              <w:bottom w:val="single" w:sz="4" w:space="0" w:color="000000"/>
              <w:right w:val="single" w:sz="4" w:space="0" w:color="000000"/>
            </w:tcBorders>
          </w:tcPr>
          <w:p w14:paraId="44492F12"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tcPr>
          <w:p w14:paraId="469F9E8E" w14:textId="77777777" w:rsidR="003F55E0" w:rsidRPr="003F55E0" w:rsidRDefault="003F55E0" w:rsidP="003F55E0">
            <w:r>
              <w:t xml:space="preserve">4–11 </w:t>
            </w:r>
          </w:p>
        </w:tc>
        <w:tc>
          <w:tcPr>
            <w:tcW w:w="1685" w:type="dxa"/>
            <w:tcBorders>
              <w:top w:val="single" w:sz="4" w:space="0" w:color="000000"/>
              <w:left w:val="single" w:sz="4" w:space="0" w:color="000000"/>
              <w:bottom w:val="single" w:sz="4" w:space="0" w:color="000000"/>
              <w:right w:val="single" w:sz="4" w:space="0" w:color="000000"/>
            </w:tcBorders>
          </w:tcPr>
          <w:p w14:paraId="74927F54" w14:textId="77777777" w:rsidR="003F55E0" w:rsidRPr="003F55E0" w:rsidRDefault="003F55E0" w:rsidP="003F55E0">
            <w:r>
              <w:t xml:space="preserve">≥ 0,90 </w:t>
            </w:r>
          </w:p>
        </w:tc>
        <w:tc>
          <w:tcPr>
            <w:tcW w:w="1750" w:type="dxa"/>
            <w:tcBorders>
              <w:top w:val="single" w:sz="4" w:space="0" w:color="000000"/>
              <w:left w:val="single" w:sz="4" w:space="0" w:color="000000"/>
              <w:bottom w:val="single" w:sz="4" w:space="0" w:color="000000"/>
              <w:right w:val="single" w:sz="4" w:space="0" w:color="000000"/>
            </w:tcBorders>
          </w:tcPr>
          <w:p w14:paraId="332BC03D" w14:textId="77777777" w:rsidR="003F55E0" w:rsidRPr="003F55E0" w:rsidRDefault="003F55E0" w:rsidP="003F55E0">
            <w:r>
              <w:t xml:space="preserve">≤ 14,0 </w:t>
            </w:r>
          </w:p>
        </w:tc>
      </w:tr>
      <w:tr w:rsidR="003F55E0" w:rsidRPr="003F55E0" w14:paraId="74BE3945"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6D81F292" w14:textId="77777777" w:rsidR="003F55E0" w:rsidRPr="00D02F9D" w:rsidRDefault="003F55E0" w:rsidP="003F55E0">
            <w:r>
              <w:t>AC 16 basis</w:t>
            </w:r>
          </w:p>
          <w:p w14:paraId="2D43B19E" w14:textId="77777777" w:rsidR="003F55E0" w:rsidRPr="00D02F9D" w:rsidRDefault="003F55E0" w:rsidP="003F55E0">
            <w:r>
              <w:t>AC 20 basis</w:t>
            </w:r>
          </w:p>
          <w:p w14:paraId="1901C781" w14:textId="77777777" w:rsidR="003F55E0" w:rsidRPr="00D02F9D" w:rsidRDefault="003F55E0" w:rsidP="003F55E0">
            <w:r>
              <w:t xml:space="preserve">AC 32 basis </w:t>
            </w:r>
          </w:p>
        </w:tc>
        <w:tc>
          <w:tcPr>
            <w:tcW w:w="1387" w:type="dxa"/>
            <w:tcBorders>
              <w:top w:val="single" w:sz="4" w:space="0" w:color="000000"/>
              <w:left w:val="single" w:sz="4" w:space="0" w:color="000000"/>
              <w:bottom w:val="single" w:sz="4" w:space="0" w:color="000000"/>
              <w:right w:val="single" w:sz="4" w:space="0" w:color="000000"/>
            </w:tcBorders>
            <w:vAlign w:val="center"/>
          </w:tcPr>
          <w:p w14:paraId="744F4FD1" w14:textId="77777777" w:rsidR="003F55E0" w:rsidRPr="003F55E0" w:rsidRDefault="003F55E0" w:rsidP="003F55E0">
            <w:r>
              <w:t xml:space="preserve">≥ 0,96 </w:t>
            </w:r>
          </w:p>
        </w:tc>
        <w:tc>
          <w:tcPr>
            <w:tcW w:w="1683" w:type="dxa"/>
            <w:tcBorders>
              <w:top w:val="single" w:sz="4" w:space="0" w:color="000000"/>
              <w:left w:val="single" w:sz="4" w:space="0" w:color="000000"/>
              <w:bottom w:val="single" w:sz="4" w:space="0" w:color="000000"/>
              <w:right w:val="single" w:sz="4" w:space="0" w:color="000000"/>
            </w:tcBorders>
            <w:vAlign w:val="center"/>
          </w:tcPr>
          <w:p w14:paraId="21B5E85C" w14:textId="77777777" w:rsidR="003F55E0" w:rsidRPr="003F55E0" w:rsidRDefault="003F55E0" w:rsidP="003F55E0">
            <w:r>
              <w:t xml:space="preserve">4–12 </w:t>
            </w:r>
          </w:p>
        </w:tc>
        <w:tc>
          <w:tcPr>
            <w:tcW w:w="1685" w:type="dxa"/>
            <w:tcBorders>
              <w:top w:val="single" w:sz="4" w:space="0" w:color="000000"/>
              <w:left w:val="single" w:sz="4" w:space="0" w:color="000000"/>
              <w:bottom w:val="single" w:sz="4" w:space="0" w:color="000000"/>
              <w:right w:val="single" w:sz="4" w:space="0" w:color="000000"/>
            </w:tcBorders>
            <w:vAlign w:val="center"/>
          </w:tcPr>
          <w:p w14:paraId="5A9FC665" w14:textId="77777777" w:rsidR="003F55E0" w:rsidRPr="003F55E0" w:rsidRDefault="003F55E0" w:rsidP="003F55E0">
            <w:r>
              <w:t xml:space="preserve">≥ 0,91 </w:t>
            </w:r>
          </w:p>
        </w:tc>
        <w:tc>
          <w:tcPr>
            <w:tcW w:w="1750" w:type="dxa"/>
            <w:tcBorders>
              <w:top w:val="single" w:sz="4" w:space="0" w:color="000000"/>
              <w:left w:val="single" w:sz="4" w:space="0" w:color="000000"/>
              <w:bottom w:val="single" w:sz="4" w:space="0" w:color="000000"/>
              <w:right w:val="single" w:sz="4" w:space="0" w:color="000000"/>
            </w:tcBorders>
            <w:vAlign w:val="center"/>
          </w:tcPr>
          <w:p w14:paraId="3E8AFAA4" w14:textId="77777777" w:rsidR="003F55E0" w:rsidRPr="003F55E0" w:rsidRDefault="003F55E0" w:rsidP="003F55E0">
            <w:r>
              <w:t xml:space="preserve">≤ 15,0 </w:t>
            </w:r>
          </w:p>
        </w:tc>
      </w:tr>
      <w:tr w:rsidR="003F55E0" w:rsidRPr="003F55E0" w14:paraId="5EDE6C61" w14:textId="77777777" w:rsidTr="00551C29">
        <w:trPr>
          <w:trHeight w:val="677"/>
        </w:trPr>
        <w:tc>
          <w:tcPr>
            <w:tcW w:w="2785" w:type="dxa"/>
            <w:tcBorders>
              <w:top w:val="single" w:sz="4" w:space="0" w:color="000000"/>
              <w:left w:val="single" w:sz="4" w:space="0" w:color="000000"/>
              <w:bottom w:val="single" w:sz="4" w:space="0" w:color="000000"/>
              <w:right w:val="single" w:sz="4" w:space="0" w:color="000000"/>
            </w:tcBorders>
          </w:tcPr>
          <w:p w14:paraId="40A80826" w14:textId="77777777" w:rsidR="003F55E0" w:rsidRPr="003F55E0" w:rsidRDefault="003F55E0" w:rsidP="003F55E0">
            <w:r>
              <w:t>AC 8 bin</w:t>
            </w:r>
          </w:p>
          <w:p w14:paraId="094D6BDB" w14:textId="77777777" w:rsidR="003F55E0" w:rsidRPr="003F55E0" w:rsidRDefault="003F55E0" w:rsidP="003F55E0">
            <w:r>
              <w:t>AC 12 bin</w:t>
            </w:r>
          </w:p>
        </w:tc>
        <w:tc>
          <w:tcPr>
            <w:tcW w:w="1387" w:type="dxa"/>
            <w:tcBorders>
              <w:top w:val="single" w:sz="4" w:space="0" w:color="000000"/>
              <w:left w:val="single" w:sz="4" w:space="0" w:color="000000"/>
              <w:bottom w:val="single" w:sz="4" w:space="0" w:color="000000"/>
              <w:right w:val="single" w:sz="4" w:space="0" w:color="000000"/>
            </w:tcBorders>
            <w:vAlign w:val="center"/>
          </w:tcPr>
          <w:p w14:paraId="7A2F600F"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068525CD"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D07D0CF" w14:textId="77777777" w:rsidR="003F55E0" w:rsidRPr="003F55E0" w:rsidRDefault="003F55E0" w:rsidP="003F55E0">
            <w:r>
              <w:t xml:space="preserve">≥ 0,92 </w:t>
            </w:r>
          </w:p>
        </w:tc>
        <w:tc>
          <w:tcPr>
            <w:tcW w:w="1750" w:type="dxa"/>
            <w:tcBorders>
              <w:top w:val="single" w:sz="4" w:space="0" w:color="000000"/>
              <w:left w:val="single" w:sz="4" w:space="0" w:color="000000"/>
              <w:bottom w:val="single" w:sz="4" w:space="0" w:color="000000"/>
              <w:right w:val="single" w:sz="4" w:space="0" w:color="000000"/>
            </w:tcBorders>
            <w:vAlign w:val="center"/>
          </w:tcPr>
          <w:p w14:paraId="6FE27CE6" w14:textId="77777777" w:rsidR="003F55E0" w:rsidRPr="003F55E0" w:rsidRDefault="003F55E0" w:rsidP="003F55E0">
            <w:r>
              <w:t xml:space="preserve">≤ 8,5 </w:t>
            </w:r>
          </w:p>
        </w:tc>
      </w:tr>
      <w:tr w:rsidR="003F55E0" w:rsidRPr="003F55E0" w14:paraId="333D6269" w14:textId="77777777" w:rsidTr="00551C29">
        <w:trPr>
          <w:trHeight w:val="1944"/>
        </w:trPr>
        <w:tc>
          <w:tcPr>
            <w:tcW w:w="2785" w:type="dxa"/>
            <w:tcBorders>
              <w:top w:val="single" w:sz="4" w:space="0" w:color="000000"/>
              <w:left w:val="single" w:sz="4" w:space="0" w:color="000000"/>
              <w:bottom w:val="single" w:sz="4" w:space="0" w:color="000000"/>
              <w:right w:val="single" w:sz="4" w:space="0" w:color="000000"/>
            </w:tcBorders>
          </w:tcPr>
          <w:p w14:paraId="15F0A393" w14:textId="77777777" w:rsidR="003F55E0" w:rsidRPr="00D02F9D" w:rsidRDefault="003F55E0" w:rsidP="003F55E0">
            <w:r>
              <w:t>AC 16 bin</w:t>
            </w:r>
          </w:p>
          <w:p w14:paraId="4BC00C2D" w14:textId="77777777" w:rsidR="003F55E0" w:rsidRPr="00D02F9D" w:rsidRDefault="003F55E0" w:rsidP="003F55E0">
            <w:r>
              <w:t>AC 20 bin</w:t>
            </w:r>
          </w:p>
          <w:p w14:paraId="21A00905" w14:textId="77777777" w:rsidR="003F55E0" w:rsidRPr="00D02F9D" w:rsidRDefault="003F55E0" w:rsidP="003F55E0">
            <w:r>
              <w:t xml:space="preserve">AC 8 surf </w:t>
            </w:r>
          </w:p>
          <w:p w14:paraId="1386C329" w14:textId="77777777" w:rsidR="003F55E0" w:rsidRPr="00C84F89" w:rsidRDefault="003F55E0" w:rsidP="003F55E0">
            <w:r>
              <w:t>AC 12 surf</w:t>
            </w:r>
          </w:p>
          <w:p w14:paraId="33F9B42B" w14:textId="77777777" w:rsidR="003F55E0" w:rsidRPr="00C84F89" w:rsidRDefault="003F55E0" w:rsidP="003F55E0">
            <w:r>
              <w:t>AC 16 surf</w:t>
            </w:r>
          </w:p>
          <w:p w14:paraId="0D8198E9" w14:textId="77777777" w:rsidR="003F55E0" w:rsidRPr="00C84F89" w:rsidRDefault="003F55E0" w:rsidP="003F55E0">
            <w:r>
              <w:t>AC 20 surf</w:t>
            </w:r>
          </w:p>
        </w:tc>
        <w:tc>
          <w:tcPr>
            <w:tcW w:w="1387" w:type="dxa"/>
            <w:tcBorders>
              <w:top w:val="single" w:sz="4" w:space="0" w:color="000000"/>
              <w:left w:val="single" w:sz="4" w:space="0" w:color="000000"/>
              <w:bottom w:val="single" w:sz="4" w:space="0" w:color="000000"/>
              <w:right w:val="single" w:sz="4" w:space="0" w:color="000000"/>
            </w:tcBorders>
            <w:vAlign w:val="center"/>
          </w:tcPr>
          <w:p w14:paraId="3FD3DA77" w14:textId="77777777" w:rsidR="003F55E0" w:rsidRPr="003F55E0" w:rsidRDefault="003F55E0" w:rsidP="003F55E0">
            <w:r>
              <w:t xml:space="preserve">≥ 0,97 </w:t>
            </w:r>
          </w:p>
        </w:tc>
        <w:tc>
          <w:tcPr>
            <w:tcW w:w="1683" w:type="dxa"/>
            <w:tcBorders>
              <w:top w:val="single" w:sz="4" w:space="0" w:color="000000"/>
              <w:left w:val="single" w:sz="4" w:space="0" w:color="000000"/>
              <w:bottom w:val="single" w:sz="4" w:space="0" w:color="000000"/>
              <w:right w:val="single" w:sz="4" w:space="0" w:color="000000"/>
            </w:tcBorders>
            <w:vAlign w:val="center"/>
          </w:tcPr>
          <w:p w14:paraId="3D70ED6F"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30518BE0"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436FCDF7" w14:textId="77777777" w:rsidR="003F55E0" w:rsidRPr="003F55E0" w:rsidRDefault="003F55E0" w:rsidP="003F55E0">
            <w:r>
              <w:t xml:space="preserve">≤ 8,0 </w:t>
            </w:r>
          </w:p>
        </w:tc>
      </w:tr>
      <w:tr w:rsidR="003F55E0" w:rsidRPr="003F55E0" w14:paraId="3C0D8A81" w14:textId="77777777" w:rsidTr="00551C29">
        <w:trPr>
          <w:trHeight w:val="991"/>
        </w:trPr>
        <w:tc>
          <w:tcPr>
            <w:tcW w:w="2785" w:type="dxa"/>
            <w:tcBorders>
              <w:top w:val="single" w:sz="4" w:space="0" w:color="000000"/>
              <w:left w:val="single" w:sz="4" w:space="0" w:color="000000"/>
              <w:bottom w:val="single" w:sz="4" w:space="0" w:color="000000"/>
              <w:right w:val="single" w:sz="4" w:space="0" w:color="000000"/>
            </w:tcBorders>
          </w:tcPr>
          <w:p w14:paraId="54F51C47" w14:textId="77777777" w:rsidR="003F55E0" w:rsidRPr="003F55E0" w:rsidRDefault="003F55E0" w:rsidP="003F55E0">
            <w:r>
              <w:t>SMA 8</w:t>
            </w:r>
          </w:p>
          <w:p w14:paraId="5A4AAA3B" w14:textId="77777777" w:rsidR="003F55E0" w:rsidRPr="003F55E0" w:rsidRDefault="003F55E0" w:rsidP="003F55E0">
            <w:r>
              <w:t>SMA 12</w:t>
            </w:r>
          </w:p>
          <w:p w14:paraId="7D717C7C" w14:textId="77777777" w:rsidR="003F55E0" w:rsidRPr="003F55E0" w:rsidRDefault="003F55E0" w:rsidP="003F55E0">
            <w:r>
              <w:t>SMA 16</w:t>
            </w:r>
          </w:p>
        </w:tc>
        <w:tc>
          <w:tcPr>
            <w:tcW w:w="1387" w:type="dxa"/>
            <w:tcBorders>
              <w:top w:val="single" w:sz="4" w:space="0" w:color="000000"/>
              <w:left w:val="single" w:sz="4" w:space="0" w:color="000000"/>
              <w:bottom w:val="single" w:sz="4" w:space="0" w:color="000000"/>
              <w:right w:val="single" w:sz="4" w:space="0" w:color="000000"/>
            </w:tcBorders>
            <w:vAlign w:val="center"/>
          </w:tcPr>
          <w:p w14:paraId="05C1A633" w14:textId="77777777" w:rsidR="003F55E0" w:rsidRPr="003F55E0" w:rsidRDefault="003F55E0" w:rsidP="003F55E0">
            <w:r>
              <w:t xml:space="preserve">≥ 0,98 </w:t>
            </w:r>
          </w:p>
        </w:tc>
        <w:tc>
          <w:tcPr>
            <w:tcW w:w="1683" w:type="dxa"/>
            <w:tcBorders>
              <w:top w:val="single" w:sz="4" w:space="0" w:color="000000"/>
              <w:left w:val="single" w:sz="4" w:space="0" w:color="000000"/>
              <w:bottom w:val="single" w:sz="4" w:space="0" w:color="000000"/>
              <w:right w:val="single" w:sz="4" w:space="0" w:color="000000"/>
            </w:tcBorders>
            <w:vAlign w:val="center"/>
          </w:tcPr>
          <w:p w14:paraId="71119D75" w14:textId="77777777" w:rsidR="003F55E0" w:rsidRPr="003F55E0" w:rsidRDefault="003F55E0" w:rsidP="003F55E0">
            <w:r>
              <w:t xml:space="preserve">1–6 </w:t>
            </w:r>
          </w:p>
        </w:tc>
        <w:tc>
          <w:tcPr>
            <w:tcW w:w="1685" w:type="dxa"/>
            <w:tcBorders>
              <w:top w:val="single" w:sz="4" w:space="0" w:color="000000"/>
              <w:left w:val="single" w:sz="4" w:space="0" w:color="000000"/>
              <w:bottom w:val="single" w:sz="4" w:space="0" w:color="000000"/>
              <w:right w:val="single" w:sz="4" w:space="0" w:color="000000"/>
            </w:tcBorders>
            <w:vAlign w:val="center"/>
          </w:tcPr>
          <w:p w14:paraId="4BD294C7" w14:textId="77777777" w:rsidR="003F55E0" w:rsidRPr="003F55E0" w:rsidRDefault="003F55E0" w:rsidP="003F55E0">
            <w:r>
              <w:t xml:space="preserve">≥ 0,94 </w:t>
            </w:r>
          </w:p>
        </w:tc>
        <w:tc>
          <w:tcPr>
            <w:tcW w:w="1750" w:type="dxa"/>
            <w:tcBorders>
              <w:top w:val="single" w:sz="4" w:space="0" w:color="000000"/>
              <w:left w:val="single" w:sz="4" w:space="0" w:color="000000"/>
              <w:bottom w:val="single" w:sz="4" w:space="0" w:color="000000"/>
              <w:right w:val="single" w:sz="4" w:space="0" w:color="000000"/>
            </w:tcBorders>
            <w:vAlign w:val="center"/>
          </w:tcPr>
          <w:p w14:paraId="68A2791F" w14:textId="77777777" w:rsidR="003F55E0" w:rsidRPr="003F55E0" w:rsidRDefault="003F55E0" w:rsidP="003F55E0">
            <w:r>
              <w:t xml:space="preserve">≤ 8,0 </w:t>
            </w:r>
          </w:p>
        </w:tc>
      </w:tr>
    </w:tbl>
    <w:p w14:paraId="6E875472" w14:textId="77777777" w:rsidR="003F55E0" w:rsidRPr="003F55E0" w:rsidRDefault="003F55E0" w:rsidP="003F55E0">
      <w:pPr>
        <w:rPr>
          <w:b/>
          <w:bCs/>
        </w:rPr>
      </w:pPr>
    </w:p>
    <w:p w14:paraId="58BF9498" w14:textId="77777777" w:rsidR="003F55E0" w:rsidRPr="003F55E0" w:rsidRDefault="003F55E0" w:rsidP="003F55E0">
      <w:pPr>
        <w:rPr>
          <w:b/>
          <w:bCs/>
        </w:rPr>
      </w:pPr>
      <w:r>
        <w:br w:type="page"/>
      </w:r>
    </w:p>
    <w:p w14:paraId="48B47CBC" w14:textId="77777777" w:rsidR="003F55E0" w:rsidRPr="003F55E0" w:rsidRDefault="003F55E0" w:rsidP="003F55E0">
      <w:pPr>
        <w:rPr>
          <w:b/>
          <w:bCs/>
        </w:rPr>
        <w:sectPr w:rsidR="003F55E0" w:rsidRPr="003F55E0" w:rsidSect="003F55E0">
          <w:pgSz w:w="11906" w:h="16838"/>
          <w:pgMar w:top="1417" w:right="1417" w:bottom="1417" w:left="1417" w:header="708" w:footer="708" w:gutter="0"/>
          <w:cols w:space="708"/>
          <w:docGrid w:linePitch="360"/>
        </w:sectPr>
      </w:pPr>
    </w:p>
    <w:p w14:paraId="5AE461AF" w14:textId="77777777" w:rsidR="00BE0A03" w:rsidRDefault="003F55E0" w:rsidP="003F55E0">
      <w:pPr>
        <w:jc w:val="right"/>
      </w:pPr>
      <w:r>
        <w:lastRenderedPageBreak/>
        <w:t>Minister van Economische Zaken en Infrastructuur</w:t>
      </w:r>
    </w:p>
    <w:p w14:paraId="32450E0A" w14:textId="77777777" w:rsidR="00BE0A03" w:rsidRDefault="003F55E0" w:rsidP="003F55E0">
      <w:pPr>
        <w:jc w:val="right"/>
      </w:pPr>
      <w:r>
        <w:t>Verordening nr. 101 van 3 augustus 2015</w:t>
      </w:r>
    </w:p>
    <w:p w14:paraId="7492D681" w14:textId="77777777" w:rsidR="00BE0A03" w:rsidRDefault="003F55E0" w:rsidP="003F55E0">
      <w:pPr>
        <w:jc w:val="right"/>
      </w:pPr>
      <w:r>
        <w:t>“Kwaliteitseisen voor de wegenbouw”</w:t>
      </w:r>
    </w:p>
    <w:p w14:paraId="65742A04" w14:textId="77777777" w:rsidR="00BE0A03" w:rsidRDefault="003F55E0" w:rsidP="003F55E0">
      <w:pPr>
        <w:jc w:val="right"/>
      </w:pPr>
      <w:r>
        <w:t>Bijlage 10</w:t>
      </w:r>
    </w:p>
    <w:p w14:paraId="4F221941" w14:textId="586CEAAF" w:rsidR="003F55E0" w:rsidRPr="003F55E0" w:rsidRDefault="003F55E0" w:rsidP="003F55E0">
      <w:pPr>
        <w:jc w:val="right"/>
      </w:pPr>
      <w:r>
        <w:t>(</w:t>
      </w:r>
      <w:proofErr w:type="gramStart"/>
      <w:r>
        <w:t>zoals</w:t>
      </w:r>
      <w:proofErr w:type="gramEnd"/>
      <w:r>
        <w:t xml:space="preserve"> gewijzigd)</w:t>
      </w:r>
    </w:p>
    <w:p w14:paraId="6A2FAE19" w14:textId="77777777" w:rsidR="003F55E0" w:rsidRPr="003F55E0" w:rsidRDefault="003F55E0" w:rsidP="003F55E0">
      <w:pPr>
        <w:rPr>
          <w:b/>
          <w:bCs/>
        </w:rPr>
      </w:pPr>
    </w:p>
    <w:p w14:paraId="4236ECF8" w14:textId="77777777" w:rsidR="003F55E0" w:rsidRPr="00C84F89" w:rsidRDefault="003F55E0" w:rsidP="003F55E0">
      <w:pPr>
        <w:jc w:val="center"/>
        <w:rPr>
          <w:b/>
          <w:bCs/>
        </w:rPr>
      </w:pPr>
      <w:r>
        <w:rPr>
          <w:b/>
        </w:rPr>
        <w:t>Bijlage 10</w:t>
      </w:r>
    </w:p>
    <w:p w14:paraId="502DB18C" w14:textId="77777777" w:rsidR="003F55E0" w:rsidRPr="003F55E0" w:rsidRDefault="003F55E0" w:rsidP="003F55E0">
      <w:pPr>
        <w:jc w:val="center"/>
        <w:rPr>
          <w:b/>
          <w:bCs/>
        </w:rPr>
      </w:pPr>
      <w:r>
        <w:rPr>
          <w:b/>
        </w:rPr>
        <w:t>ALGEMENE GRENZEN VAN DE DEELTJESGROOTTEVERDELING VAN ONGEBONDEN MENGSELS</w:t>
      </w:r>
    </w:p>
    <w:p w14:paraId="04011E55" w14:textId="77777777" w:rsidR="003F55E0" w:rsidRPr="003F55E0" w:rsidRDefault="003F55E0" w:rsidP="003F55E0">
      <w:pPr>
        <w:rPr>
          <w:b/>
        </w:rPr>
      </w:pPr>
    </w:p>
    <w:p w14:paraId="39F54785" w14:textId="77777777" w:rsidR="003F55E0" w:rsidRPr="003F55E0" w:rsidRDefault="003F55E0" w:rsidP="003F55E0">
      <w:pPr>
        <w:rPr>
          <w:b/>
        </w:rPr>
      </w:pPr>
    </w:p>
    <w:tbl>
      <w:tblPr>
        <w:tblW w:w="1602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089"/>
        <w:gridCol w:w="1104"/>
        <w:gridCol w:w="1242"/>
        <w:gridCol w:w="827"/>
        <w:gridCol w:w="992"/>
        <w:gridCol w:w="993"/>
        <w:gridCol w:w="1052"/>
        <w:gridCol w:w="966"/>
        <w:gridCol w:w="1104"/>
        <w:gridCol w:w="1130"/>
        <w:gridCol w:w="1078"/>
        <w:gridCol w:w="966"/>
        <w:gridCol w:w="966"/>
        <w:gridCol w:w="967"/>
        <w:gridCol w:w="968"/>
      </w:tblGrid>
      <w:tr w:rsidR="003F55E0" w:rsidRPr="003F55E0" w14:paraId="27A7279A" w14:textId="77777777" w:rsidTr="00D02F9D">
        <w:trPr>
          <w:trHeight w:val="251"/>
        </w:trPr>
        <w:tc>
          <w:tcPr>
            <w:tcW w:w="584" w:type="dxa"/>
            <w:vMerge w:val="restart"/>
          </w:tcPr>
          <w:p w14:paraId="11C58C57" w14:textId="77777777" w:rsidR="003F55E0" w:rsidRPr="003F55E0" w:rsidRDefault="003F55E0" w:rsidP="003F55E0">
            <w:pPr>
              <w:jc w:val="center"/>
              <w:rPr>
                <w:b/>
              </w:rPr>
            </w:pPr>
          </w:p>
          <w:p w14:paraId="62A5A2F8" w14:textId="77777777" w:rsidR="003F55E0" w:rsidRPr="003F55E0" w:rsidRDefault="003F55E0" w:rsidP="003F55E0">
            <w:pPr>
              <w:jc w:val="center"/>
              <w:rPr>
                <w:b/>
              </w:rPr>
            </w:pPr>
          </w:p>
          <w:p w14:paraId="0769FB3C" w14:textId="77777777" w:rsidR="003F55E0" w:rsidRPr="003F55E0" w:rsidRDefault="003F55E0" w:rsidP="003F55E0">
            <w:pPr>
              <w:jc w:val="center"/>
            </w:pPr>
            <w:r>
              <w:t>Positie</w:t>
            </w:r>
          </w:p>
        </w:tc>
        <w:tc>
          <w:tcPr>
            <w:tcW w:w="1089" w:type="dxa"/>
            <w:vMerge w:val="restart"/>
          </w:tcPr>
          <w:p w14:paraId="07D7D8EF" w14:textId="77777777" w:rsidR="003F55E0" w:rsidRPr="003F55E0" w:rsidRDefault="003F55E0" w:rsidP="003F55E0">
            <w:pPr>
              <w:jc w:val="center"/>
              <w:rPr>
                <w:b/>
              </w:rPr>
            </w:pPr>
          </w:p>
          <w:p w14:paraId="7EA9FBC6" w14:textId="77777777" w:rsidR="003F55E0" w:rsidRPr="003F55E0" w:rsidRDefault="003F55E0" w:rsidP="003F55E0">
            <w:pPr>
              <w:jc w:val="center"/>
              <w:rPr>
                <w:b/>
              </w:rPr>
            </w:pPr>
          </w:p>
          <w:p w14:paraId="5A2CC88C" w14:textId="77777777" w:rsidR="003F55E0" w:rsidRPr="003F55E0" w:rsidRDefault="003F55E0" w:rsidP="003F55E0">
            <w:pPr>
              <w:jc w:val="center"/>
            </w:pPr>
            <w:r>
              <w:t>Mengsel</w:t>
            </w:r>
          </w:p>
        </w:tc>
        <w:tc>
          <w:tcPr>
            <w:tcW w:w="1104" w:type="dxa"/>
            <w:vMerge w:val="restart"/>
          </w:tcPr>
          <w:p w14:paraId="0316992D" w14:textId="77777777" w:rsidR="003F55E0" w:rsidRPr="003F55E0" w:rsidRDefault="003F55E0" w:rsidP="003F55E0">
            <w:pPr>
              <w:jc w:val="center"/>
              <w:rPr>
                <w:bCs/>
              </w:rPr>
            </w:pPr>
            <w:r>
              <w:t>Categorie EVS-EN 13285</w:t>
            </w:r>
          </w:p>
        </w:tc>
        <w:tc>
          <w:tcPr>
            <w:tcW w:w="1242" w:type="dxa"/>
            <w:vMerge w:val="restart"/>
          </w:tcPr>
          <w:p w14:paraId="14FEFF8F" w14:textId="77777777" w:rsidR="003F55E0" w:rsidRPr="003F55E0" w:rsidRDefault="003F55E0" w:rsidP="003F55E0">
            <w:pPr>
              <w:jc w:val="center"/>
              <w:rPr>
                <w:b/>
              </w:rPr>
            </w:pPr>
          </w:p>
          <w:p w14:paraId="159ECAE0" w14:textId="77777777" w:rsidR="003F55E0" w:rsidRPr="003F55E0" w:rsidRDefault="003F55E0" w:rsidP="003F55E0">
            <w:pPr>
              <w:jc w:val="center"/>
              <w:rPr>
                <w:b/>
              </w:rPr>
            </w:pPr>
          </w:p>
          <w:p w14:paraId="07D9A727" w14:textId="77777777" w:rsidR="003F55E0" w:rsidRPr="003F55E0" w:rsidRDefault="003F55E0" w:rsidP="003F55E0">
            <w:pPr>
              <w:jc w:val="center"/>
            </w:pPr>
            <w:r>
              <w:t>Gebruik</w:t>
            </w:r>
          </w:p>
        </w:tc>
        <w:tc>
          <w:tcPr>
            <w:tcW w:w="12009" w:type="dxa"/>
            <w:gridSpan w:val="12"/>
          </w:tcPr>
          <w:p w14:paraId="43EE4A5A" w14:textId="77777777" w:rsidR="003F55E0" w:rsidRPr="003F55E0" w:rsidRDefault="003F55E0" w:rsidP="003F55E0">
            <w:pPr>
              <w:jc w:val="center"/>
            </w:pPr>
            <w:r>
              <w:t>Zeefgrootte, mm</w:t>
            </w:r>
          </w:p>
        </w:tc>
      </w:tr>
      <w:tr w:rsidR="003F55E0" w:rsidRPr="003F55E0" w14:paraId="2A8EC1B5" w14:textId="77777777" w:rsidTr="00D02F9D">
        <w:trPr>
          <w:trHeight w:val="223"/>
        </w:trPr>
        <w:tc>
          <w:tcPr>
            <w:tcW w:w="584" w:type="dxa"/>
            <w:vMerge/>
            <w:tcBorders>
              <w:top w:val="nil"/>
            </w:tcBorders>
          </w:tcPr>
          <w:p w14:paraId="52A70EAB" w14:textId="77777777" w:rsidR="003F55E0" w:rsidRPr="003F55E0" w:rsidRDefault="003F55E0" w:rsidP="003F55E0">
            <w:pPr>
              <w:jc w:val="center"/>
            </w:pPr>
          </w:p>
        </w:tc>
        <w:tc>
          <w:tcPr>
            <w:tcW w:w="1089" w:type="dxa"/>
            <w:vMerge/>
            <w:tcBorders>
              <w:top w:val="nil"/>
            </w:tcBorders>
          </w:tcPr>
          <w:p w14:paraId="6DEA9A26" w14:textId="77777777" w:rsidR="003F55E0" w:rsidRPr="003F55E0" w:rsidRDefault="003F55E0" w:rsidP="003F55E0">
            <w:pPr>
              <w:jc w:val="center"/>
            </w:pPr>
          </w:p>
        </w:tc>
        <w:tc>
          <w:tcPr>
            <w:tcW w:w="1104" w:type="dxa"/>
            <w:vMerge/>
          </w:tcPr>
          <w:p w14:paraId="5C289073" w14:textId="77777777" w:rsidR="003F55E0" w:rsidRPr="003F55E0" w:rsidRDefault="003F55E0" w:rsidP="003F55E0">
            <w:pPr>
              <w:jc w:val="center"/>
            </w:pPr>
          </w:p>
        </w:tc>
        <w:tc>
          <w:tcPr>
            <w:tcW w:w="1242" w:type="dxa"/>
            <w:vMerge/>
            <w:tcBorders>
              <w:top w:val="nil"/>
            </w:tcBorders>
          </w:tcPr>
          <w:p w14:paraId="1B3A744E" w14:textId="77777777" w:rsidR="003F55E0" w:rsidRPr="003F55E0" w:rsidRDefault="003F55E0" w:rsidP="003F55E0">
            <w:pPr>
              <w:jc w:val="center"/>
            </w:pPr>
          </w:p>
        </w:tc>
        <w:tc>
          <w:tcPr>
            <w:tcW w:w="827" w:type="dxa"/>
          </w:tcPr>
          <w:p w14:paraId="2C8C96B9" w14:textId="77777777" w:rsidR="003F55E0" w:rsidRPr="003F55E0" w:rsidRDefault="003F55E0" w:rsidP="003F55E0">
            <w:pPr>
              <w:jc w:val="center"/>
            </w:pPr>
            <w:r>
              <w:t>80</w:t>
            </w:r>
          </w:p>
        </w:tc>
        <w:tc>
          <w:tcPr>
            <w:tcW w:w="992" w:type="dxa"/>
          </w:tcPr>
          <w:p w14:paraId="287F0E80" w14:textId="77777777" w:rsidR="003F55E0" w:rsidRPr="003F55E0" w:rsidRDefault="003F55E0" w:rsidP="003F55E0">
            <w:pPr>
              <w:jc w:val="center"/>
            </w:pPr>
            <w:r>
              <w:t>63</w:t>
            </w:r>
          </w:p>
        </w:tc>
        <w:tc>
          <w:tcPr>
            <w:tcW w:w="993" w:type="dxa"/>
          </w:tcPr>
          <w:p w14:paraId="2D5C0F6E" w14:textId="77777777" w:rsidR="003F55E0" w:rsidRPr="003F55E0" w:rsidRDefault="003F55E0" w:rsidP="003F55E0">
            <w:pPr>
              <w:jc w:val="center"/>
            </w:pPr>
            <w:r>
              <w:t>40</w:t>
            </w:r>
          </w:p>
        </w:tc>
        <w:tc>
          <w:tcPr>
            <w:tcW w:w="1052" w:type="dxa"/>
          </w:tcPr>
          <w:p w14:paraId="3FC8BB03" w14:textId="77777777" w:rsidR="003F55E0" w:rsidRPr="003F55E0" w:rsidRDefault="003F55E0" w:rsidP="003F55E0">
            <w:pPr>
              <w:jc w:val="center"/>
            </w:pPr>
            <w:r>
              <w:t>31,5</w:t>
            </w:r>
          </w:p>
        </w:tc>
        <w:tc>
          <w:tcPr>
            <w:tcW w:w="966" w:type="dxa"/>
          </w:tcPr>
          <w:p w14:paraId="12BB49F2" w14:textId="77777777" w:rsidR="003F55E0" w:rsidRPr="003F55E0" w:rsidRDefault="003F55E0" w:rsidP="003F55E0">
            <w:pPr>
              <w:jc w:val="center"/>
            </w:pPr>
            <w:r>
              <w:t>20</w:t>
            </w:r>
          </w:p>
        </w:tc>
        <w:tc>
          <w:tcPr>
            <w:tcW w:w="1104" w:type="dxa"/>
          </w:tcPr>
          <w:p w14:paraId="361072F3" w14:textId="77777777" w:rsidR="003F55E0" w:rsidRPr="003F55E0" w:rsidRDefault="003F55E0" w:rsidP="003F55E0">
            <w:pPr>
              <w:jc w:val="center"/>
            </w:pPr>
            <w:r>
              <w:t>16</w:t>
            </w:r>
          </w:p>
        </w:tc>
        <w:tc>
          <w:tcPr>
            <w:tcW w:w="1130" w:type="dxa"/>
          </w:tcPr>
          <w:p w14:paraId="3016AA4C" w14:textId="77777777" w:rsidR="003F55E0" w:rsidRPr="003F55E0" w:rsidRDefault="003F55E0" w:rsidP="003F55E0">
            <w:pPr>
              <w:jc w:val="center"/>
            </w:pPr>
            <w:r>
              <w:t>8</w:t>
            </w:r>
          </w:p>
        </w:tc>
        <w:tc>
          <w:tcPr>
            <w:tcW w:w="1078" w:type="dxa"/>
          </w:tcPr>
          <w:p w14:paraId="708FED2A" w14:textId="77777777" w:rsidR="003F55E0" w:rsidRPr="003F55E0" w:rsidRDefault="003F55E0" w:rsidP="003F55E0">
            <w:pPr>
              <w:jc w:val="center"/>
            </w:pPr>
            <w:r>
              <w:t>4</w:t>
            </w:r>
          </w:p>
        </w:tc>
        <w:tc>
          <w:tcPr>
            <w:tcW w:w="966" w:type="dxa"/>
          </w:tcPr>
          <w:p w14:paraId="5C8A5001" w14:textId="77777777" w:rsidR="003F55E0" w:rsidRPr="003F55E0" w:rsidRDefault="003F55E0" w:rsidP="003F55E0">
            <w:pPr>
              <w:jc w:val="center"/>
            </w:pPr>
            <w:r>
              <w:t>2</w:t>
            </w:r>
          </w:p>
        </w:tc>
        <w:tc>
          <w:tcPr>
            <w:tcW w:w="966" w:type="dxa"/>
          </w:tcPr>
          <w:p w14:paraId="412C17FF" w14:textId="77777777" w:rsidR="003F55E0" w:rsidRPr="003F55E0" w:rsidRDefault="003F55E0" w:rsidP="003F55E0">
            <w:pPr>
              <w:jc w:val="center"/>
            </w:pPr>
            <w:r>
              <w:t>1</w:t>
            </w:r>
          </w:p>
        </w:tc>
        <w:tc>
          <w:tcPr>
            <w:tcW w:w="967" w:type="dxa"/>
          </w:tcPr>
          <w:p w14:paraId="53A15F1D" w14:textId="77777777" w:rsidR="003F55E0" w:rsidRPr="003F55E0" w:rsidRDefault="003F55E0" w:rsidP="003F55E0">
            <w:pPr>
              <w:jc w:val="center"/>
            </w:pPr>
            <w:r>
              <w:t>0,5</w:t>
            </w:r>
          </w:p>
        </w:tc>
        <w:tc>
          <w:tcPr>
            <w:tcW w:w="968" w:type="dxa"/>
          </w:tcPr>
          <w:p w14:paraId="70CAAE54" w14:textId="77777777" w:rsidR="003F55E0" w:rsidRPr="003F55E0" w:rsidRDefault="003F55E0" w:rsidP="003F55E0">
            <w:pPr>
              <w:jc w:val="center"/>
            </w:pPr>
            <w:r>
              <w:t>0,063</w:t>
            </w:r>
          </w:p>
        </w:tc>
      </w:tr>
      <w:tr w:rsidR="003F55E0" w:rsidRPr="003F55E0" w14:paraId="28C82F83" w14:textId="77777777" w:rsidTr="00D02F9D">
        <w:trPr>
          <w:trHeight w:val="226"/>
        </w:trPr>
        <w:tc>
          <w:tcPr>
            <w:tcW w:w="584" w:type="dxa"/>
            <w:vMerge/>
            <w:tcBorders>
              <w:top w:val="nil"/>
            </w:tcBorders>
          </w:tcPr>
          <w:p w14:paraId="41A9F387" w14:textId="77777777" w:rsidR="003F55E0" w:rsidRPr="003F55E0" w:rsidRDefault="003F55E0" w:rsidP="003F55E0">
            <w:pPr>
              <w:jc w:val="center"/>
            </w:pPr>
          </w:p>
        </w:tc>
        <w:tc>
          <w:tcPr>
            <w:tcW w:w="1089" w:type="dxa"/>
            <w:vMerge/>
            <w:tcBorders>
              <w:top w:val="nil"/>
            </w:tcBorders>
          </w:tcPr>
          <w:p w14:paraId="2FF0536B" w14:textId="77777777" w:rsidR="003F55E0" w:rsidRPr="003F55E0" w:rsidRDefault="003F55E0" w:rsidP="003F55E0">
            <w:pPr>
              <w:jc w:val="center"/>
            </w:pPr>
          </w:p>
        </w:tc>
        <w:tc>
          <w:tcPr>
            <w:tcW w:w="1104" w:type="dxa"/>
            <w:vMerge/>
          </w:tcPr>
          <w:p w14:paraId="31BCED63" w14:textId="77777777" w:rsidR="003F55E0" w:rsidRPr="003F55E0" w:rsidRDefault="003F55E0" w:rsidP="003F55E0">
            <w:pPr>
              <w:jc w:val="center"/>
            </w:pPr>
          </w:p>
        </w:tc>
        <w:tc>
          <w:tcPr>
            <w:tcW w:w="1242" w:type="dxa"/>
            <w:vMerge/>
            <w:tcBorders>
              <w:top w:val="nil"/>
            </w:tcBorders>
          </w:tcPr>
          <w:p w14:paraId="37EBCDAD" w14:textId="77777777" w:rsidR="003F55E0" w:rsidRPr="003F55E0" w:rsidRDefault="003F55E0" w:rsidP="003F55E0">
            <w:pPr>
              <w:jc w:val="center"/>
            </w:pPr>
          </w:p>
        </w:tc>
        <w:tc>
          <w:tcPr>
            <w:tcW w:w="12009" w:type="dxa"/>
            <w:gridSpan w:val="12"/>
          </w:tcPr>
          <w:p w14:paraId="6C3E3019" w14:textId="77777777" w:rsidR="003F55E0" w:rsidRPr="003F55E0" w:rsidRDefault="003F55E0" w:rsidP="003F55E0">
            <w:pPr>
              <w:jc w:val="center"/>
            </w:pPr>
            <w:r>
              <w:t>Passeert een zeef, in gewichtspercenten</w:t>
            </w:r>
          </w:p>
        </w:tc>
      </w:tr>
      <w:tr w:rsidR="003F55E0" w:rsidRPr="003F55E0" w14:paraId="1EC21C3D" w14:textId="77777777" w:rsidTr="00D02F9D">
        <w:trPr>
          <w:trHeight w:val="193"/>
        </w:trPr>
        <w:tc>
          <w:tcPr>
            <w:tcW w:w="584" w:type="dxa"/>
          </w:tcPr>
          <w:p w14:paraId="22D374F5" w14:textId="77777777" w:rsidR="003F55E0" w:rsidRPr="003F55E0" w:rsidRDefault="003F55E0" w:rsidP="003F55E0">
            <w:pPr>
              <w:jc w:val="center"/>
            </w:pPr>
            <w:r>
              <w:t>1</w:t>
            </w:r>
          </w:p>
        </w:tc>
        <w:tc>
          <w:tcPr>
            <w:tcW w:w="1089" w:type="dxa"/>
          </w:tcPr>
          <w:p w14:paraId="253A8F9B" w14:textId="77777777" w:rsidR="003F55E0" w:rsidRPr="003F55E0" w:rsidRDefault="003F55E0" w:rsidP="003F55E0">
            <w:pPr>
              <w:jc w:val="center"/>
            </w:pPr>
            <w:r>
              <w:t>0/31,5</w:t>
            </w:r>
          </w:p>
        </w:tc>
        <w:tc>
          <w:tcPr>
            <w:tcW w:w="1104" w:type="dxa"/>
          </w:tcPr>
          <w:p w14:paraId="52A3F46A" w14:textId="0BFD177C" w:rsidR="003F55E0" w:rsidRPr="003F55E0" w:rsidRDefault="003F55E0" w:rsidP="003F55E0">
            <w:pPr>
              <w:jc w:val="center"/>
              <w:rPr>
                <w:bCs/>
                <w:vertAlign w:val="subscript"/>
              </w:rPr>
            </w:pPr>
            <w:r>
              <w:rPr>
                <w:i/>
              </w:rPr>
              <w:t>G</w:t>
            </w:r>
            <w:r>
              <w:rPr>
                <w:vertAlign w:val="subscript"/>
              </w:rPr>
              <w:t>O</w:t>
            </w:r>
          </w:p>
        </w:tc>
        <w:tc>
          <w:tcPr>
            <w:tcW w:w="1242" w:type="dxa"/>
            <w:vMerge w:val="restart"/>
          </w:tcPr>
          <w:p w14:paraId="76E46ECE" w14:textId="77777777" w:rsidR="003F55E0" w:rsidRPr="003F55E0" w:rsidRDefault="003F55E0" w:rsidP="003F55E0">
            <w:pPr>
              <w:jc w:val="center"/>
            </w:pPr>
            <w:r>
              <w:t>Onderzijde niet behandeld met bindmiddel</w:t>
            </w:r>
          </w:p>
        </w:tc>
        <w:tc>
          <w:tcPr>
            <w:tcW w:w="827" w:type="dxa"/>
          </w:tcPr>
          <w:p w14:paraId="347BCF0C" w14:textId="77777777" w:rsidR="003F55E0" w:rsidRPr="003F55E0" w:rsidRDefault="003F55E0" w:rsidP="003F55E0">
            <w:pPr>
              <w:jc w:val="center"/>
            </w:pPr>
          </w:p>
        </w:tc>
        <w:tc>
          <w:tcPr>
            <w:tcW w:w="992" w:type="dxa"/>
          </w:tcPr>
          <w:p w14:paraId="0CC2BCBB" w14:textId="77777777" w:rsidR="003F55E0" w:rsidRPr="003F55E0" w:rsidRDefault="003F55E0" w:rsidP="003F55E0">
            <w:pPr>
              <w:jc w:val="center"/>
            </w:pPr>
          </w:p>
        </w:tc>
        <w:tc>
          <w:tcPr>
            <w:tcW w:w="993" w:type="dxa"/>
          </w:tcPr>
          <w:p w14:paraId="25CEFC58" w14:textId="77777777" w:rsidR="003F55E0" w:rsidRPr="003F55E0" w:rsidRDefault="003F55E0" w:rsidP="003F55E0">
            <w:pPr>
              <w:jc w:val="center"/>
            </w:pPr>
            <w:r>
              <w:t>100</w:t>
            </w:r>
          </w:p>
        </w:tc>
        <w:tc>
          <w:tcPr>
            <w:tcW w:w="1052" w:type="dxa"/>
          </w:tcPr>
          <w:p w14:paraId="10B38E78" w14:textId="77777777" w:rsidR="003F55E0" w:rsidRPr="003F55E0" w:rsidRDefault="003F55E0" w:rsidP="003F55E0">
            <w:pPr>
              <w:jc w:val="center"/>
            </w:pPr>
            <w:r>
              <w:t>85–99</w:t>
            </w:r>
          </w:p>
        </w:tc>
        <w:tc>
          <w:tcPr>
            <w:tcW w:w="966" w:type="dxa"/>
          </w:tcPr>
          <w:p w14:paraId="536D448B" w14:textId="77777777" w:rsidR="003F55E0" w:rsidRPr="003F55E0" w:rsidRDefault="003F55E0" w:rsidP="003F55E0">
            <w:pPr>
              <w:jc w:val="center"/>
            </w:pPr>
            <w:r>
              <w:t>-</w:t>
            </w:r>
          </w:p>
        </w:tc>
        <w:tc>
          <w:tcPr>
            <w:tcW w:w="1104" w:type="dxa"/>
          </w:tcPr>
          <w:p w14:paraId="21EB761E" w14:textId="77777777" w:rsidR="003F55E0" w:rsidRPr="003F55E0" w:rsidRDefault="003F55E0" w:rsidP="003F55E0">
            <w:pPr>
              <w:jc w:val="center"/>
            </w:pPr>
            <w:r>
              <w:t>50–78</w:t>
            </w:r>
          </w:p>
        </w:tc>
        <w:tc>
          <w:tcPr>
            <w:tcW w:w="1130" w:type="dxa"/>
          </w:tcPr>
          <w:p w14:paraId="611F2CC5" w14:textId="77777777" w:rsidR="003F55E0" w:rsidRPr="003F55E0" w:rsidRDefault="003F55E0" w:rsidP="003F55E0">
            <w:pPr>
              <w:jc w:val="center"/>
            </w:pPr>
            <w:r>
              <w:t>31–60</w:t>
            </w:r>
          </w:p>
        </w:tc>
        <w:tc>
          <w:tcPr>
            <w:tcW w:w="1078" w:type="dxa"/>
          </w:tcPr>
          <w:p w14:paraId="04057389" w14:textId="77777777" w:rsidR="003F55E0" w:rsidRPr="003F55E0" w:rsidRDefault="003F55E0" w:rsidP="003F55E0">
            <w:pPr>
              <w:jc w:val="center"/>
            </w:pPr>
            <w:r>
              <w:t>18–46</w:t>
            </w:r>
          </w:p>
        </w:tc>
        <w:tc>
          <w:tcPr>
            <w:tcW w:w="966" w:type="dxa"/>
          </w:tcPr>
          <w:p w14:paraId="602E0CCF" w14:textId="77777777" w:rsidR="003F55E0" w:rsidRPr="003F55E0" w:rsidRDefault="003F55E0" w:rsidP="003F55E0">
            <w:pPr>
              <w:jc w:val="center"/>
            </w:pPr>
            <w:r>
              <w:t>10–35</w:t>
            </w:r>
          </w:p>
        </w:tc>
        <w:tc>
          <w:tcPr>
            <w:tcW w:w="966" w:type="dxa"/>
          </w:tcPr>
          <w:p w14:paraId="61AE4A52" w14:textId="77777777" w:rsidR="003F55E0" w:rsidRPr="003F55E0" w:rsidRDefault="003F55E0" w:rsidP="003F55E0">
            <w:pPr>
              <w:jc w:val="center"/>
            </w:pPr>
            <w:r>
              <w:t>6–26</w:t>
            </w:r>
          </w:p>
        </w:tc>
        <w:tc>
          <w:tcPr>
            <w:tcW w:w="967" w:type="dxa"/>
          </w:tcPr>
          <w:p w14:paraId="766625EB" w14:textId="077AB775" w:rsidR="003F55E0" w:rsidRPr="003F55E0" w:rsidRDefault="003F55E0" w:rsidP="003F55E0">
            <w:pPr>
              <w:jc w:val="center"/>
            </w:pPr>
            <w:r>
              <w:t>0–20</w:t>
            </w:r>
          </w:p>
        </w:tc>
        <w:tc>
          <w:tcPr>
            <w:tcW w:w="968" w:type="dxa"/>
          </w:tcPr>
          <w:p w14:paraId="47C9AB6C" w14:textId="77777777" w:rsidR="003F55E0" w:rsidRPr="003F55E0" w:rsidRDefault="003F55E0" w:rsidP="003F55E0">
            <w:pPr>
              <w:jc w:val="center"/>
            </w:pPr>
            <w:r>
              <w:t>0–5</w:t>
            </w:r>
          </w:p>
        </w:tc>
      </w:tr>
      <w:tr w:rsidR="003F55E0" w:rsidRPr="003F55E0" w14:paraId="1D4BD2D3" w14:textId="77777777" w:rsidTr="00D02F9D">
        <w:trPr>
          <w:trHeight w:val="212"/>
        </w:trPr>
        <w:tc>
          <w:tcPr>
            <w:tcW w:w="584" w:type="dxa"/>
          </w:tcPr>
          <w:p w14:paraId="17C20703" w14:textId="77777777" w:rsidR="003F55E0" w:rsidRPr="003F55E0" w:rsidRDefault="003F55E0" w:rsidP="003F55E0">
            <w:pPr>
              <w:jc w:val="center"/>
            </w:pPr>
            <w:r>
              <w:t>2</w:t>
            </w:r>
          </w:p>
        </w:tc>
        <w:tc>
          <w:tcPr>
            <w:tcW w:w="1089" w:type="dxa"/>
          </w:tcPr>
          <w:p w14:paraId="0993B012" w14:textId="77777777" w:rsidR="003F55E0" w:rsidRPr="003F55E0" w:rsidRDefault="003F55E0" w:rsidP="003F55E0">
            <w:pPr>
              <w:jc w:val="center"/>
            </w:pPr>
            <w:r>
              <w:t>0/31,5</w:t>
            </w:r>
          </w:p>
        </w:tc>
        <w:tc>
          <w:tcPr>
            <w:tcW w:w="1104" w:type="dxa"/>
          </w:tcPr>
          <w:p w14:paraId="01D65BF0" w14:textId="09DCBAF4" w:rsidR="003F55E0" w:rsidRPr="003F55E0" w:rsidRDefault="003F55E0" w:rsidP="003F55E0">
            <w:pPr>
              <w:jc w:val="center"/>
            </w:pPr>
            <w:r>
              <w:rPr>
                <w:i/>
              </w:rPr>
              <w:t>G</w:t>
            </w:r>
            <w:r>
              <w:rPr>
                <w:vertAlign w:val="subscript"/>
              </w:rPr>
              <w:t>P</w:t>
            </w:r>
          </w:p>
        </w:tc>
        <w:tc>
          <w:tcPr>
            <w:tcW w:w="1242" w:type="dxa"/>
            <w:vMerge/>
            <w:tcBorders>
              <w:top w:val="nil"/>
            </w:tcBorders>
          </w:tcPr>
          <w:p w14:paraId="1791BEE9" w14:textId="77777777" w:rsidR="003F55E0" w:rsidRPr="003F55E0" w:rsidRDefault="003F55E0" w:rsidP="003F55E0">
            <w:pPr>
              <w:jc w:val="center"/>
            </w:pPr>
          </w:p>
        </w:tc>
        <w:tc>
          <w:tcPr>
            <w:tcW w:w="827" w:type="dxa"/>
          </w:tcPr>
          <w:p w14:paraId="4D55B761" w14:textId="77777777" w:rsidR="003F55E0" w:rsidRPr="003F55E0" w:rsidRDefault="003F55E0" w:rsidP="003F55E0">
            <w:pPr>
              <w:jc w:val="center"/>
            </w:pPr>
          </w:p>
        </w:tc>
        <w:tc>
          <w:tcPr>
            <w:tcW w:w="992" w:type="dxa"/>
          </w:tcPr>
          <w:p w14:paraId="6C68E0B3" w14:textId="77777777" w:rsidR="003F55E0" w:rsidRPr="003F55E0" w:rsidRDefault="003F55E0" w:rsidP="003F55E0">
            <w:pPr>
              <w:jc w:val="center"/>
            </w:pPr>
          </w:p>
        </w:tc>
        <w:tc>
          <w:tcPr>
            <w:tcW w:w="993" w:type="dxa"/>
          </w:tcPr>
          <w:p w14:paraId="0E81126A" w14:textId="77777777" w:rsidR="003F55E0" w:rsidRPr="003F55E0" w:rsidRDefault="003F55E0" w:rsidP="003F55E0">
            <w:pPr>
              <w:jc w:val="center"/>
            </w:pPr>
            <w:r>
              <w:t>100</w:t>
            </w:r>
          </w:p>
        </w:tc>
        <w:tc>
          <w:tcPr>
            <w:tcW w:w="1052" w:type="dxa"/>
          </w:tcPr>
          <w:p w14:paraId="08AC28D4" w14:textId="77777777" w:rsidR="003F55E0" w:rsidRPr="003F55E0" w:rsidRDefault="003F55E0" w:rsidP="003F55E0">
            <w:pPr>
              <w:jc w:val="center"/>
            </w:pPr>
            <w:r>
              <w:t>85–99</w:t>
            </w:r>
          </w:p>
        </w:tc>
        <w:tc>
          <w:tcPr>
            <w:tcW w:w="966" w:type="dxa"/>
          </w:tcPr>
          <w:p w14:paraId="4FA708F5" w14:textId="77777777" w:rsidR="003F55E0" w:rsidRPr="003F55E0" w:rsidRDefault="003F55E0" w:rsidP="003F55E0">
            <w:pPr>
              <w:jc w:val="center"/>
            </w:pPr>
            <w:r>
              <w:t>-</w:t>
            </w:r>
          </w:p>
        </w:tc>
        <w:tc>
          <w:tcPr>
            <w:tcW w:w="1104" w:type="dxa"/>
          </w:tcPr>
          <w:p w14:paraId="560F84D5" w14:textId="77777777" w:rsidR="003F55E0" w:rsidRPr="003F55E0" w:rsidRDefault="003F55E0" w:rsidP="003F55E0">
            <w:pPr>
              <w:jc w:val="center"/>
            </w:pPr>
            <w:r>
              <w:t>43–81</w:t>
            </w:r>
          </w:p>
        </w:tc>
        <w:tc>
          <w:tcPr>
            <w:tcW w:w="1130" w:type="dxa"/>
          </w:tcPr>
          <w:p w14:paraId="2C67B373" w14:textId="77777777" w:rsidR="003F55E0" w:rsidRPr="003F55E0" w:rsidRDefault="003F55E0" w:rsidP="003F55E0">
            <w:pPr>
              <w:jc w:val="center"/>
            </w:pPr>
            <w:r>
              <w:t>23–66</w:t>
            </w:r>
          </w:p>
        </w:tc>
        <w:tc>
          <w:tcPr>
            <w:tcW w:w="1078" w:type="dxa"/>
          </w:tcPr>
          <w:p w14:paraId="215C14FA" w14:textId="77777777" w:rsidR="003F55E0" w:rsidRPr="003F55E0" w:rsidRDefault="003F55E0" w:rsidP="003F55E0">
            <w:pPr>
              <w:jc w:val="center"/>
            </w:pPr>
            <w:r>
              <w:t>12–53</w:t>
            </w:r>
          </w:p>
        </w:tc>
        <w:tc>
          <w:tcPr>
            <w:tcW w:w="966" w:type="dxa"/>
          </w:tcPr>
          <w:p w14:paraId="649D7842" w14:textId="77777777" w:rsidR="003F55E0" w:rsidRPr="003F55E0" w:rsidRDefault="003F55E0" w:rsidP="003F55E0">
            <w:pPr>
              <w:jc w:val="center"/>
            </w:pPr>
            <w:r>
              <w:t>6–42</w:t>
            </w:r>
          </w:p>
        </w:tc>
        <w:tc>
          <w:tcPr>
            <w:tcW w:w="966" w:type="dxa"/>
          </w:tcPr>
          <w:p w14:paraId="081B7A16" w14:textId="77777777" w:rsidR="003F55E0" w:rsidRPr="003F55E0" w:rsidRDefault="003F55E0" w:rsidP="003F55E0">
            <w:pPr>
              <w:jc w:val="center"/>
            </w:pPr>
            <w:r>
              <w:t>3–32</w:t>
            </w:r>
          </w:p>
        </w:tc>
        <w:tc>
          <w:tcPr>
            <w:tcW w:w="967" w:type="dxa"/>
          </w:tcPr>
          <w:p w14:paraId="21274602" w14:textId="73FCE600" w:rsidR="003F55E0" w:rsidRPr="003F55E0" w:rsidRDefault="003F55E0" w:rsidP="003F55E0">
            <w:pPr>
              <w:jc w:val="center"/>
            </w:pPr>
            <w:r>
              <w:t>0–20</w:t>
            </w:r>
          </w:p>
        </w:tc>
        <w:tc>
          <w:tcPr>
            <w:tcW w:w="968" w:type="dxa"/>
          </w:tcPr>
          <w:p w14:paraId="7AB56E0D" w14:textId="77777777" w:rsidR="003F55E0" w:rsidRPr="003F55E0" w:rsidRDefault="003F55E0" w:rsidP="003F55E0">
            <w:pPr>
              <w:jc w:val="center"/>
            </w:pPr>
            <w:r>
              <w:t>0–5</w:t>
            </w:r>
          </w:p>
        </w:tc>
      </w:tr>
      <w:tr w:rsidR="003F55E0" w:rsidRPr="003F55E0" w14:paraId="714C0D50" w14:textId="77777777" w:rsidTr="00D02F9D">
        <w:trPr>
          <w:trHeight w:val="216"/>
        </w:trPr>
        <w:tc>
          <w:tcPr>
            <w:tcW w:w="584" w:type="dxa"/>
          </w:tcPr>
          <w:p w14:paraId="00E3A3ED" w14:textId="77777777" w:rsidR="003F55E0" w:rsidRPr="003F55E0" w:rsidRDefault="003F55E0" w:rsidP="003F55E0">
            <w:pPr>
              <w:jc w:val="center"/>
            </w:pPr>
            <w:r>
              <w:t>3</w:t>
            </w:r>
          </w:p>
        </w:tc>
        <w:tc>
          <w:tcPr>
            <w:tcW w:w="1089" w:type="dxa"/>
          </w:tcPr>
          <w:p w14:paraId="38146236" w14:textId="77777777" w:rsidR="003F55E0" w:rsidRPr="003F55E0" w:rsidRDefault="003F55E0" w:rsidP="003F55E0">
            <w:pPr>
              <w:jc w:val="center"/>
            </w:pPr>
            <w:r>
              <w:t>0/63</w:t>
            </w:r>
          </w:p>
        </w:tc>
        <w:tc>
          <w:tcPr>
            <w:tcW w:w="1104" w:type="dxa"/>
          </w:tcPr>
          <w:p w14:paraId="0108846B" w14:textId="48107327" w:rsidR="003F55E0" w:rsidRPr="003F55E0" w:rsidRDefault="003F55E0" w:rsidP="003F55E0">
            <w:pPr>
              <w:jc w:val="center"/>
            </w:pPr>
            <w:r>
              <w:rPr>
                <w:i/>
              </w:rPr>
              <w:t>G</w:t>
            </w:r>
            <w:r>
              <w:rPr>
                <w:vertAlign w:val="subscript"/>
              </w:rPr>
              <w:t>O</w:t>
            </w:r>
          </w:p>
        </w:tc>
        <w:tc>
          <w:tcPr>
            <w:tcW w:w="1242" w:type="dxa"/>
            <w:vMerge/>
            <w:tcBorders>
              <w:top w:val="nil"/>
            </w:tcBorders>
          </w:tcPr>
          <w:p w14:paraId="3ECCB0CC" w14:textId="77777777" w:rsidR="003F55E0" w:rsidRPr="003F55E0" w:rsidRDefault="003F55E0" w:rsidP="003F55E0">
            <w:pPr>
              <w:jc w:val="center"/>
            </w:pPr>
          </w:p>
        </w:tc>
        <w:tc>
          <w:tcPr>
            <w:tcW w:w="827" w:type="dxa"/>
          </w:tcPr>
          <w:p w14:paraId="4DA7573B" w14:textId="77777777" w:rsidR="003F55E0" w:rsidRPr="003F55E0" w:rsidRDefault="003F55E0" w:rsidP="003F55E0">
            <w:pPr>
              <w:jc w:val="center"/>
            </w:pPr>
            <w:r>
              <w:t>100</w:t>
            </w:r>
          </w:p>
        </w:tc>
        <w:tc>
          <w:tcPr>
            <w:tcW w:w="992" w:type="dxa"/>
          </w:tcPr>
          <w:p w14:paraId="27CA3E90" w14:textId="77777777" w:rsidR="003F55E0" w:rsidRPr="003F55E0" w:rsidRDefault="003F55E0" w:rsidP="003F55E0">
            <w:pPr>
              <w:jc w:val="center"/>
            </w:pPr>
            <w:r>
              <w:t>85–99</w:t>
            </w:r>
          </w:p>
        </w:tc>
        <w:tc>
          <w:tcPr>
            <w:tcW w:w="993" w:type="dxa"/>
          </w:tcPr>
          <w:p w14:paraId="14CEE2C5" w14:textId="77777777" w:rsidR="003F55E0" w:rsidRPr="003F55E0" w:rsidRDefault="003F55E0" w:rsidP="003F55E0">
            <w:pPr>
              <w:jc w:val="center"/>
            </w:pPr>
            <w:r>
              <w:t>-</w:t>
            </w:r>
          </w:p>
        </w:tc>
        <w:tc>
          <w:tcPr>
            <w:tcW w:w="1052" w:type="dxa"/>
          </w:tcPr>
          <w:p w14:paraId="5FDE6BD7" w14:textId="77777777" w:rsidR="003F55E0" w:rsidRPr="003F55E0" w:rsidRDefault="003F55E0" w:rsidP="003F55E0">
            <w:pPr>
              <w:jc w:val="center"/>
            </w:pPr>
            <w:r>
              <w:t>50–78</w:t>
            </w:r>
          </w:p>
        </w:tc>
        <w:tc>
          <w:tcPr>
            <w:tcW w:w="966" w:type="dxa"/>
          </w:tcPr>
          <w:p w14:paraId="72DC13DC" w14:textId="77777777" w:rsidR="003F55E0" w:rsidRPr="003F55E0" w:rsidRDefault="003F55E0" w:rsidP="003F55E0">
            <w:pPr>
              <w:jc w:val="center"/>
            </w:pPr>
            <w:r>
              <w:t>-</w:t>
            </w:r>
          </w:p>
        </w:tc>
        <w:tc>
          <w:tcPr>
            <w:tcW w:w="1104" w:type="dxa"/>
          </w:tcPr>
          <w:p w14:paraId="7FF2C951" w14:textId="77777777" w:rsidR="003F55E0" w:rsidRPr="003F55E0" w:rsidRDefault="003F55E0" w:rsidP="003F55E0">
            <w:pPr>
              <w:jc w:val="center"/>
            </w:pPr>
            <w:r>
              <w:t>31–60</w:t>
            </w:r>
          </w:p>
        </w:tc>
        <w:tc>
          <w:tcPr>
            <w:tcW w:w="1130" w:type="dxa"/>
          </w:tcPr>
          <w:p w14:paraId="202225EF" w14:textId="77777777" w:rsidR="003F55E0" w:rsidRPr="003F55E0" w:rsidRDefault="003F55E0" w:rsidP="003F55E0">
            <w:pPr>
              <w:jc w:val="center"/>
            </w:pPr>
            <w:r>
              <w:t>18–46</w:t>
            </w:r>
          </w:p>
        </w:tc>
        <w:tc>
          <w:tcPr>
            <w:tcW w:w="1078" w:type="dxa"/>
          </w:tcPr>
          <w:p w14:paraId="5915FEE4" w14:textId="77777777" w:rsidR="003F55E0" w:rsidRPr="003F55E0" w:rsidRDefault="003F55E0" w:rsidP="003F55E0">
            <w:pPr>
              <w:jc w:val="center"/>
            </w:pPr>
            <w:r>
              <w:t>10–35</w:t>
            </w:r>
          </w:p>
        </w:tc>
        <w:tc>
          <w:tcPr>
            <w:tcW w:w="966" w:type="dxa"/>
          </w:tcPr>
          <w:p w14:paraId="3BE04C17" w14:textId="77777777" w:rsidR="003F55E0" w:rsidRPr="003F55E0" w:rsidRDefault="003F55E0" w:rsidP="003F55E0">
            <w:pPr>
              <w:jc w:val="center"/>
            </w:pPr>
            <w:r>
              <w:t>6–26</w:t>
            </w:r>
          </w:p>
        </w:tc>
        <w:tc>
          <w:tcPr>
            <w:tcW w:w="966" w:type="dxa"/>
          </w:tcPr>
          <w:p w14:paraId="26D3F156" w14:textId="77777777" w:rsidR="003F55E0" w:rsidRPr="003F55E0" w:rsidRDefault="003F55E0" w:rsidP="003F55E0">
            <w:pPr>
              <w:jc w:val="center"/>
            </w:pPr>
            <w:r>
              <w:t>0–20</w:t>
            </w:r>
          </w:p>
        </w:tc>
        <w:tc>
          <w:tcPr>
            <w:tcW w:w="967" w:type="dxa"/>
          </w:tcPr>
          <w:p w14:paraId="2BDE480F" w14:textId="77777777" w:rsidR="003F55E0" w:rsidRPr="003F55E0" w:rsidRDefault="003F55E0" w:rsidP="003F55E0">
            <w:pPr>
              <w:jc w:val="center"/>
            </w:pPr>
            <w:r>
              <w:t>0–20</w:t>
            </w:r>
          </w:p>
        </w:tc>
        <w:tc>
          <w:tcPr>
            <w:tcW w:w="968" w:type="dxa"/>
          </w:tcPr>
          <w:p w14:paraId="097F3CCC" w14:textId="77777777" w:rsidR="003F55E0" w:rsidRPr="003F55E0" w:rsidRDefault="003F55E0" w:rsidP="003F55E0">
            <w:pPr>
              <w:jc w:val="center"/>
            </w:pPr>
            <w:r>
              <w:t>0–5</w:t>
            </w:r>
          </w:p>
        </w:tc>
      </w:tr>
      <w:tr w:rsidR="003F55E0" w:rsidRPr="003F55E0" w14:paraId="61DA713B" w14:textId="77777777" w:rsidTr="00D02F9D">
        <w:trPr>
          <w:trHeight w:val="211"/>
        </w:trPr>
        <w:tc>
          <w:tcPr>
            <w:tcW w:w="584" w:type="dxa"/>
          </w:tcPr>
          <w:p w14:paraId="0DA7A08A" w14:textId="77777777" w:rsidR="003F55E0" w:rsidRPr="003F55E0" w:rsidRDefault="003F55E0" w:rsidP="003F55E0">
            <w:pPr>
              <w:jc w:val="center"/>
            </w:pPr>
            <w:r>
              <w:t>4</w:t>
            </w:r>
          </w:p>
        </w:tc>
        <w:tc>
          <w:tcPr>
            <w:tcW w:w="1089" w:type="dxa"/>
          </w:tcPr>
          <w:p w14:paraId="72C685F4" w14:textId="77777777" w:rsidR="003F55E0" w:rsidRPr="003F55E0" w:rsidRDefault="003F55E0" w:rsidP="003F55E0">
            <w:pPr>
              <w:jc w:val="center"/>
            </w:pPr>
            <w:r>
              <w:t>0/63</w:t>
            </w:r>
          </w:p>
        </w:tc>
        <w:tc>
          <w:tcPr>
            <w:tcW w:w="1104" w:type="dxa"/>
          </w:tcPr>
          <w:p w14:paraId="450DC7D8" w14:textId="3A1E8166" w:rsidR="003F55E0" w:rsidRPr="003F55E0" w:rsidRDefault="003F55E0" w:rsidP="003F55E0">
            <w:pPr>
              <w:jc w:val="center"/>
            </w:pPr>
            <w:r>
              <w:rPr>
                <w:i/>
              </w:rPr>
              <w:t>G</w:t>
            </w:r>
            <w:r>
              <w:rPr>
                <w:vertAlign w:val="subscript"/>
              </w:rPr>
              <w:t>P</w:t>
            </w:r>
          </w:p>
        </w:tc>
        <w:tc>
          <w:tcPr>
            <w:tcW w:w="1242" w:type="dxa"/>
            <w:vMerge/>
            <w:tcBorders>
              <w:top w:val="nil"/>
            </w:tcBorders>
          </w:tcPr>
          <w:p w14:paraId="3CB87A04" w14:textId="77777777" w:rsidR="003F55E0" w:rsidRPr="003F55E0" w:rsidRDefault="003F55E0" w:rsidP="003F55E0">
            <w:pPr>
              <w:jc w:val="center"/>
            </w:pPr>
          </w:p>
        </w:tc>
        <w:tc>
          <w:tcPr>
            <w:tcW w:w="827" w:type="dxa"/>
          </w:tcPr>
          <w:p w14:paraId="0C2DCF69" w14:textId="77777777" w:rsidR="003F55E0" w:rsidRPr="003F55E0" w:rsidRDefault="003F55E0" w:rsidP="003F55E0">
            <w:pPr>
              <w:jc w:val="center"/>
            </w:pPr>
            <w:r>
              <w:t>100</w:t>
            </w:r>
          </w:p>
        </w:tc>
        <w:tc>
          <w:tcPr>
            <w:tcW w:w="992" w:type="dxa"/>
          </w:tcPr>
          <w:p w14:paraId="547AAE75" w14:textId="77777777" w:rsidR="003F55E0" w:rsidRPr="003F55E0" w:rsidRDefault="003F55E0" w:rsidP="003F55E0">
            <w:pPr>
              <w:jc w:val="center"/>
            </w:pPr>
            <w:r>
              <w:t>85–99</w:t>
            </w:r>
          </w:p>
        </w:tc>
        <w:tc>
          <w:tcPr>
            <w:tcW w:w="993" w:type="dxa"/>
          </w:tcPr>
          <w:p w14:paraId="0183AB01" w14:textId="77777777" w:rsidR="003F55E0" w:rsidRPr="003F55E0" w:rsidRDefault="003F55E0" w:rsidP="003F55E0">
            <w:pPr>
              <w:jc w:val="center"/>
            </w:pPr>
            <w:r>
              <w:t>-</w:t>
            </w:r>
          </w:p>
        </w:tc>
        <w:tc>
          <w:tcPr>
            <w:tcW w:w="1052" w:type="dxa"/>
          </w:tcPr>
          <w:p w14:paraId="3343F971" w14:textId="77777777" w:rsidR="003F55E0" w:rsidRPr="003F55E0" w:rsidRDefault="003F55E0" w:rsidP="003F55E0">
            <w:pPr>
              <w:jc w:val="center"/>
            </w:pPr>
            <w:r>
              <w:t>43–81</w:t>
            </w:r>
          </w:p>
        </w:tc>
        <w:tc>
          <w:tcPr>
            <w:tcW w:w="966" w:type="dxa"/>
          </w:tcPr>
          <w:p w14:paraId="51C520BE" w14:textId="77777777" w:rsidR="003F55E0" w:rsidRPr="003F55E0" w:rsidRDefault="003F55E0" w:rsidP="003F55E0">
            <w:pPr>
              <w:jc w:val="center"/>
            </w:pPr>
            <w:r>
              <w:t>-</w:t>
            </w:r>
          </w:p>
        </w:tc>
        <w:tc>
          <w:tcPr>
            <w:tcW w:w="1104" w:type="dxa"/>
          </w:tcPr>
          <w:p w14:paraId="12860350" w14:textId="77777777" w:rsidR="003F55E0" w:rsidRPr="003F55E0" w:rsidRDefault="003F55E0" w:rsidP="003F55E0">
            <w:pPr>
              <w:jc w:val="center"/>
            </w:pPr>
            <w:r>
              <w:t>23–66</w:t>
            </w:r>
          </w:p>
        </w:tc>
        <w:tc>
          <w:tcPr>
            <w:tcW w:w="1130" w:type="dxa"/>
          </w:tcPr>
          <w:p w14:paraId="3A39CD9C" w14:textId="77777777" w:rsidR="003F55E0" w:rsidRPr="003F55E0" w:rsidRDefault="003F55E0" w:rsidP="003F55E0">
            <w:pPr>
              <w:jc w:val="center"/>
            </w:pPr>
            <w:r>
              <w:t>12–53</w:t>
            </w:r>
          </w:p>
        </w:tc>
        <w:tc>
          <w:tcPr>
            <w:tcW w:w="1078" w:type="dxa"/>
          </w:tcPr>
          <w:p w14:paraId="5691A054" w14:textId="77777777" w:rsidR="003F55E0" w:rsidRPr="003F55E0" w:rsidRDefault="003F55E0" w:rsidP="003F55E0">
            <w:pPr>
              <w:jc w:val="center"/>
            </w:pPr>
            <w:r>
              <w:t>6–42</w:t>
            </w:r>
          </w:p>
        </w:tc>
        <w:tc>
          <w:tcPr>
            <w:tcW w:w="966" w:type="dxa"/>
          </w:tcPr>
          <w:p w14:paraId="2BC09B5F" w14:textId="77777777" w:rsidR="003F55E0" w:rsidRPr="003F55E0" w:rsidRDefault="003F55E0" w:rsidP="003F55E0">
            <w:pPr>
              <w:jc w:val="center"/>
            </w:pPr>
            <w:r>
              <w:t>3–32</w:t>
            </w:r>
          </w:p>
        </w:tc>
        <w:tc>
          <w:tcPr>
            <w:tcW w:w="966" w:type="dxa"/>
          </w:tcPr>
          <w:p w14:paraId="171551B9" w14:textId="77777777" w:rsidR="003F55E0" w:rsidRPr="003F55E0" w:rsidRDefault="003F55E0" w:rsidP="003F55E0">
            <w:pPr>
              <w:jc w:val="center"/>
            </w:pPr>
            <w:r>
              <w:t>-</w:t>
            </w:r>
          </w:p>
        </w:tc>
        <w:tc>
          <w:tcPr>
            <w:tcW w:w="967" w:type="dxa"/>
          </w:tcPr>
          <w:p w14:paraId="27ECE141" w14:textId="77777777" w:rsidR="003F55E0" w:rsidRPr="003F55E0" w:rsidRDefault="003F55E0" w:rsidP="003F55E0">
            <w:pPr>
              <w:jc w:val="center"/>
            </w:pPr>
            <w:r>
              <w:t>0–20</w:t>
            </w:r>
          </w:p>
        </w:tc>
        <w:tc>
          <w:tcPr>
            <w:tcW w:w="968" w:type="dxa"/>
          </w:tcPr>
          <w:p w14:paraId="458A332F" w14:textId="77777777" w:rsidR="003F55E0" w:rsidRPr="003F55E0" w:rsidRDefault="003F55E0" w:rsidP="003F55E0">
            <w:pPr>
              <w:jc w:val="center"/>
            </w:pPr>
            <w:r>
              <w:t>0–5</w:t>
            </w:r>
          </w:p>
        </w:tc>
      </w:tr>
      <w:tr w:rsidR="003F55E0" w:rsidRPr="003F55E0" w14:paraId="67702957" w14:textId="77777777" w:rsidTr="00D02F9D">
        <w:trPr>
          <w:trHeight w:val="288"/>
        </w:trPr>
        <w:tc>
          <w:tcPr>
            <w:tcW w:w="584" w:type="dxa"/>
          </w:tcPr>
          <w:p w14:paraId="1436D880" w14:textId="77777777" w:rsidR="003F55E0" w:rsidRPr="003F55E0" w:rsidRDefault="003F55E0" w:rsidP="003F55E0">
            <w:pPr>
              <w:jc w:val="center"/>
            </w:pPr>
            <w:r>
              <w:t>5</w:t>
            </w:r>
          </w:p>
        </w:tc>
        <w:tc>
          <w:tcPr>
            <w:tcW w:w="1089" w:type="dxa"/>
          </w:tcPr>
          <w:p w14:paraId="171C67D7" w14:textId="77777777" w:rsidR="003F55E0" w:rsidRPr="003F55E0" w:rsidRDefault="003F55E0" w:rsidP="003F55E0">
            <w:pPr>
              <w:jc w:val="center"/>
            </w:pPr>
            <w:r>
              <w:t>0/16</w:t>
            </w:r>
          </w:p>
        </w:tc>
        <w:tc>
          <w:tcPr>
            <w:tcW w:w="1104" w:type="dxa"/>
          </w:tcPr>
          <w:p w14:paraId="37C86591" w14:textId="3F5704EA" w:rsidR="003F55E0" w:rsidRPr="003F55E0" w:rsidRDefault="003F55E0" w:rsidP="003F55E0">
            <w:pPr>
              <w:jc w:val="center"/>
            </w:pPr>
            <w:r>
              <w:t>-</w:t>
            </w:r>
          </w:p>
        </w:tc>
        <w:tc>
          <w:tcPr>
            <w:tcW w:w="1242" w:type="dxa"/>
            <w:vMerge w:val="restart"/>
          </w:tcPr>
          <w:p w14:paraId="1DED49F0" w14:textId="77777777" w:rsidR="003F55E0" w:rsidRPr="003F55E0" w:rsidRDefault="003F55E0" w:rsidP="003F55E0">
            <w:pPr>
              <w:jc w:val="center"/>
            </w:pPr>
            <w:r>
              <w:t>Grindweg en steunbed</w:t>
            </w:r>
          </w:p>
        </w:tc>
        <w:tc>
          <w:tcPr>
            <w:tcW w:w="827" w:type="dxa"/>
          </w:tcPr>
          <w:p w14:paraId="333A42FF" w14:textId="77777777" w:rsidR="003F55E0" w:rsidRPr="003F55E0" w:rsidRDefault="003F55E0" w:rsidP="003F55E0">
            <w:pPr>
              <w:jc w:val="center"/>
            </w:pPr>
          </w:p>
        </w:tc>
        <w:tc>
          <w:tcPr>
            <w:tcW w:w="992" w:type="dxa"/>
          </w:tcPr>
          <w:p w14:paraId="5D28FD10" w14:textId="77777777" w:rsidR="003F55E0" w:rsidRPr="003F55E0" w:rsidRDefault="003F55E0" w:rsidP="003F55E0">
            <w:pPr>
              <w:jc w:val="center"/>
            </w:pPr>
          </w:p>
        </w:tc>
        <w:tc>
          <w:tcPr>
            <w:tcW w:w="993" w:type="dxa"/>
          </w:tcPr>
          <w:p w14:paraId="08813325" w14:textId="77777777" w:rsidR="003F55E0" w:rsidRPr="003F55E0" w:rsidRDefault="003F55E0" w:rsidP="003F55E0">
            <w:pPr>
              <w:jc w:val="center"/>
            </w:pPr>
            <w:r>
              <w:t>-</w:t>
            </w:r>
          </w:p>
        </w:tc>
        <w:tc>
          <w:tcPr>
            <w:tcW w:w="1052" w:type="dxa"/>
          </w:tcPr>
          <w:p w14:paraId="5F93CE3C" w14:textId="77777777" w:rsidR="003F55E0" w:rsidRPr="003F55E0" w:rsidRDefault="003F55E0" w:rsidP="003F55E0">
            <w:pPr>
              <w:jc w:val="center"/>
            </w:pPr>
            <w:r>
              <w:t>–</w:t>
            </w:r>
          </w:p>
        </w:tc>
        <w:tc>
          <w:tcPr>
            <w:tcW w:w="966" w:type="dxa"/>
          </w:tcPr>
          <w:p w14:paraId="445BABB0" w14:textId="77777777" w:rsidR="003F55E0" w:rsidRPr="003F55E0" w:rsidRDefault="003F55E0" w:rsidP="003F55E0">
            <w:pPr>
              <w:jc w:val="center"/>
            </w:pPr>
            <w:r>
              <w:t>100</w:t>
            </w:r>
          </w:p>
        </w:tc>
        <w:tc>
          <w:tcPr>
            <w:tcW w:w="1104" w:type="dxa"/>
          </w:tcPr>
          <w:p w14:paraId="0BD65B41" w14:textId="77777777" w:rsidR="003F55E0" w:rsidRPr="003F55E0" w:rsidRDefault="003F55E0" w:rsidP="003F55E0">
            <w:pPr>
              <w:jc w:val="center"/>
            </w:pPr>
            <w:r>
              <w:t>85–99</w:t>
            </w:r>
          </w:p>
        </w:tc>
        <w:tc>
          <w:tcPr>
            <w:tcW w:w="1130" w:type="dxa"/>
          </w:tcPr>
          <w:p w14:paraId="397777B3" w14:textId="77777777" w:rsidR="003F55E0" w:rsidRPr="003F55E0" w:rsidRDefault="003F55E0" w:rsidP="003F55E0">
            <w:pPr>
              <w:jc w:val="center"/>
            </w:pPr>
            <w:r>
              <w:t>65–90</w:t>
            </w:r>
          </w:p>
        </w:tc>
        <w:tc>
          <w:tcPr>
            <w:tcW w:w="1078" w:type="dxa"/>
          </w:tcPr>
          <w:p w14:paraId="3737D283" w14:textId="77777777" w:rsidR="003F55E0" w:rsidRPr="003F55E0" w:rsidRDefault="003F55E0" w:rsidP="003F55E0">
            <w:pPr>
              <w:jc w:val="center"/>
            </w:pPr>
            <w:r>
              <w:t>50–75</w:t>
            </w:r>
          </w:p>
        </w:tc>
        <w:tc>
          <w:tcPr>
            <w:tcW w:w="966" w:type="dxa"/>
          </w:tcPr>
          <w:p w14:paraId="7393C62D" w14:textId="77777777" w:rsidR="003F55E0" w:rsidRPr="003F55E0" w:rsidRDefault="003F55E0" w:rsidP="003F55E0">
            <w:pPr>
              <w:jc w:val="center"/>
            </w:pPr>
            <w:r>
              <w:t>35–60</w:t>
            </w:r>
          </w:p>
        </w:tc>
        <w:tc>
          <w:tcPr>
            <w:tcW w:w="966" w:type="dxa"/>
          </w:tcPr>
          <w:p w14:paraId="07269D58" w14:textId="77777777" w:rsidR="003F55E0" w:rsidRPr="003F55E0" w:rsidRDefault="003F55E0" w:rsidP="003F55E0">
            <w:pPr>
              <w:jc w:val="center"/>
            </w:pPr>
            <w:r>
              <w:t>20–45</w:t>
            </w:r>
          </w:p>
        </w:tc>
        <w:tc>
          <w:tcPr>
            <w:tcW w:w="967" w:type="dxa"/>
          </w:tcPr>
          <w:p w14:paraId="6F6EE925" w14:textId="77777777" w:rsidR="003F55E0" w:rsidRPr="003F55E0" w:rsidRDefault="003F55E0" w:rsidP="003F55E0">
            <w:pPr>
              <w:jc w:val="center"/>
            </w:pPr>
            <w:r>
              <w:t>10–40</w:t>
            </w:r>
          </w:p>
        </w:tc>
        <w:tc>
          <w:tcPr>
            <w:tcW w:w="968" w:type="dxa"/>
          </w:tcPr>
          <w:p w14:paraId="0CF328C8" w14:textId="77777777" w:rsidR="003F55E0" w:rsidRPr="003F55E0" w:rsidRDefault="003F55E0" w:rsidP="003F55E0">
            <w:pPr>
              <w:jc w:val="center"/>
            </w:pPr>
            <w:r>
              <w:t>5–15</w:t>
            </w:r>
          </w:p>
        </w:tc>
      </w:tr>
      <w:tr w:rsidR="003F55E0" w:rsidRPr="003F55E0" w14:paraId="026AE356" w14:textId="77777777" w:rsidTr="00D02F9D">
        <w:trPr>
          <w:trHeight w:val="284"/>
        </w:trPr>
        <w:tc>
          <w:tcPr>
            <w:tcW w:w="584" w:type="dxa"/>
          </w:tcPr>
          <w:p w14:paraId="54EEE0A5" w14:textId="77777777" w:rsidR="003F55E0" w:rsidRPr="003F55E0" w:rsidRDefault="003F55E0" w:rsidP="003F55E0">
            <w:pPr>
              <w:jc w:val="center"/>
            </w:pPr>
            <w:r>
              <w:t>6</w:t>
            </w:r>
          </w:p>
        </w:tc>
        <w:tc>
          <w:tcPr>
            <w:tcW w:w="1089" w:type="dxa"/>
          </w:tcPr>
          <w:p w14:paraId="6B2D0550" w14:textId="77777777" w:rsidR="003F55E0" w:rsidRPr="003F55E0" w:rsidRDefault="003F55E0" w:rsidP="003F55E0">
            <w:pPr>
              <w:jc w:val="center"/>
            </w:pPr>
            <w:r>
              <w:t>0/31,5</w:t>
            </w:r>
          </w:p>
        </w:tc>
        <w:tc>
          <w:tcPr>
            <w:tcW w:w="1104" w:type="dxa"/>
          </w:tcPr>
          <w:p w14:paraId="3931B311" w14:textId="08645D34" w:rsidR="003F55E0" w:rsidRPr="003F55E0" w:rsidRDefault="003F55E0" w:rsidP="003F55E0">
            <w:pPr>
              <w:jc w:val="center"/>
            </w:pPr>
            <w:r>
              <w:rPr>
                <w:i/>
              </w:rPr>
              <w:t>-</w:t>
            </w:r>
          </w:p>
        </w:tc>
        <w:tc>
          <w:tcPr>
            <w:tcW w:w="1242" w:type="dxa"/>
            <w:vMerge/>
            <w:tcBorders>
              <w:top w:val="nil"/>
            </w:tcBorders>
          </w:tcPr>
          <w:p w14:paraId="42AF6752" w14:textId="77777777" w:rsidR="003F55E0" w:rsidRPr="003F55E0" w:rsidRDefault="003F55E0" w:rsidP="003F55E0">
            <w:pPr>
              <w:jc w:val="center"/>
            </w:pPr>
          </w:p>
        </w:tc>
        <w:tc>
          <w:tcPr>
            <w:tcW w:w="827" w:type="dxa"/>
          </w:tcPr>
          <w:p w14:paraId="5E1B8DF4" w14:textId="77777777" w:rsidR="003F55E0" w:rsidRPr="003F55E0" w:rsidRDefault="003F55E0" w:rsidP="003F55E0">
            <w:pPr>
              <w:jc w:val="center"/>
            </w:pPr>
          </w:p>
        </w:tc>
        <w:tc>
          <w:tcPr>
            <w:tcW w:w="992" w:type="dxa"/>
          </w:tcPr>
          <w:p w14:paraId="6221A953" w14:textId="77777777" w:rsidR="003F55E0" w:rsidRPr="003F55E0" w:rsidRDefault="003F55E0" w:rsidP="003F55E0">
            <w:pPr>
              <w:jc w:val="center"/>
            </w:pPr>
          </w:p>
        </w:tc>
        <w:tc>
          <w:tcPr>
            <w:tcW w:w="993" w:type="dxa"/>
          </w:tcPr>
          <w:p w14:paraId="4069AD45" w14:textId="77777777" w:rsidR="003F55E0" w:rsidRPr="003F55E0" w:rsidRDefault="003F55E0" w:rsidP="003F55E0">
            <w:pPr>
              <w:jc w:val="center"/>
            </w:pPr>
            <w:r>
              <w:t>100</w:t>
            </w:r>
          </w:p>
        </w:tc>
        <w:tc>
          <w:tcPr>
            <w:tcW w:w="1052" w:type="dxa"/>
          </w:tcPr>
          <w:p w14:paraId="3128FAEC" w14:textId="77777777" w:rsidR="003F55E0" w:rsidRPr="003F55E0" w:rsidRDefault="003F55E0" w:rsidP="003F55E0">
            <w:pPr>
              <w:jc w:val="center"/>
            </w:pPr>
            <w:r>
              <w:t>85–99</w:t>
            </w:r>
          </w:p>
        </w:tc>
        <w:tc>
          <w:tcPr>
            <w:tcW w:w="966" w:type="dxa"/>
          </w:tcPr>
          <w:p w14:paraId="0C2EF4D2" w14:textId="77777777" w:rsidR="003F55E0" w:rsidRPr="003F55E0" w:rsidRDefault="003F55E0" w:rsidP="003F55E0">
            <w:pPr>
              <w:jc w:val="center"/>
            </w:pPr>
            <w:r>
              <w:t>–</w:t>
            </w:r>
          </w:p>
        </w:tc>
        <w:tc>
          <w:tcPr>
            <w:tcW w:w="1104" w:type="dxa"/>
          </w:tcPr>
          <w:p w14:paraId="0072E1E7" w14:textId="77777777" w:rsidR="003F55E0" w:rsidRPr="003F55E0" w:rsidRDefault="003F55E0" w:rsidP="003F55E0">
            <w:pPr>
              <w:jc w:val="center"/>
            </w:pPr>
            <w:r>
              <w:t>60–80</w:t>
            </w:r>
          </w:p>
        </w:tc>
        <w:tc>
          <w:tcPr>
            <w:tcW w:w="1130" w:type="dxa"/>
          </w:tcPr>
          <w:p w14:paraId="52510494" w14:textId="77777777" w:rsidR="003F55E0" w:rsidRPr="003F55E0" w:rsidRDefault="003F55E0" w:rsidP="003F55E0">
            <w:pPr>
              <w:jc w:val="center"/>
            </w:pPr>
            <w:r>
              <w:t>40–65</w:t>
            </w:r>
          </w:p>
        </w:tc>
        <w:tc>
          <w:tcPr>
            <w:tcW w:w="1078" w:type="dxa"/>
          </w:tcPr>
          <w:p w14:paraId="09297B4F" w14:textId="77777777" w:rsidR="003F55E0" w:rsidRPr="003F55E0" w:rsidRDefault="003F55E0" w:rsidP="003F55E0">
            <w:pPr>
              <w:jc w:val="center"/>
            </w:pPr>
            <w:r>
              <w:t>30–55</w:t>
            </w:r>
          </w:p>
        </w:tc>
        <w:tc>
          <w:tcPr>
            <w:tcW w:w="966" w:type="dxa"/>
          </w:tcPr>
          <w:p w14:paraId="176C46F7" w14:textId="77777777" w:rsidR="003F55E0" w:rsidRPr="003F55E0" w:rsidRDefault="003F55E0" w:rsidP="003F55E0">
            <w:pPr>
              <w:jc w:val="center"/>
            </w:pPr>
            <w:r>
              <w:t>20–45</w:t>
            </w:r>
          </w:p>
        </w:tc>
        <w:tc>
          <w:tcPr>
            <w:tcW w:w="966" w:type="dxa"/>
          </w:tcPr>
          <w:p w14:paraId="2FEB2D3A" w14:textId="77777777" w:rsidR="003F55E0" w:rsidRPr="003F55E0" w:rsidRDefault="003F55E0" w:rsidP="003F55E0">
            <w:pPr>
              <w:jc w:val="center"/>
            </w:pPr>
            <w:r>
              <w:t>10–30</w:t>
            </w:r>
          </w:p>
        </w:tc>
        <w:tc>
          <w:tcPr>
            <w:tcW w:w="967" w:type="dxa"/>
          </w:tcPr>
          <w:p w14:paraId="6C32C616" w14:textId="77777777" w:rsidR="003F55E0" w:rsidRPr="003F55E0" w:rsidRDefault="003F55E0" w:rsidP="003F55E0">
            <w:pPr>
              <w:jc w:val="center"/>
            </w:pPr>
            <w:r>
              <w:t>8–20</w:t>
            </w:r>
          </w:p>
        </w:tc>
        <w:tc>
          <w:tcPr>
            <w:tcW w:w="968" w:type="dxa"/>
          </w:tcPr>
          <w:p w14:paraId="72E626C9" w14:textId="77777777" w:rsidR="003F55E0" w:rsidRPr="003F55E0" w:rsidRDefault="003F55E0" w:rsidP="003F55E0">
            <w:pPr>
              <w:jc w:val="center"/>
            </w:pPr>
            <w:r>
              <w:t>8–15</w:t>
            </w:r>
          </w:p>
        </w:tc>
      </w:tr>
    </w:tbl>
    <w:p w14:paraId="59A00686" w14:textId="77777777" w:rsidR="003F55E0" w:rsidRPr="003F55E0" w:rsidRDefault="003F55E0" w:rsidP="003F55E0">
      <w:r>
        <w:t>Opmerking: in onderzijden die niet met het bindmiddel worden behandeld wordt de deeltjesgrootteverdeling bepaald aan de hand van een materiaalmonster dat uit een afgewerkte onderzijde is genomen.</w:t>
      </w:r>
    </w:p>
    <w:p w14:paraId="6B2729EE" w14:textId="77777777" w:rsidR="003F55E0" w:rsidRPr="003F55E0" w:rsidRDefault="003F55E0" w:rsidP="003F55E0">
      <w:r>
        <w:t>In het geval van een mengsel van Pos 1 — Pos 4 moet de door de fabrikant van het mengsel opgegeven deeltjesgrootteverdeling binnen de grenzen liggen van de deeltjesgrootteverdeling die door de fabrikant van de desbetreffende categorie van norm EVS-EN 13285 is opgegeven. De op de bouwplaats genomen controlemonsters mogen de algemene grenzen van de deeltjesgrootteverdeling in bijlage 10 niet overschrijden.</w:t>
      </w:r>
    </w:p>
    <w:p w14:paraId="58808BD7" w14:textId="77777777" w:rsidR="003F55E0" w:rsidRPr="003F55E0" w:rsidRDefault="003F55E0" w:rsidP="003F55E0"/>
    <w:p w14:paraId="7866B89C" w14:textId="77777777" w:rsidR="003F55E0" w:rsidRDefault="003F55E0" w:rsidP="003F55E0">
      <w:pPr>
        <w:jc w:val="right"/>
      </w:pPr>
    </w:p>
    <w:p w14:paraId="1F90EA00" w14:textId="77777777" w:rsidR="00BA2C7C" w:rsidRDefault="003F55E0" w:rsidP="00D02F9D">
      <w:pPr>
        <w:pageBreakBefore/>
        <w:jc w:val="right"/>
      </w:pPr>
      <w:r>
        <w:lastRenderedPageBreak/>
        <w:t>Minister van Economische Zaken en Infrastructuur</w:t>
      </w:r>
    </w:p>
    <w:p w14:paraId="20FABE8B" w14:textId="77777777" w:rsidR="00BA2C7C" w:rsidRDefault="003F55E0" w:rsidP="003F55E0">
      <w:pPr>
        <w:jc w:val="right"/>
      </w:pPr>
      <w:r>
        <w:t>Verordening nr. 101 van 3 augustus 2015</w:t>
      </w:r>
    </w:p>
    <w:p w14:paraId="080DEBBA" w14:textId="77777777" w:rsidR="00BA2C7C" w:rsidRDefault="003F55E0" w:rsidP="003F55E0">
      <w:pPr>
        <w:jc w:val="right"/>
      </w:pPr>
      <w:r>
        <w:t>“Kwaliteitseisen voor de wegenbouw”</w:t>
      </w:r>
    </w:p>
    <w:p w14:paraId="421E8DE4" w14:textId="77777777" w:rsidR="00BA2C7C" w:rsidRDefault="003F55E0" w:rsidP="003F55E0">
      <w:pPr>
        <w:jc w:val="right"/>
      </w:pPr>
      <w:r>
        <w:t>Bijlage 12</w:t>
      </w:r>
    </w:p>
    <w:p w14:paraId="46A4C2ED" w14:textId="6D49C52F" w:rsidR="003F55E0" w:rsidRPr="003F55E0" w:rsidRDefault="003F55E0" w:rsidP="003F55E0">
      <w:pPr>
        <w:jc w:val="right"/>
      </w:pPr>
      <w:r>
        <w:t>(</w:t>
      </w:r>
      <w:proofErr w:type="gramStart"/>
      <w:r>
        <w:t>zoals</w:t>
      </w:r>
      <w:proofErr w:type="gramEnd"/>
      <w:r>
        <w:t xml:space="preserve"> gewijzigd)</w:t>
      </w:r>
    </w:p>
    <w:p w14:paraId="54816FAC" w14:textId="77777777" w:rsidR="003F55E0" w:rsidRDefault="003F55E0" w:rsidP="003F55E0">
      <w:pPr>
        <w:jc w:val="center"/>
        <w:rPr>
          <w:b/>
          <w:bCs/>
        </w:rPr>
      </w:pPr>
    </w:p>
    <w:p w14:paraId="034C16AC" w14:textId="0DC8340C" w:rsidR="003F55E0" w:rsidRPr="003F55E0" w:rsidRDefault="003F55E0" w:rsidP="003F55E0">
      <w:pPr>
        <w:jc w:val="center"/>
        <w:rPr>
          <w:b/>
          <w:bCs/>
        </w:rPr>
      </w:pPr>
      <w:r>
        <w:rPr>
          <w:b/>
        </w:rPr>
        <w:t>Bijlage 12</w:t>
      </w:r>
    </w:p>
    <w:p w14:paraId="5B4AE7F9" w14:textId="79672338" w:rsidR="003F55E0" w:rsidRPr="00AE1E58" w:rsidRDefault="003F55E0" w:rsidP="003F55E0">
      <w:pPr>
        <w:jc w:val="center"/>
        <w:rPr>
          <w:b/>
          <w:bCs/>
          <w:lang w:val="el-GR"/>
        </w:rPr>
      </w:pPr>
      <w:r>
        <w:rPr>
          <w:b/>
        </w:rPr>
        <w:t>MINIMUMEISEN VOOR AGGREGATEN DIE WORDEN GEBRUIKT VOOR OPPERVLAKTEBEHANDELING</w:t>
      </w:r>
    </w:p>
    <w:p w14:paraId="63B21046" w14:textId="77777777" w:rsidR="003F55E0" w:rsidRPr="003F55E0" w:rsidRDefault="003F55E0" w:rsidP="003F55E0"/>
    <w:tbl>
      <w:tblPr>
        <w:tblW w:w="148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559"/>
        <w:gridCol w:w="1843"/>
        <w:gridCol w:w="1701"/>
        <w:gridCol w:w="1559"/>
        <w:gridCol w:w="1701"/>
        <w:gridCol w:w="2258"/>
      </w:tblGrid>
      <w:tr w:rsidR="003F55E0" w:rsidRPr="003F55E0" w14:paraId="2C5FDBFB" w14:textId="77777777" w:rsidTr="00551C29">
        <w:trPr>
          <w:trHeight w:val="997"/>
        </w:trPr>
        <w:tc>
          <w:tcPr>
            <w:tcW w:w="5812" w:type="dxa"/>
            <w:gridSpan w:val="2"/>
          </w:tcPr>
          <w:p w14:paraId="41273EF2" w14:textId="77777777" w:rsidR="003F55E0" w:rsidRPr="003F55E0" w:rsidRDefault="003F55E0" w:rsidP="003F55E0">
            <w:pPr>
              <w:jc w:val="center"/>
            </w:pPr>
          </w:p>
          <w:p w14:paraId="19A6AAE0" w14:textId="77777777" w:rsidR="003F55E0" w:rsidRPr="003F55E0" w:rsidRDefault="003F55E0" w:rsidP="003F55E0">
            <w:pPr>
              <w:jc w:val="center"/>
              <w:rPr>
                <w:b/>
              </w:rPr>
            </w:pPr>
            <w:r>
              <w:rPr>
                <w:b/>
              </w:rPr>
              <w:t>Eigenschap</w:t>
            </w:r>
          </w:p>
        </w:tc>
        <w:tc>
          <w:tcPr>
            <w:tcW w:w="1843" w:type="dxa"/>
          </w:tcPr>
          <w:p w14:paraId="29F60880" w14:textId="77777777" w:rsidR="003F55E0" w:rsidRPr="003F55E0" w:rsidRDefault="003F55E0" w:rsidP="003F55E0">
            <w:pPr>
              <w:jc w:val="center"/>
              <w:rPr>
                <w:b/>
              </w:rPr>
            </w:pPr>
            <w:r>
              <w:rPr>
                <w:b/>
              </w:rPr>
              <w:t>R1</w:t>
            </w:r>
          </w:p>
          <w:p w14:paraId="5EB0E805" w14:textId="77777777" w:rsidR="003F55E0" w:rsidRPr="003F55E0" w:rsidRDefault="003F55E0" w:rsidP="003F55E0">
            <w:pPr>
              <w:jc w:val="center"/>
              <w:rPr>
                <w:b/>
              </w:rPr>
            </w:pPr>
            <w:r>
              <w:rPr>
                <w:b/>
              </w:rPr>
              <w:t>&lt; 500</w:t>
            </w:r>
          </w:p>
          <w:p w14:paraId="43C1F9A2" w14:textId="77777777" w:rsidR="003F55E0" w:rsidRPr="003F55E0" w:rsidRDefault="003F55E0" w:rsidP="003F55E0">
            <w:pPr>
              <w:jc w:val="center"/>
              <w:rPr>
                <w:b/>
              </w:rPr>
            </w:pPr>
            <w:proofErr w:type="gramStart"/>
            <w:r>
              <w:rPr>
                <w:b/>
              </w:rPr>
              <w:t>a</w:t>
            </w:r>
            <w:proofErr w:type="gramEnd"/>
            <w:r>
              <w:rPr>
                <w:b/>
              </w:rPr>
              <w:t>/24h *</w:t>
            </w:r>
          </w:p>
        </w:tc>
        <w:tc>
          <w:tcPr>
            <w:tcW w:w="1701" w:type="dxa"/>
          </w:tcPr>
          <w:p w14:paraId="03929253" w14:textId="77777777" w:rsidR="003F55E0" w:rsidRPr="003F55E0" w:rsidRDefault="003F55E0" w:rsidP="003F55E0">
            <w:pPr>
              <w:jc w:val="center"/>
              <w:rPr>
                <w:b/>
              </w:rPr>
            </w:pPr>
            <w:r>
              <w:rPr>
                <w:b/>
              </w:rPr>
              <w:t>R2, R3 500</w:t>
            </w:r>
            <w:r>
              <w:t>—</w:t>
            </w:r>
            <w:r>
              <w:rPr>
                <w:b/>
              </w:rPr>
              <w:t>2,500</w:t>
            </w:r>
          </w:p>
          <w:p w14:paraId="29041ECB" w14:textId="77777777" w:rsidR="003F55E0" w:rsidRPr="003F55E0" w:rsidRDefault="003F55E0" w:rsidP="003F55E0">
            <w:pPr>
              <w:jc w:val="center"/>
              <w:rPr>
                <w:b/>
              </w:rPr>
            </w:pPr>
            <w:proofErr w:type="gramStart"/>
            <w:r>
              <w:rPr>
                <w:b/>
              </w:rPr>
              <w:t>a</w:t>
            </w:r>
            <w:proofErr w:type="gramEnd"/>
            <w:r>
              <w:rPr>
                <w:b/>
              </w:rPr>
              <w:t>/24h *</w:t>
            </w:r>
          </w:p>
        </w:tc>
        <w:tc>
          <w:tcPr>
            <w:tcW w:w="1559" w:type="dxa"/>
          </w:tcPr>
          <w:p w14:paraId="1E1E24C5" w14:textId="77777777" w:rsidR="003F55E0" w:rsidRPr="003F55E0" w:rsidRDefault="003F55E0" w:rsidP="003F55E0">
            <w:pPr>
              <w:jc w:val="center"/>
              <w:rPr>
                <w:b/>
              </w:rPr>
            </w:pPr>
            <w:r>
              <w:rPr>
                <w:b/>
              </w:rPr>
              <w:t>R4 2,501-8,000</w:t>
            </w:r>
          </w:p>
          <w:p w14:paraId="057556F0" w14:textId="77777777" w:rsidR="003F55E0" w:rsidRPr="003F55E0" w:rsidRDefault="003F55E0" w:rsidP="003F55E0">
            <w:pPr>
              <w:jc w:val="center"/>
              <w:rPr>
                <w:b/>
              </w:rPr>
            </w:pPr>
            <w:proofErr w:type="gramStart"/>
            <w:r>
              <w:rPr>
                <w:b/>
              </w:rPr>
              <w:t>a</w:t>
            </w:r>
            <w:proofErr w:type="gramEnd"/>
            <w:r>
              <w:rPr>
                <w:b/>
              </w:rPr>
              <w:t>/24h *</w:t>
            </w:r>
          </w:p>
        </w:tc>
        <w:tc>
          <w:tcPr>
            <w:tcW w:w="1701" w:type="dxa"/>
          </w:tcPr>
          <w:p w14:paraId="0194DF9A" w14:textId="77777777" w:rsidR="003F55E0" w:rsidRPr="003F55E0" w:rsidRDefault="003F55E0" w:rsidP="003F55E0">
            <w:pPr>
              <w:jc w:val="center"/>
              <w:rPr>
                <w:b/>
              </w:rPr>
            </w:pPr>
            <w:r>
              <w:rPr>
                <w:b/>
              </w:rPr>
              <w:t>R5</w:t>
            </w:r>
          </w:p>
          <w:p w14:paraId="4752C314" w14:textId="77777777" w:rsidR="003F55E0" w:rsidRPr="003F55E0" w:rsidRDefault="003F55E0" w:rsidP="003F55E0">
            <w:pPr>
              <w:jc w:val="center"/>
              <w:rPr>
                <w:b/>
              </w:rPr>
            </w:pPr>
            <w:r>
              <w:rPr>
                <w:b/>
              </w:rPr>
              <w:t>&gt; 8000</w:t>
            </w:r>
          </w:p>
          <w:p w14:paraId="4D12AF95" w14:textId="77777777" w:rsidR="003F55E0" w:rsidRPr="003F55E0" w:rsidRDefault="003F55E0" w:rsidP="003F55E0">
            <w:pPr>
              <w:jc w:val="center"/>
              <w:rPr>
                <w:b/>
              </w:rPr>
            </w:pPr>
            <w:proofErr w:type="gramStart"/>
            <w:r>
              <w:rPr>
                <w:b/>
              </w:rPr>
              <w:t>a</w:t>
            </w:r>
            <w:proofErr w:type="gramEnd"/>
            <w:r>
              <w:rPr>
                <w:b/>
              </w:rPr>
              <w:t>/24h *</w:t>
            </w:r>
          </w:p>
        </w:tc>
        <w:tc>
          <w:tcPr>
            <w:tcW w:w="2258" w:type="dxa"/>
          </w:tcPr>
          <w:p w14:paraId="60E6B9D9" w14:textId="77777777" w:rsidR="003F55E0" w:rsidRPr="003F55E0" w:rsidRDefault="003F55E0" w:rsidP="003F55E0">
            <w:pPr>
              <w:jc w:val="center"/>
            </w:pPr>
          </w:p>
          <w:p w14:paraId="0E74A80E" w14:textId="77777777" w:rsidR="003F55E0" w:rsidRPr="003F55E0" w:rsidRDefault="003F55E0" w:rsidP="003F55E0">
            <w:pPr>
              <w:jc w:val="center"/>
              <w:rPr>
                <w:b/>
              </w:rPr>
            </w:pPr>
            <w:r>
              <w:rPr>
                <w:b/>
              </w:rPr>
              <w:t>Testnorm</w:t>
            </w:r>
          </w:p>
        </w:tc>
      </w:tr>
      <w:tr w:rsidR="003F55E0" w:rsidRPr="003F55E0" w14:paraId="1400837E" w14:textId="77777777" w:rsidTr="00551C29">
        <w:trPr>
          <w:trHeight w:val="460"/>
        </w:trPr>
        <w:tc>
          <w:tcPr>
            <w:tcW w:w="4253" w:type="dxa"/>
          </w:tcPr>
          <w:p w14:paraId="7486FD2E" w14:textId="77777777" w:rsidR="003F55E0" w:rsidRPr="003F55E0" w:rsidRDefault="003F55E0" w:rsidP="003F55E0">
            <w:pPr>
              <w:jc w:val="center"/>
            </w:pPr>
            <w:r>
              <w:t>Deeltjesgrootteverdeling</w:t>
            </w:r>
          </w:p>
        </w:tc>
        <w:tc>
          <w:tcPr>
            <w:tcW w:w="1559" w:type="dxa"/>
          </w:tcPr>
          <w:p w14:paraId="79ABB51C" w14:textId="77777777" w:rsidR="003F55E0" w:rsidRPr="003F55E0" w:rsidRDefault="003F55E0" w:rsidP="003F55E0">
            <w:pPr>
              <w:jc w:val="center"/>
            </w:pPr>
            <w:r>
              <w:t>Categorie</w:t>
            </w:r>
          </w:p>
        </w:tc>
        <w:tc>
          <w:tcPr>
            <w:tcW w:w="3544" w:type="dxa"/>
            <w:gridSpan w:val="2"/>
          </w:tcPr>
          <w:p w14:paraId="4B4FE67C" w14:textId="77777777" w:rsidR="003F55E0" w:rsidRPr="003F55E0" w:rsidRDefault="003F55E0" w:rsidP="003F55E0">
            <w:pPr>
              <w:jc w:val="center"/>
            </w:pPr>
            <w:r>
              <w:t>GC85/20</w:t>
            </w:r>
          </w:p>
        </w:tc>
        <w:tc>
          <w:tcPr>
            <w:tcW w:w="3260" w:type="dxa"/>
            <w:gridSpan w:val="2"/>
          </w:tcPr>
          <w:p w14:paraId="534A11DD" w14:textId="77777777" w:rsidR="003F55E0" w:rsidRPr="003F55E0" w:rsidRDefault="003F55E0" w:rsidP="003F55E0">
            <w:pPr>
              <w:jc w:val="center"/>
            </w:pPr>
            <w:r>
              <w:t>GC90/15</w:t>
            </w:r>
          </w:p>
        </w:tc>
        <w:tc>
          <w:tcPr>
            <w:tcW w:w="2258" w:type="dxa"/>
          </w:tcPr>
          <w:p w14:paraId="5B9C3DED" w14:textId="77777777" w:rsidR="003F55E0" w:rsidRPr="003F55E0" w:rsidRDefault="003F55E0" w:rsidP="003F55E0">
            <w:pPr>
              <w:jc w:val="center"/>
            </w:pPr>
            <w:r>
              <w:t>EVS-EN 13043</w:t>
            </w:r>
          </w:p>
        </w:tc>
      </w:tr>
      <w:tr w:rsidR="003F55E0" w:rsidRPr="003F55E0" w14:paraId="5BFFF0F0" w14:textId="77777777" w:rsidTr="00551C29">
        <w:trPr>
          <w:trHeight w:val="460"/>
        </w:trPr>
        <w:tc>
          <w:tcPr>
            <w:tcW w:w="4253" w:type="dxa"/>
          </w:tcPr>
          <w:p w14:paraId="72C13CCE" w14:textId="77777777" w:rsidR="003F55E0" w:rsidRPr="003F55E0" w:rsidRDefault="003F55E0" w:rsidP="003F55E0">
            <w:pPr>
              <w:jc w:val="center"/>
            </w:pPr>
            <w:r>
              <w:t>Petrografische beschrijving</w:t>
            </w:r>
          </w:p>
        </w:tc>
        <w:tc>
          <w:tcPr>
            <w:tcW w:w="1559" w:type="dxa"/>
          </w:tcPr>
          <w:p w14:paraId="7A46A856" w14:textId="77777777" w:rsidR="003F55E0" w:rsidRPr="003F55E0" w:rsidRDefault="003F55E0" w:rsidP="003F55E0">
            <w:pPr>
              <w:jc w:val="center"/>
            </w:pPr>
          </w:p>
        </w:tc>
        <w:tc>
          <w:tcPr>
            <w:tcW w:w="1843" w:type="dxa"/>
          </w:tcPr>
          <w:p w14:paraId="03B4F50A" w14:textId="77777777" w:rsidR="003F55E0" w:rsidRPr="003F55E0" w:rsidRDefault="003F55E0" w:rsidP="003F55E0">
            <w:pPr>
              <w:jc w:val="center"/>
            </w:pPr>
            <w:r>
              <w:t>Bepaald</w:t>
            </w:r>
          </w:p>
        </w:tc>
        <w:tc>
          <w:tcPr>
            <w:tcW w:w="1701" w:type="dxa"/>
          </w:tcPr>
          <w:p w14:paraId="5029359B" w14:textId="77777777" w:rsidR="003F55E0" w:rsidRPr="003F55E0" w:rsidRDefault="003F55E0" w:rsidP="003F55E0">
            <w:pPr>
              <w:jc w:val="center"/>
            </w:pPr>
            <w:r>
              <w:t>Bepaald</w:t>
            </w:r>
          </w:p>
        </w:tc>
        <w:tc>
          <w:tcPr>
            <w:tcW w:w="1559" w:type="dxa"/>
          </w:tcPr>
          <w:p w14:paraId="57FA6542" w14:textId="77777777" w:rsidR="003F55E0" w:rsidRPr="003F55E0" w:rsidRDefault="003F55E0" w:rsidP="003F55E0">
            <w:pPr>
              <w:jc w:val="center"/>
            </w:pPr>
            <w:r>
              <w:t>Bepaald</w:t>
            </w:r>
          </w:p>
        </w:tc>
        <w:tc>
          <w:tcPr>
            <w:tcW w:w="1701" w:type="dxa"/>
          </w:tcPr>
          <w:p w14:paraId="3C0B68AC" w14:textId="77777777" w:rsidR="003F55E0" w:rsidRPr="003F55E0" w:rsidRDefault="003F55E0" w:rsidP="003F55E0">
            <w:pPr>
              <w:jc w:val="center"/>
            </w:pPr>
            <w:r>
              <w:t>Bepaald</w:t>
            </w:r>
          </w:p>
        </w:tc>
        <w:tc>
          <w:tcPr>
            <w:tcW w:w="2258" w:type="dxa"/>
          </w:tcPr>
          <w:p w14:paraId="1CBB6434" w14:textId="77777777" w:rsidR="003F55E0" w:rsidRPr="003F55E0" w:rsidRDefault="003F55E0" w:rsidP="003F55E0">
            <w:pPr>
              <w:jc w:val="center"/>
            </w:pPr>
            <w:r>
              <w:t>EVS-EN 932-3</w:t>
            </w:r>
          </w:p>
        </w:tc>
      </w:tr>
      <w:tr w:rsidR="003F55E0" w:rsidRPr="003F55E0" w14:paraId="7C299F0D" w14:textId="77777777" w:rsidTr="00551C29">
        <w:trPr>
          <w:trHeight w:val="525"/>
        </w:trPr>
        <w:tc>
          <w:tcPr>
            <w:tcW w:w="4253" w:type="dxa"/>
          </w:tcPr>
          <w:p w14:paraId="04CAFD0F" w14:textId="77777777" w:rsidR="003F55E0" w:rsidRPr="003F55E0" w:rsidRDefault="003F55E0" w:rsidP="003F55E0">
            <w:pPr>
              <w:jc w:val="center"/>
            </w:pPr>
            <w:r>
              <w:t>Weerstand tegen verbrijzeling</w:t>
            </w:r>
          </w:p>
        </w:tc>
        <w:tc>
          <w:tcPr>
            <w:tcW w:w="1559" w:type="dxa"/>
          </w:tcPr>
          <w:p w14:paraId="7A5AE211" w14:textId="77777777" w:rsidR="003F55E0" w:rsidRPr="003F55E0" w:rsidRDefault="003F55E0" w:rsidP="003F55E0">
            <w:pPr>
              <w:jc w:val="center"/>
            </w:pPr>
            <w:r>
              <w:t>Categorie</w:t>
            </w:r>
          </w:p>
        </w:tc>
        <w:tc>
          <w:tcPr>
            <w:tcW w:w="1843" w:type="dxa"/>
          </w:tcPr>
          <w:p w14:paraId="0B9F9A2B" w14:textId="77777777" w:rsidR="003F55E0" w:rsidRPr="003F55E0" w:rsidRDefault="003F55E0" w:rsidP="003F55E0">
            <w:pPr>
              <w:jc w:val="center"/>
            </w:pPr>
            <w:r>
              <w:t>LA30</w:t>
            </w:r>
          </w:p>
        </w:tc>
        <w:tc>
          <w:tcPr>
            <w:tcW w:w="1701" w:type="dxa"/>
          </w:tcPr>
          <w:p w14:paraId="04EA1DFF" w14:textId="77777777" w:rsidR="003F55E0" w:rsidRPr="003F55E0" w:rsidRDefault="003F55E0" w:rsidP="003F55E0">
            <w:pPr>
              <w:jc w:val="center"/>
            </w:pPr>
            <w:r>
              <w:t>LA30</w:t>
            </w:r>
          </w:p>
        </w:tc>
        <w:tc>
          <w:tcPr>
            <w:tcW w:w="1559" w:type="dxa"/>
          </w:tcPr>
          <w:p w14:paraId="248D5FDC" w14:textId="77777777" w:rsidR="003F55E0" w:rsidRPr="003F55E0" w:rsidRDefault="003F55E0" w:rsidP="003F55E0">
            <w:pPr>
              <w:jc w:val="center"/>
            </w:pPr>
            <w:r>
              <w:t>LA25</w:t>
            </w:r>
          </w:p>
        </w:tc>
        <w:tc>
          <w:tcPr>
            <w:tcW w:w="1701" w:type="dxa"/>
          </w:tcPr>
          <w:p w14:paraId="5EA33271" w14:textId="77777777" w:rsidR="003F55E0" w:rsidRPr="003F55E0" w:rsidRDefault="003F55E0" w:rsidP="003F55E0">
            <w:pPr>
              <w:jc w:val="center"/>
            </w:pPr>
            <w:r>
              <w:t>LA20</w:t>
            </w:r>
          </w:p>
        </w:tc>
        <w:tc>
          <w:tcPr>
            <w:tcW w:w="2258" w:type="dxa"/>
          </w:tcPr>
          <w:p w14:paraId="35D309BE" w14:textId="77777777" w:rsidR="003F55E0" w:rsidRPr="003F55E0" w:rsidRDefault="003F55E0" w:rsidP="003F55E0">
            <w:pPr>
              <w:jc w:val="center"/>
            </w:pPr>
            <w:r>
              <w:t>EVS-EN 1097-2</w:t>
            </w:r>
          </w:p>
        </w:tc>
      </w:tr>
      <w:tr w:rsidR="003F55E0" w:rsidRPr="003F55E0" w14:paraId="018BF983" w14:textId="77777777" w:rsidTr="00551C29">
        <w:trPr>
          <w:trHeight w:val="460"/>
        </w:trPr>
        <w:tc>
          <w:tcPr>
            <w:tcW w:w="4253" w:type="dxa"/>
          </w:tcPr>
          <w:p w14:paraId="63C7BE8A" w14:textId="77777777" w:rsidR="003F55E0" w:rsidRPr="003F55E0" w:rsidRDefault="003F55E0" w:rsidP="003F55E0">
            <w:pPr>
              <w:jc w:val="center"/>
            </w:pPr>
            <w:r>
              <w:t>Weerstand tegen slijtage</w:t>
            </w:r>
          </w:p>
        </w:tc>
        <w:tc>
          <w:tcPr>
            <w:tcW w:w="1559" w:type="dxa"/>
          </w:tcPr>
          <w:p w14:paraId="00E5A80D" w14:textId="77777777" w:rsidR="003F55E0" w:rsidRPr="003F55E0" w:rsidRDefault="003F55E0" w:rsidP="003F55E0">
            <w:pPr>
              <w:jc w:val="center"/>
            </w:pPr>
            <w:r>
              <w:t>Categorie</w:t>
            </w:r>
          </w:p>
        </w:tc>
        <w:tc>
          <w:tcPr>
            <w:tcW w:w="1843" w:type="dxa"/>
          </w:tcPr>
          <w:p w14:paraId="056CAE21" w14:textId="77777777" w:rsidR="003F55E0" w:rsidRPr="003F55E0" w:rsidRDefault="003F55E0" w:rsidP="003F55E0">
            <w:pPr>
              <w:jc w:val="center"/>
            </w:pPr>
            <w:r>
              <w:t>No</w:t>
            </w:r>
          </w:p>
        </w:tc>
        <w:tc>
          <w:tcPr>
            <w:tcW w:w="1701" w:type="dxa"/>
          </w:tcPr>
          <w:p w14:paraId="3560CC55" w14:textId="77777777" w:rsidR="003F55E0" w:rsidRPr="003F55E0" w:rsidRDefault="003F55E0" w:rsidP="003F55E0">
            <w:pPr>
              <w:jc w:val="center"/>
            </w:pPr>
            <w:r>
              <w:t>AN19</w:t>
            </w:r>
          </w:p>
        </w:tc>
        <w:tc>
          <w:tcPr>
            <w:tcW w:w="1559" w:type="dxa"/>
          </w:tcPr>
          <w:p w14:paraId="5D8B9B85" w14:textId="77777777" w:rsidR="003F55E0" w:rsidRPr="003F55E0" w:rsidRDefault="003F55E0" w:rsidP="003F55E0">
            <w:pPr>
              <w:jc w:val="center"/>
            </w:pPr>
            <w:r>
              <w:t>AN14</w:t>
            </w:r>
          </w:p>
        </w:tc>
        <w:tc>
          <w:tcPr>
            <w:tcW w:w="1701" w:type="dxa"/>
          </w:tcPr>
          <w:p w14:paraId="4FDA3889" w14:textId="77777777" w:rsidR="003F55E0" w:rsidRPr="003F55E0" w:rsidRDefault="003F55E0" w:rsidP="003F55E0">
            <w:pPr>
              <w:jc w:val="center"/>
            </w:pPr>
            <w:r>
              <w:t>AN10</w:t>
            </w:r>
          </w:p>
        </w:tc>
        <w:tc>
          <w:tcPr>
            <w:tcW w:w="2258" w:type="dxa"/>
          </w:tcPr>
          <w:p w14:paraId="01B7C1A1" w14:textId="77777777" w:rsidR="003F55E0" w:rsidRPr="003F55E0" w:rsidRDefault="003F55E0" w:rsidP="003F55E0">
            <w:pPr>
              <w:jc w:val="center"/>
            </w:pPr>
            <w:r>
              <w:t>EVS-EN 1097-9</w:t>
            </w:r>
          </w:p>
        </w:tc>
      </w:tr>
      <w:tr w:rsidR="003F55E0" w:rsidRPr="003F55E0" w14:paraId="7A8149DF" w14:textId="77777777" w:rsidTr="00551C29">
        <w:trPr>
          <w:trHeight w:val="461"/>
        </w:trPr>
        <w:tc>
          <w:tcPr>
            <w:tcW w:w="4253" w:type="dxa"/>
          </w:tcPr>
          <w:p w14:paraId="71EFB6A9" w14:textId="77777777" w:rsidR="003F55E0" w:rsidRPr="003F55E0" w:rsidRDefault="003F55E0" w:rsidP="003F55E0">
            <w:pPr>
              <w:jc w:val="center"/>
            </w:pPr>
            <w:r>
              <w:t>Vorstbestendigheid in 1 % NaCl-oplossing</w:t>
            </w:r>
          </w:p>
        </w:tc>
        <w:tc>
          <w:tcPr>
            <w:tcW w:w="1559" w:type="dxa"/>
          </w:tcPr>
          <w:p w14:paraId="143F5858" w14:textId="77777777" w:rsidR="003F55E0" w:rsidRPr="003F55E0" w:rsidRDefault="003F55E0" w:rsidP="003F55E0">
            <w:pPr>
              <w:jc w:val="center"/>
            </w:pPr>
            <w:r>
              <w:t>Categorie</w:t>
            </w:r>
          </w:p>
        </w:tc>
        <w:tc>
          <w:tcPr>
            <w:tcW w:w="1843" w:type="dxa"/>
          </w:tcPr>
          <w:p w14:paraId="5D2CDE71" w14:textId="77777777" w:rsidR="003F55E0" w:rsidRPr="003F55E0" w:rsidRDefault="003F55E0" w:rsidP="003F55E0">
            <w:pPr>
              <w:jc w:val="center"/>
            </w:pPr>
            <w:r>
              <w:t>FNaCl. 4</w:t>
            </w:r>
          </w:p>
        </w:tc>
        <w:tc>
          <w:tcPr>
            <w:tcW w:w="1701" w:type="dxa"/>
          </w:tcPr>
          <w:p w14:paraId="1D5E70EA" w14:textId="77777777" w:rsidR="003F55E0" w:rsidRPr="003F55E0" w:rsidRDefault="003F55E0" w:rsidP="003F55E0">
            <w:pPr>
              <w:jc w:val="center"/>
            </w:pPr>
            <w:r>
              <w:t>FNaCl. 4</w:t>
            </w:r>
          </w:p>
        </w:tc>
        <w:tc>
          <w:tcPr>
            <w:tcW w:w="1559" w:type="dxa"/>
          </w:tcPr>
          <w:p w14:paraId="4B1E8F02" w14:textId="77777777" w:rsidR="003F55E0" w:rsidRPr="003F55E0" w:rsidRDefault="003F55E0" w:rsidP="003F55E0">
            <w:pPr>
              <w:jc w:val="center"/>
            </w:pPr>
            <w:r>
              <w:t>FNaCl. 4</w:t>
            </w:r>
          </w:p>
        </w:tc>
        <w:tc>
          <w:tcPr>
            <w:tcW w:w="1701" w:type="dxa"/>
          </w:tcPr>
          <w:p w14:paraId="6E611CEF" w14:textId="77777777" w:rsidR="003F55E0" w:rsidRPr="003F55E0" w:rsidRDefault="003F55E0" w:rsidP="003F55E0">
            <w:pPr>
              <w:jc w:val="center"/>
            </w:pPr>
            <w:r>
              <w:t>FNaCl. 4</w:t>
            </w:r>
          </w:p>
        </w:tc>
        <w:tc>
          <w:tcPr>
            <w:tcW w:w="2258" w:type="dxa"/>
          </w:tcPr>
          <w:p w14:paraId="1E9FFB88" w14:textId="77777777" w:rsidR="003F55E0" w:rsidRPr="003F55E0" w:rsidRDefault="003F55E0" w:rsidP="003F55E0">
            <w:pPr>
              <w:jc w:val="center"/>
            </w:pPr>
            <w:r>
              <w:t>EVS-EN 1367-6</w:t>
            </w:r>
          </w:p>
        </w:tc>
      </w:tr>
      <w:tr w:rsidR="003F55E0" w:rsidRPr="003F55E0" w14:paraId="22A2246F" w14:textId="77777777" w:rsidTr="00551C29">
        <w:trPr>
          <w:trHeight w:val="456"/>
        </w:trPr>
        <w:tc>
          <w:tcPr>
            <w:tcW w:w="4253" w:type="dxa"/>
          </w:tcPr>
          <w:p w14:paraId="4CFBFC6D" w14:textId="77777777" w:rsidR="003F55E0" w:rsidRPr="003F55E0" w:rsidRDefault="003F55E0" w:rsidP="003F55E0">
            <w:pPr>
              <w:jc w:val="center"/>
            </w:pPr>
            <w:r>
              <w:t>Vlokkingsindex</w:t>
            </w:r>
          </w:p>
        </w:tc>
        <w:tc>
          <w:tcPr>
            <w:tcW w:w="1559" w:type="dxa"/>
          </w:tcPr>
          <w:p w14:paraId="7A0FCAB8" w14:textId="77777777" w:rsidR="003F55E0" w:rsidRPr="003F55E0" w:rsidRDefault="003F55E0" w:rsidP="003F55E0">
            <w:pPr>
              <w:jc w:val="center"/>
            </w:pPr>
            <w:r>
              <w:t>Categorie</w:t>
            </w:r>
          </w:p>
        </w:tc>
        <w:tc>
          <w:tcPr>
            <w:tcW w:w="1843" w:type="dxa"/>
          </w:tcPr>
          <w:p w14:paraId="4AE0EEFA" w14:textId="77777777" w:rsidR="003F55E0" w:rsidRPr="003F55E0" w:rsidRDefault="003F55E0" w:rsidP="003F55E0">
            <w:pPr>
              <w:jc w:val="center"/>
            </w:pPr>
            <w:r>
              <w:t>Fl25</w:t>
            </w:r>
          </w:p>
        </w:tc>
        <w:tc>
          <w:tcPr>
            <w:tcW w:w="1701" w:type="dxa"/>
          </w:tcPr>
          <w:p w14:paraId="323CC9A8" w14:textId="77777777" w:rsidR="003F55E0" w:rsidRPr="003F55E0" w:rsidRDefault="003F55E0" w:rsidP="003F55E0">
            <w:pPr>
              <w:jc w:val="center"/>
            </w:pPr>
            <w:r>
              <w:t>Fl20</w:t>
            </w:r>
          </w:p>
        </w:tc>
        <w:tc>
          <w:tcPr>
            <w:tcW w:w="1559" w:type="dxa"/>
          </w:tcPr>
          <w:p w14:paraId="61110DE4" w14:textId="77777777" w:rsidR="003F55E0" w:rsidRPr="003F55E0" w:rsidRDefault="003F55E0" w:rsidP="003F55E0">
            <w:pPr>
              <w:jc w:val="center"/>
            </w:pPr>
            <w:r>
              <w:t>Fl15</w:t>
            </w:r>
          </w:p>
        </w:tc>
        <w:tc>
          <w:tcPr>
            <w:tcW w:w="1701" w:type="dxa"/>
          </w:tcPr>
          <w:p w14:paraId="664ED831" w14:textId="77777777" w:rsidR="003F55E0" w:rsidRPr="003F55E0" w:rsidRDefault="003F55E0" w:rsidP="003F55E0">
            <w:pPr>
              <w:jc w:val="center"/>
            </w:pPr>
            <w:r>
              <w:t>Fl15</w:t>
            </w:r>
          </w:p>
        </w:tc>
        <w:tc>
          <w:tcPr>
            <w:tcW w:w="2258" w:type="dxa"/>
          </w:tcPr>
          <w:p w14:paraId="79C8AD02" w14:textId="77777777" w:rsidR="003F55E0" w:rsidRPr="003F55E0" w:rsidRDefault="003F55E0" w:rsidP="003F55E0">
            <w:pPr>
              <w:jc w:val="center"/>
            </w:pPr>
            <w:r>
              <w:t>EVS-EN 933-3</w:t>
            </w:r>
          </w:p>
        </w:tc>
      </w:tr>
      <w:tr w:rsidR="003F55E0" w:rsidRPr="003F55E0" w14:paraId="6B912811" w14:textId="77777777" w:rsidTr="00551C29">
        <w:trPr>
          <w:trHeight w:val="460"/>
        </w:trPr>
        <w:tc>
          <w:tcPr>
            <w:tcW w:w="4253" w:type="dxa"/>
          </w:tcPr>
          <w:p w14:paraId="415C6FCB" w14:textId="77777777" w:rsidR="003F55E0" w:rsidRPr="003F55E0" w:rsidRDefault="003F55E0" w:rsidP="003F55E0">
            <w:pPr>
              <w:jc w:val="center"/>
            </w:pPr>
            <w:r>
              <w:t>Hechting met bitumineus bindmiddel bij impact * *</w:t>
            </w:r>
          </w:p>
        </w:tc>
        <w:tc>
          <w:tcPr>
            <w:tcW w:w="1559" w:type="dxa"/>
          </w:tcPr>
          <w:p w14:paraId="1239A4CD" w14:textId="77777777" w:rsidR="003F55E0" w:rsidRPr="003F55E0" w:rsidRDefault="003F55E0" w:rsidP="003F55E0">
            <w:pPr>
              <w:jc w:val="center"/>
            </w:pPr>
            <w:r>
              <w:t>%</w:t>
            </w:r>
          </w:p>
        </w:tc>
        <w:tc>
          <w:tcPr>
            <w:tcW w:w="1843" w:type="dxa"/>
          </w:tcPr>
          <w:p w14:paraId="48740F15" w14:textId="77777777" w:rsidR="003F55E0" w:rsidRPr="003F55E0" w:rsidRDefault="003F55E0" w:rsidP="003F55E0">
            <w:pPr>
              <w:jc w:val="center"/>
            </w:pPr>
            <w:r>
              <w:t>≥ 90 %</w:t>
            </w:r>
          </w:p>
        </w:tc>
        <w:tc>
          <w:tcPr>
            <w:tcW w:w="1701" w:type="dxa"/>
          </w:tcPr>
          <w:p w14:paraId="277384D4" w14:textId="77777777" w:rsidR="003F55E0" w:rsidRPr="003F55E0" w:rsidRDefault="003F55E0" w:rsidP="003F55E0">
            <w:pPr>
              <w:jc w:val="center"/>
            </w:pPr>
            <w:r>
              <w:t>≥ 90 %</w:t>
            </w:r>
          </w:p>
        </w:tc>
        <w:tc>
          <w:tcPr>
            <w:tcW w:w="1559" w:type="dxa"/>
          </w:tcPr>
          <w:p w14:paraId="15BB7795" w14:textId="77777777" w:rsidR="003F55E0" w:rsidRPr="003F55E0" w:rsidRDefault="003F55E0" w:rsidP="003F55E0">
            <w:pPr>
              <w:jc w:val="center"/>
            </w:pPr>
            <w:r>
              <w:t>≥ 90 %</w:t>
            </w:r>
          </w:p>
        </w:tc>
        <w:tc>
          <w:tcPr>
            <w:tcW w:w="1701" w:type="dxa"/>
          </w:tcPr>
          <w:p w14:paraId="53E75C4E" w14:textId="77777777" w:rsidR="003F55E0" w:rsidRPr="003F55E0" w:rsidRDefault="003F55E0" w:rsidP="003F55E0">
            <w:pPr>
              <w:jc w:val="center"/>
            </w:pPr>
            <w:r>
              <w:t>≥ 90 %</w:t>
            </w:r>
          </w:p>
        </w:tc>
        <w:tc>
          <w:tcPr>
            <w:tcW w:w="2258" w:type="dxa"/>
          </w:tcPr>
          <w:p w14:paraId="6DCCF99F" w14:textId="77777777" w:rsidR="003F55E0" w:rsidRPr="003F55E0" w:rsidRDefault="003F55E0" w:rsidP="003F55E0">
            <w:pPr>
              <w:jc w:val="center"/>
            </w:pPr>
            <w:r>
              <w:t>EVS-EN 12272-3</w:t>
            </w:r>
          </w:p>
        </w:tc>
      </w:tr>
      <w:tr w:rsidR="003F55E0" w:rsidRPr="003F55E0" w14:paraId="0CB507F2" w14:textId="77777777" w:rsidTr="00551C29">
        <w:trPr>
          <w:trHeight w:val="457"/>
        </w:trPr>
        <w:tc>
          <w:tcPr>
            <w:tcW w:w="4253" w:type="dxa"/>
          </w:tcPr>
          <w:p w14:paraId="3ABB162D" w14:textId="77777777" w:rsidR="003F55E0" w:rsidRPr="003F55E0" w:rsidRDefault="003F55E0" w:rsidP="003F55E0">
            <w:pPr>
              <w:jc w:val="center"/>
            </w:pPr>
            <w:r>
              <w:t>Hechting bij het walsen na 24 uur * *</w:t>
            </w:r>
          </w:p>
        </w:tc>
        <w:tc>
          <w:tcPr>
            <w:tcW w:w="1559" w:type="dxa"/>
          </w:tcPr>
          <w:p w14:paraId="364E9BE2" w14:textId="77777777" w:rsidR="003F55E0" w:rsidRPr="003F55E0" w:rsidRDefault="003F55E0" w:rsidP="003F55E0">
            <w:pPr>
              <w:jc w:val="center"/>
            </w:pPr>
            <w:r>
              <w:t>%</w:t>
            </w:r>
          </w:p>
        </w:tc>
        <w:tc>
          <w:tcPr>
            <w:tcW w:w="1843" w:type="dxa"/>
          </w:tcPr>
          <w:p w14:paraId="00BEF749" w14:textId="77777777" w:rsidR="003F55E0" w:rsidRPr="003F55E0" w:rsidRDefault="003F55E0" w:rsidP="003F55E0">
            <w:pPr>
              <w:jc w:val="center"/>
            </w:pPr>
            <w:r>
              <w:t>≥ 60 %</w:t>
            </w:r>
          </w:p>
        </w:tc>
        <w:tc>
          <w:tcPr>
            <w:tcW w:w="1701" w:type="dxa"/>
          </w:tcPr>
          <w:p w14:paraId="39215841" w14:textId="77777777" w:rsidR="003F55E0" w:rsidRPr="003F55E0" w:rsidRDefault="003F55E0" w:rsidP="003F55E0">
            <w:pPr>
              <w:jc w:val="center"/>
            </w:pPr>
            <w:r>
              <w:t>≥ 60 %</w:t>
            </w:r>
          </w:p>
        </w:tc>
        <w:tc>
          <w:tcPr>
            <w:tcW w:w="1559" w:type="dxa"/>
          </w:tcPr>
          <w:p w14:paraId="4F4379F3" w14:textId="77777777" w:rsidR="003F55E0" w:rsidRPr="003F55E0" w:rsidRDefault="003F55E0" w:rsidP="003F55E0">
            <w:pPr>
              <w:jc w:val="center"/>
            </w:pPr>
            <w:r>
              <w:t>≥ 50 %</w:t>
            </w:r>
          </w:p>
        </w:tc>
        <w:tc>
          <w:tcPr>
            <w:tcW w:w="1701" w:type="dxa"/>
          </w:tcPr>
          <w:p w14:paraId="6AAA3764" w14:textId="77777777" w:rsidR="003F55E0" w:rsidRPr="003F55E0" w:rsidRDefault="003F55E0" w:rsidP="003F55E0">
            <w:pPr>
              <w:jc w:val="center"/>
            </w:pPr>
            <w:r>
              <w:t>≥ 50 %</w:t>
            </w:r>
          </w:p>
        </w:tc>
        <w:tc>
          <w:tcPr>
            <w:tcW w:w="2258" w:type="dxa"/>
          </w:tcPr>
          <w:p w14:paraId="1F1BE88C" w14:textId="77777777" w:rsidR="003F55E0" w:rsidRPr="003F55E0" w:rsidRDefault="003F55E0" w:rsidP="003F55E0">
            <w:pPr>
              <w:jc w:val="center"/>
            </w:pPr>
            <w:r>
              <w:t>EVS-EN 12697-11</w:t>
            </w:r>
          </w:p>
        </w:tc>
      </w:tr>
      <w:tr w:rsidR="003F55E0" w:rsidRPr="003F55E0" w14:paraId="06DF3314" w14:textId="77777777" w:rsidTr="00551C29">
        <w:trPr>
          <w:trHeight w:val="458"/>
        </w:trPr>
        <w:tc>
          <w:tcPr>
            <w:tcW w:w="4253" w:type="dxa"/>
          </w:tcPr>
          <w:p w14:paraId="17FE9486" w14:textId="77777777" w:rsidR="003F55E0" w:rsidRPr="003F55E0" w:rsidRDefault="003F55E0" w:rsidP="003F55E0">
            <w:pPr>
              <w:jc w:val="center"/>
            </w:pPr>
            <w:r>
              <w:t>Gehalte aan fijndeeltjes</w:t>
            </w:r>
          </w:p>
        </w:tc>
        <w:tc>
          <w:tcPr>
            <w:tcW w:w="1559" w:type="dxa"/>
          </w:tcPr>
          <w:p w14:paraId="1C94A8B5" w14:textId="77777777" w:rsidR="003F55E0" w:rsidRPr="003F55E0" w:rsidRDefault="003F55E0" w:rsidP="003F55E0">
            <w:pPr>
              <w:jc w:val="center"/>
            </w:pPr>
            <w:r>
              <w:t>Categorie</w:t>
            </w:r>
          </w:p>
        </w:tc>
        <w:tc>
          <w:tcPr>
            <w:tcW w:w="1843" w:type="dxa"/>
          </w:tcPr>
          <w:p w14:paraId="0E18DAEF" w14:textId="77777777" w:rsidR="003F55E0" w:rsidRPr="003F55E0" w:rsidRDefault="003F55E0" w:rsidP="003F55E0">
            <w:pPr>
              <w:jc w:val="center"/>
            </w:pPr>
            <w:proofErr w:type="gramStart"/>
            <w:r>
              <w:t>f</w:t>
            </w:r>
            <w:proofErr w:type="gramEnd"/>
            <w:r>
              <w:t>2</w:t>
            </w:r>
          </w:p>
        </w:tc>
        <w:tc>
          <w:tcPr>
            <w:tcW w:w="1701" w:type="dxa"/>
          </w:tcPr>
          <w:p w14:paraId="6A93B89F" w14:textId="77777777" w:rsidR="003F55E0" w:rsidRPr="003F55E0" w:rsidRDefault="003F55E0" w:rsidP="003F55E0">
            <w:pPr>
              <w:jc w:val="center"/>
            </w:pPr>
            <w:proofErr w:type="gramStart"/>
            <w:r>
              <w:t>f</w:t>
            </w:r>
            <w:proofErr w:type="gramEnd"/>
            <w:r>
              <w:t>1</w:t>
            </w:r>
          </w:p>
        </w:tc>
        <w:tc>
          <w:tcPr>
            <w:tcW w:w="1559" w:type="dxa"/>
          </w:tcPr>
          <w:p w14:paraId="401E95A3" w14:textId="77777777" w:rsidR="003F55E0" w:rsidRPr="003F55E0" w:rsidRDefault="003F55E0" w:rsidP="003F55E0">
            <w:pPr>
              <w:jc w:val="center"/>
            </w:pPr>
            <w:proofErr w:type="gramStart"/>
            <w:r>
              <w:t>f</w:t>
            </w:r>
            <w:proofErr w:type="gramEnd"/>
            <w:r>
              <w:t>1</w:t>
            </w:r>
          </w:p>
        </w:tc>
        <w:tc>
          <w:tcPr>
            <w:tcW w:w="1701" w:type="dxa"/>
          </w:tcPr>
          <w:p w14:paraId="705F5AF0" w14:textId="77777777" w:rsidR="003F55E0" w:rsidRPr="003F55E0" w:rsidRDefault="003F55E0" w:rsidP="003F55E0">
            <w:pPr>
              <w:jc w:val="center"/>
            </w:pPr>
            <w:proofErr w:type="gramStart"/>
            <w:r>
              <w:t>f</w:t>
            </w:r>
            <w:proofErr w:type="gramEnd"/>
            <w:r>
              <w:t>1.0</w:t>
            </w:r>
          </w:p>
        </w:tc>
        <w:tc>
          <w:tcPr>
            <w:tcW w:w="2258" w:type="dxa"/>
          </w:tcPr>
          <w:p w14:paraId="1530A965" w14:textId="77777777" w:rsidR="003F55E0" w:rsidRPr="003F55E0" w:rsidRDefault="003F55E0" w:rsidP="003F55E0">
            <w:pPr>
              <w:jc w:val="center"/>
            </w:pPr>
            <w:r>
              <w:t>EVS-EN 933-1</w:t>
            </w:r>
          </w:p>
        </w:tc>
      </w:tr>
    </w:tbl>
    <w:p w14:paraId="3BB74043" w14:textId="25660AB5" w:rsidR="003F55E0" w:rsidRPr="003F55E0" w:rsidRDefault="003F55E0" w:rsidP="003F55E0">
      <w:r>
        <w:t>* — beschikbaar verkeersvolume;</w:t>
      </w:r>
    </w:p>
    <w:p w14:paraId="00291473" w14:textId="77777777" w:rsidR="003F55E0" w:rsidRPr="003F55E0" w:rsidRDefault="003F55E0" w:rsidP="003F55E0">
      <w:r>
        <w:t>* * — voor het aantonen van de grip wordt een van de twee methoden gekozen volgens het gebruikte bindmiddel. Als de oppervlaktebehandeling met bitumenemulsie wordt uitgevoerd, wordt de grip beoordeeld aan de hand van norm EVS-EN 12272-3 en als bitumen wordt gebruikt is norm EVS-EN 12697-11 van toepassing;</w:t>
      </w:r>
    </w:p>
    <w:p w14:paraId="55E1D9F1" w14:textId="56B58005" w:rsidR="001B7672" w:rsidRDefault="003F55E0" w:rsidP="00683D28">
      <w:r>
        <w:t>Nr. — niet gereguleerd.</w:t>
      </w:r>
    </w:p>
    <w:sectPr w:rsidR="001B7672" w:rsidSect="003F55E0">
      <w:footerReference w:type="default" r:id="rId12"/>
      <w:pgSz w:w="16838" w:h="11906" w:orient="landscape" w:code="9"/>
      <w:pgMar w:top="851" w:right="680" w:bottom="1701" w:left="68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D3082" w14:textId="77777777" w:rsidR="006832BC" w:rsidRDefault="006832BC" w:rsidP="00674C49">
      <w:r>
        <w:separator/>
      </w:r>
    </w:p>
  </w:endnote>
  <w:endnote w:type="continuationSeparator" w:id="0">
    <w:p w14:paraId="2B3CBF25" w14:textId="77777777" w:rsidR="006832BC" w:rsidRDefault="006832BC" w:rsidP="00674C49">
      <w:r>
        <w:continuationSeparator/>
      </w:r>
    </w:p>
  </w:endnote>
  <w:endnote w:type="continuationNotice" w:id="1">
    <w:p w14:paraId="75BBE361" w14:textId="77777777" w:rsidR="006832BC" w:rsidRDefault="00683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0D45" w14:textId="15B4BA3C" w:rsidR="00783499" w:rsidRPr="00B71084" w:rsidRDefault="00783499" w:rsidP="00B7108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C65C" w14:textId="77777777" w:rsidR="006832BC" w:rsidRDefault="006832BC" w:rsidP="00674C49">
      <w:r>
        <w:separator/>
      </w:r>
    </w:p>
  </w:footnote>
  <w:footnote w:type="continuationSeparator" w:id="0">
    <w:p w14:paraId="34097E8E" w14:textId="77777777" w:rsidR="006832BC" w:rsidRDefault="006832BC" w:rsidP="00674C49">
      <w:r>
        <w:continuationSeparator/>
      </w:r>
    </w:p>
  </w:footnote>
  <w:footnote w:type="continuationNotice" w:id="1">
    <w:p w14:paraId="63C9B5F6" w14:textId="77777777" w:rsidR="006832BC" w:rsidRDefault="00683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920C4"/>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E522B4"/>
    <w:multiLevelType w:val="hybridMultilevel"/>
    <w:tmpl w:val="2B2ED9A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9E358D"/>
    <w:multiLevelType w:val="hybridMultilevel"/>
    <w:tmpl w:val="31F632E6"/>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F3F077E"/>
    <w:multiLevelType w:val="multilevel"/>
    <w:tmpl w:val="5F7EE360"/>
    <w:lvl w:ilvl="0">
      <w:start w:val="1"/>
      <w:numFmt w:val="decimal"/>
      <w:lvlText w:val="§ %1"/>
      <w:lvlJc w:val="left"/>
      <w:pPr>
        <w:ind w:left="360" w:hanging="360"/>
      </w:pPr>
      <w:rPr>
        <w:rFonts w:hint="default"/>
      </w:rPr>
    </w:lvl>
    <w:lvl w:ilvl="1">
      <w:start w:val="1"/>
      <w:numFmt w:val="decimal"/>
      <w:lvlText w:val="%2."/>
      <w:lvlJc w:val="left"/>
      <w:pPr>
        <w:ind w:left="284" w:firstLine="0"/>
      </w:pPr>
      <w:rPr>
        <w:rFonts w:hint="default"/>
      </w:rPr>
    </w:lvl>
    <w:lvl w:ilvl="2">
      <w:start w:val="1"/>
      <w:numFmt w:val="decimal"/>
      <w:lvlText w:val="%3)"/>
      <w:lvlJc w:val="left"/>
      <w:pPr>
        <w:ind w:left="56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4B90459"/>
    <w:multiLevelType w:val="multilevel"/>
    <w:tmpl w:val="79F06186"/>
    <w:lvl w:ilvl="0">
      <w:start w:val="1"/>
      <w:numFmt w:val="decimal"/>
      <w:lvlText w:val="%1."/>
      <w:lvlJc w:val="left"/>
      <w:pPr>
        <w:ind w:left="340" w:hanging="340"/>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021" w:hanging="454"/>
      </w:pPr>
      <w:rPr>
        <w:rFonts w:hint="default"/>
      </w:rPr>
    </w:lvl>
    <w:lvl w:ilvl="3">
      <w:start w:val="1"/>
      <w:numFmt w:val="decimal"/>
      <w:lvlText w:val="%1.%2.%3.%4"/>
      <w:lvlJc w:val="left"/>
      <w:pPr>
        <w:ind w:left="1361" w:hanging="22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67E77BF"/>
    <w:multiLevelType w:val="multilevel"/>
    <w:tmpl w:val="04B4BF5C"/>
    <w:lvl w:ilvl="0">
      <w:start w:val="1"/>
      <w:numFmt w:val="decimal"/>
      <w:suff w:val="space"/>
      <w:lvlText w:val="§ %1"/>
      <w:lvlJc w:val="left"/>
      <w:pPr>
        <w:ind w:left="284" w:hanging="284"/>
      </w:pPr>
      <w:rPr>
        <w:rFonts w:hint="default"/>
      </w:rPr>
    </w:lvl>
    <w:lvl w:ilvl="1">
      <w:start w:val="1"/>
      <w:numFmt w:val="decimal"/>
      <w:suff w:val="space"/>
      <w:lvlText w:val="%2."/>
      <w:lvlJc w:val="left"/>
      <w:pPr>
        <w:ind w:left="284" w:hanging="284"/>
      </w:pPr>
      <w:rPr>
        <w:rFonts w:hint="default"/>
      </w:rPr>
    </w:lvl>
    <w:lvl w:ilvl="2">
      <w:start w:val="1"/>
      <w:numFmt w:val="decimal"/>
      <w:suff w:val="space"/>
      <w:lvlText w:val="%3)"/>
      <w:lvlJc w:val="left"/>
      <w:pPr>
        <w:ind w:left="28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1E37E1"/>
    <w:multiLevelType w:val="hybridMultilevel"/>
    <w:tmpl w:val="FADA1B86"/>
    <w:lvl w:ilvl="0" w:tplc="53BA5DC4">
      <w:numFmt w:val="bullet"/>
      <w:lvlText w:val="*"/>
      <w:lvlJc w:val="left"/>
      <w:pPr>
        <w:ind w:left="1474" w:hanging="180"/>
      </w:pPr>
      <w:rPr>
        <w:rFonts w:ascii="Times New Roman" w:eastAsia="Times New Roman" w:hAnsi="Times New Roman" w:cs="Times New Roman" w:hint="default"/>
        <w:spacing w:val="-2"/>
        <w:w w:val="99"/>
        <w:sz w:val="24"/>
        <w:szCs w:val="24"/>
        <w:lang w:val="et-EE" w:eastAsia="et-EE" w:bidi="et-EE"/>
      </w:rPr>
    </w:lvl>
    <w:lvl w:ilvl="1" w:tplc="9104DED0">
      <w:numFmt w:val="bullet"/>
      <w:lvlText w:val="•"/>
      <w:lvlJc w:val="left"/>
      <w:pPr>
        <w:ind w:left="2472" w:hanging="180"/>
      </w:pPr>
      <w:rPr>
        <w:rFonts w:hint="default"/>
        <w:lang w:val="et-EE" w:eastAsia="et-EE" w:bidi="et-EE"/>
      </w:rPr>
    </w:lvl>
    <w:lvl w:ilvl="2" w:tplc="6504AA58">
      <w:numFmt w:val="bullet"/>
      <w:lvlText w:val="•"/>
      <w:lvlJc w:val="left"/>
      <w:pPr>
        <w:ind w:left="3465" w:hanging="180"/>
      </w:pPr>
      <w:rPr>
        <w:rFonts w:hint="default"/>
        <w:lang w:val="et-EE" w:eastAsia="et-EE" w:bidi="et-EE"/>
      </w:rPr>
    </w:lvl>
    <w:lvl w:ilvl="3" w:tplc="61FEA6BA">
      <w:numFmt w:val="bullet"/>
      <w:lvlText w:val="•"/>
      <w:lvlJc w:val="left"/>
      <w:pPr>
        <w:ind w:left="4457" w:hanging="180"/>
      </w:pPr>
      <w:rPr>
        <w:rFonts w:hint="default"/>
        <w:lang w:val="et-EE" w:eastAsia="et-EE" w:bidi="et-EE"/>
      </w:rPr>
    </w:lvl>
    <w:lvl w:ilvl="4" w:tplc="D0167574">
      <w:numFmt w:val="bullet"/>
      <w:lvlText w:val="•"/>
      <w:lvlJc w:val="left"/>
      <w:pPr>
        <w:ind w:left="5450" w:hanging="180"/>
      </w:pPr>
      <w:rPr>
        <w:rFonts w:hint="default"/>
        <w:lang w:val="et-EE" w:eastAsia="et-EE" w:bidi="et-EE"/>
      </w:rPr>
    </w:lvl>
    <w:lvl w:ilvl="5" w:tplc="487AC0A4">
      <w:numFmt w:val="bullet"/>
      <w:lvlText w:val="•"/>
      <w:lvlJc w:val="left"/>
      <w:pPr>
        <w:ind w:left="6443" w:hanging="180"/>
      </w:pPr>
      <w:rPr>
        <w:rFonts w:hint="default"/>
        <w:lang w:val="et-EE" w:eastAsia="et-EE" w:bidi="et-EE"/>
      </w:rPr>
    </w:lvl>
    <w:lvl w:ilvl="6" w:tplc="EBE4435C">
      <w:numFmt w:val="bullet"/>
      <w:lvlText w:val="•"/>
      <w:lvlJc w:val="left"/>
      <w:pPr>
        <w:ind w:left="7435" w:hanging="180"/>
      </w:pPr>
      <w:rPr>
        <w:rFonts w:hint="default"/>
        <w:lang w:val="et-EE" w:eastAsia="et-EE" w:bidi="et-EE"/>
      </w:rPr>
    </w:lvl>
    <w:lvl w:ilvl="7" w:tplc="804420B8">
      <w:numFmt w:val="bullet"/>
      <w:lvlText w:val="•"/>
      <w:lvlJc w:val="left"/>
      <w:pPr>
        <w:ind w:left="8428" w:hanging="180"/>
      </w:pPr>
      <w:rPr>
        <w:rFonts w:hint="default"/>
        <w:lang w:val="et-EE" w:eastAsia="et-EE" w:bidi="et-EE"/>
      </w:rPr>
    </w:lvl>
    <w:lvl w:ilvl="8" w:tplc="814487E2">
      <w:numFmt w:val="bullet"/>
      <w:lvlText w:val="•"/>
      <w:lvlJc w:val="left"/>
      <w:pPr>
        <w:ind w:left="9421" w:hanging="180"/>
      </w:pPr>
      <w:rPr>
        <w:rFonts w:hint="default"/>
        <w:lang w:val="et-EE" w:eastAsia="et-EE" w:bidi="et-EE"/>
      </w:rPr>
    </w:lvl>
  </w:abstractNum>
  <w:num w:numId="1" w16cid:durableId="1658611749">
    <w:abstractNumId w:val="4"/>
  </w:num>
  <w:num w:numId="2" w16cid:durableId="1375425158">
    <w:abstractNumId w:val="3"/>
  </w:num>
  <w:num w:numId="3" w16cid:durableId="933248029">
    <w:abstractNumId w:val="0"/>
  </w:num>
  <w:num w:numId="4" w16cid:durableId="1795711679">
    <w:abstractNumId w:val="5"/>
  </w:num>
  <w:num w:numId="5" w16cid:durableId="1803621189">
    <w:abstractNumId w:val="6"/>
  </w:num>
  <w:num w:numId="6" w16cid:durableId="1963918656">
    <w:abstractNumId w:val="2"/>
  </w:num>
  <w:num w:numId="7" w16cid:durableId="190286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FD"/>
    <w:rsid w:val="0000264B"/>
    <w:rsid w:val="00003BD9"/>
    <w:rsid w:val="00007516"/>
    <w:rsid w:val="0001414E"/>
    <w:rsid w:val="0001451C"/>
    <w:rsid w:val="00017514"/>
    <w:rsid w:val="000177B4"/>
    <w:rsid w:val="000252A6"/>
    <w:rsid w:val="00025383"/>
    <w:rsid w:val="00025E54"/>
    <w:rsid w:val="00026F1A"/>
    <w:rsid w:val="000311CE"/>
    <w:rsid w:val="00032953"/>
    <w:rsid w:val="000344EF"/>
    <w:rsid w:val="000348F2"/>
    <w:rsid w:val="000354F7"/>
    <w:rsid w:val="000364E3"/>
    <w:rsid w:val="00037A4B"/>
    <w:rsid w:val="000444CF"/>
    <w:rsid w:val="000510E3"/>
    <w:rsid w:val="00052C46"/>
    <w:rsid w:val="00054BD7"/>
    <w:rsid w:val="00055828"/>
    <w:rsid w:val="00055CAA"/>
    <w:rsid w:val="00057BCC"/>
    <w:rsid w:val="00057C5B"/>
    <w:rsid w:val="00060B9A"/>
    <w:rsid w:val="00062F75"/>
    <w:rsid w:val="00063768"/>
    <w:rsid w:val="00070CA1"/>
    <w:rsid w:val="00075875"/>
    <w:rsid w:val="00075B54"/>
    <w:rsid w:val="000774A1"/>
    <w:rsid w:val="000779A6"/>
    <w:rsid w:val="00080743"/>
    <w:rsid w:val="00081FA6"/>
    <w:rsid w:val="00083201"/>
    <w:rsid w:val="000835A0"/>
    <w:rsid w:val="000842E9"/>
    <w:rsid w:val="00085AD2"/>
    <w:rsid w:val="000874E9"/>
    <w:rsid w:val="000902EE"/>
    <w:rsid w:val="00092756"/>
    <w:rsid w:val="00092842"/>
    <w:rsid w:val="00096547"/>
    <w:rsid w:val="000A248B"/>
    <w:rsid w:val="000A4535"/>
    <w:rsid w:val="000A4695"/>
    <w:rsid w:val="000A4C34"/>
    <w:rsid w:val="000A5D26"/>
    <w:rsid w:val="000A60F7"/>
    <w:rsid w:val="000A782E"/>
    <w:rsid w:val="000A7EF2"/>
    <w:rsid w:val="000B0932"/>
    <w:rsid w:val="000B1505"/>
    <w:rsid w:val="000B156C"/>
    <w:rsid w:val="000B1826"/>
    <w:rsid w:val="000B1F65"/>
    <w:rsid w:val="000B49D6"/>
    <w:rsid w:val="000B50C5"/>
    <w:rsid w:val="000B62A6"/>
    <w:rsid w:val="000C19F9"/>
    <w:rsid w:val="000C1A0F"/>
    <w:rsid w:val="000C2008"/>
    <w:rsid w:val="000D06C6"/>
    <w:rsid w:val="000D1D72"/>
    <w:rsid w:val="000D24DB"/>
    <w:rsid w:val="000D53FA"/>
    <w:rsid w:val="000D5C53"/>
    <w:rsid w:val="000D68EE"/>
    <w:rsid w:val="000D6C47"/>
    <w:rsid w:val="000D6DA2"/>
    <w:rsid w:val="000E2A9D"/>
    <w:rsid w:val="000E575A"/>
    <w:rsid w:val="000E6884"/>
    <w:rsid w:val="000F133A"/>
    <w:rsid w:val="000F26E6"/>
    <w:rsid w:val="000F28AB"/>
    <w:rsid w:val="000F2EB3"/>
    <w:rsid w:val="000F30C6"/>
    <w:rsid w:val="000F7987"/>
    <w:rsid w:val="0010040E"/>
    <w:rsid w:val="00101285"/>
    <w:rsid w:val="001012DA"/>
    <w:rsid w:val="00101AFC"/>
    <w:rsid w:val="00104773"/>
    <w:rsid w:val="00111E32"/>
    <w:rsid w:val="0011633D"/>
    <w:rsid w:val="00116BDF"/>
    <w:rsid w:val="00117207"/>
    <w:rsid w:val="001200F0"/>
    <w:rsid w:val="001209DF"/>
    <w:rsid w:val="00121E0E"/>
    <w:rsid w:val="001230B7"/>
    <w:rsid w:val="0013095D"/>
    <w:rsid w:val="00131A79"/>
    <w:rsid w:val="001334FD"/>
    <w:rsid w:val="00134F7A"/>
    <w:rsid w:val="00136557"/>
    <w:rsid w:val="00137EFB"/>
    <w:rsid w:val="00141BA5"/>
    <w:rsid w:val="00145CA2"/>
    <w:rsid w:val="00146A7B"/>
    <w:rsid w:val="00146F35"/>
    <w:rsid w:val="001541B3"/>
    <w:rsid w:val="0016002D"/>
    <w:rsid w:val="00160A1C"/>
    <w:rsid w:val="00163134"/>
    <w:rsid w:val="001639D1"/>
    <w:rsid w:val="00165361"/>
    <w:rsid w:val="001653C5"/>
    <w:rsid w:val="00167122"/>
    <w:rsid w:val="00170B86"/>
    <w:rsid w:val="00177E05"/>
    <w:rsid w:val="001804B9"/>
    <w:rsid w:val="00184489"/>
    <w:rsid w:val="0018617D"/>
    <w:rsid w:val="00186696"/>
    <w:rsid w:val="00186772"/>
    <w:rsid w:val="00187437"/>
    <w:rsid w:val="00192026"/>
    <w:rsid w:val="001938C5"/>
    <w:rsid w:val="00195F05"/>
    <w:rsid w:val="001A26BC"/>
    <w:rsid w:val="001A4BB8"/>
    <w:rsid w:val="001B068C"/>
    <w:rsid w:val="001B0B3C"/>
    <w:rsid w:val="001B2A5E"/>
    <w:rsid w:val="001B34BF"/>
    <w:rsid w:val="001B37C1"/>
    <w:rsid w:val="001B6EC2"/>
    <w:rsid w:val="001B7672"/>
    <w:rsid w:val="001C14E3"/>
    <w:rsid w:val="001C2546"/>
    <w:rsid w:val="001C5030"/>
    <w:rsid w:val="001D055E"/>
    <w:rsid w:val="001D29BE"/>
    <w:rsid w:val="001D3FE0"/>
    <w:rsid w:val="001E0143"/>
    <w:rsid w:val="001E02E5"/>
    <w:rsid w:val="001E0D31"/>
    <w:rsid w:val="001E12DE"/>
    <w:rsid w:val="001E3CD8"/>
    <w:rsid w:val="001E47C4"/>
    <w:rsid w:val="001E6188"/>
    <w:rsid w:val="001F00F0"/>
    <w:rsid w:val="001F235F"/>
    <w:rsid w:val="001F25B2"/>
    <w:rsid w:val="001F2BCF"/>
    <w:rsid w:val="001F2CEA"/>
    <w:rsid w:val="001F6DCC"/>
    <w:rsid w:val="001F77B1"/>
    <w:rsid w:val="002002AA"/>
    <w:rsid w:val="002009C9"/>
    <w:rsid w:val="00202221"/>
    <w:rsid w:val="00202642"/>
    <w:rsid w:val="0020296F"/>
    <w:rsid w:val="00204523"/>
    <w:rsid w:val="002052BB"/>
    <w:rsid w:val="00207964"/>
    <w:rsid w:val="00210B90"/>
    <w:rsid w:val="002112E4"/>
    <w:rsid w:val="00212D45"/>
    <w:rsid w:val="00215810"/>
    <w:rsid w:val="00217811"/>
    <w:rsid w:val="0022249A"/>
    <w:rsid w:val="00230142"/>
    <w:rsid w:val="00231B4B"/>
    <w:rsid w:val="0023597F"/>
    <w:rsid w:val="00236525"/>
    <w:rsid w:val="00236E1D"/>
    <w:rsid w:val="00241F1B"/>
    <w:rsid w:val="002437B5"/>
    <w:rsid w:val="00244320"/>
    <w:rsid w:val="00244A7B"/>
    <w:rsid w:val="002450C1"/>
    <w:rsid w:val="0025155C"/>
    <w:rsid w:val="00252872"/>
    <w:rsid w:val="00252E24"/>
    <w:rsid w:val="00253D1B"/>
    <w:rsid w:val="002632C0"/>
    <w:rsid w:val="00273E1C"/>
    <w:rsid w:val="00274B29"/>
    <w:rsid w:val="00276482"/>
    <w:rsid w:val="002801DB"/>
    <w:rsid w:val="002808AF"/>
    <w:rsid w:val="00280E02"/>
    <w:rsid w:val="002814B4"/>
    <w:rsid w:val="00281FF7"/>
    <w:rsid w:val="00282F91"/>
    <w:rsid w:val="00283D48"/>
    <w:rsid w:val="0028746C"/>
    <w:rsid w:val="00291026"/>
    <w:rsid w:val="002915F5"/>
    <w:rsid w:val="00294236"/>
    <w:rsid w:val="002969BF"/>
    <w:rsid w:val="00296F68"/>
    <w:rsid w:val="00297C61"/>
    <w:rsid w:val="00297F1C"/>
    <w:rsid w:val="002A069B"/>
    <w:rsid w:val="002A527E"/>
    <w:rsid w:val="002A5FB3"/>
    <w:rsid w:val="002A60FC"/>
    <w:rsid w:val="002A70E4"/>
    <w:rsid w:val="002B1101"/>
    <w:rsid w:val="002B13FB"/>
    <w:rsid w:val="002B1D1A"/>
    <w:rsid w:val="002B1D2D"/>
    <w:rsid w:val="002B2B99"/>
    <w:rsid w:val="002B668D"/>
    <w:rsid w:val="002B6D75"/>
    <w:rsid w:val="002B79B0"/>
    <w:rsid w:val="002B7A57"/>
    <w:rsid w:val="002C0584"/>
    <w:rsid w:val="002C3D1D"/>
    <w:rsid w:val="002C5605"/>
    <w:rsid w:val="002D33EB"/>
    <w:rsid w:val="002D34A8"/>
    <w:rsid w:val="002D52B4"/>
    <w:rsid w:val="002E0487"/>
    <w:rsid w:val="002E0F81"/>
    <w:rsid w:val="002E137D"/>
    <w:rsid w:val="002E2844"/>
    <w:rsid w:val="002E7D1A"/>
    <w:rsid w:val="002F1DF5"/>
    <w:rsid w:val="002F2020"/>
    <w:rsid w:val="002F212A"/>
    <w:rsid w:val="002F2A8B"/>
    <w:rsid w:val="002F31D2"/>
    <w:rsid w:val="002F458F"/>
    <w:rsid w:val="002F6A54"/>
    <w:rsid w:val="00304119"/>
    <w:rsid w:val="0030520C"/>
    <w:rsid w:val="003068AF"/>
    <w:rsid w:val="0031014D"/>
    <w:rsid w:val="0031258C"/>
    <w:rsid w:val="00315104"/>
    <w:rsid w:val="00315B50"/>
    <w:rsid w:val="003220E3"/>
    <w:rsid w:val="00324589"/>
    <w:rsid w:val="00331C31"/>
    <w:rsid w:val="00333E44"/>
    <w:rsid w:val="0033406A"/>
    <w:rsid w:val="00337A35"/>
    <w:rsid w:val="00340775"/>
    <w:rsid w:val="00340A14"/>
    <w:rsid w:val="0034369F"/>
    <w:rsid w:val="00344ECA"/>
    <w:rsid w:val="003500F8"/>
    <w:rsid w:val="00350AC4"/>
    <w:rsid w:val="00363910"/>
    <w:rsid w:val="00363975"/>
    <w:rsid w:val="00371A80"/>
    <w:rsid w:val="003724CF"/>
    <w:rsid w:val="003739F5"/>
    <w:rsid w:val="00374CEA"/>
    <w:rsid w:val="0037658D"/>
    <w:rsid w:val="003766FB"/>
    <w:rsid w:val="003777D5"/>
    <w:rsid w:val="003778CC"/>
    <w:rsid w:val="00383605"/>
    <w:rsid w:val="00384047"/>
    <w:rsid w:val="003869CF"/>
    <w:rsid w:val="00386B05"/>
    <w:rsid w:val="003931D9"/>
    <w:rsid w:val="00395303"/>
    <w:rsid w:val="003955C5"/>
    <w:rsid w:val="00395F4B"/>
    <w:rsid w:val="003965D5"/>
    <w:rsid w:val="00396ACF"/>
    <w:rsid w:val="003A1EDF"/>
    <w:rsid w:val="003A5EFA"/>
    <w:rsid w:val="003A65D8"/>
    <w:rsid w:val="003A6DF9"/>
    <w:rsid w:val="003A708A"/>
    <w:rsid w:val="003A7281"/>
    <w:rsid w:val="003B27DE"/>
    <w:rsid w:val="003B44ED"/>
    <w:rsid w:val="003B5615"/>
    <w:rsid w:val="003B5725"/>
    <w:rsid w:val="003B69F2"/>
    <w:rsid w:val="003B7ADC"/>
    <w:rsid w:val="003C04BE"/>
    <w:rsid w:val="003C43E1"/>
    <w:rsid w:val="003D065F"/>
    <w:rsid w:val="003D1809"/>
    <w:rsid w:val="003D191F"/>
    <w:rsid w:val="003D1982"/>
    <w:rsid w:val="003D1E9A"/>
    <w:rsid w:val="003D240E"/>
    <w:rsid w:val="003D2D27"/>
    <w:rsid w:val="003D56F8"/>
    <w:rsid w:val="003E01E6"/>
    <w:rsid w:val="003E0EFE"/>
    <w:rsid w:val="003E1CD8"/>
    <w:rsid w:val="003E55C4"/>
    <w:rsid w:val="003F197C"/>
    <w:rsid w:val="003F1E68"/>
    <w:rsid w:val="003F1FC8"/>
    <w:rsid w:val="003F37FB"/>
    <w:rsid w:val="003F3A1C"/>
    <w:rsid w:val="003F55E0"/>
    <w:rsid w:val="003F64C0"/>
    <w:rsid w:val="0040185C"/>
    <w:rsid w:val="004038DA"/>
    <w:rsid w:val="00411BA3"/>
    <w:rsid w:val="0041249E"/>
    <w:rsid w:val="00413BF5"/>
    <w:rsid w:val="00416B8A"/>
    <w:rsid w:val="004224FE"/>
    <w:rsid w:val="00422B9C"/>
    <w:rsid w:val="00423A59"/>
    <w:rsid w:val="00423AC5"/>
    <w:rsid w:val="004250B9"/>
    <w:rsid w:val="004250E9"/>
    <w:rsid w:val="00425337"/>
    <w:rsid w:val="004267D7"/>
    <w:rsid w:val="0042709D"/>
    <w:rsid w:val="00427125"/>
    <w:rsid w:val="00427F1C"/>
    <w:rsid w:val="004334B7"/>
    <w:rsid w:val="00433728"/>
    <w:rsid w:val="00435065"/>
    <w:rsid w:val="00436787"/>
    <w:rsid w:val="00437219"/>
    <w:rsid w:val="00437C0E"/>
    <w:rsid w:val="00444359"/>
    <w:rsid w:val="00453E1A"/>
    <w:rsid w:val="0045442C"/>
    <w:rsid w:val="00454D32"/>
    <w:rsid w:val="00454D79"/>
    <w:rsid w:val="00454DD9"/>
    <w:rsid w:val="00457BD0"/>
    <w:rsid w:val="00457E7E"/>
    <w:rsid w:val="00464D0D"/>
    <w:rsid w:val="00467044"/>
    <w:rsid w:val="004712E5"/>
    <w:rsid w:val="00471563"/>
    <w:rsid w:val="00471A47"/>
    <w:rsid w:val="00473F99"/>
    <w:rsid w:val="004826B1"/>
    <w:rsid w:val="00483380"/>
    <w:rsid w:val="00483463"/>
    <w:rsid w:val="00486675"/>
    <w:rsid w:val="0048720D"/>
    <w:rsid w:val="00487D84"/>
    <w:rsid w:val="00490683"/>
    <w:rsid w:val="0049174D"/>
    <w:rsid w:val="00491D3F"/>
    <w:rsid w:val="004921DE"/>
    <w:rsid w:val="00492B39"/>
    <w:rsid w:val="0049524E"/>
    <w:rsid w:val="0049773E"/>
    <w:rsid w:val="00497D51"/>
    <w:rsid w:val="004A01D3"/>
    <w:rsid w:val="004A0784"/>
    <w:rsid w:val="004A0AED"/>
    <w:rsid w:val="004A1726"/>
    <w:rsid w:val="004A1794"/>
    <w:rsid w:val="004A1B47"/>
    <w:rsid w:val="004A1FAE"/>
    <w:rsid w:val="004A335A"/>
    <w:rsid w:val="004A3F02"/>
    <w:rsid w:val="004A55C2"/>
    <w:rsid w:val="004B1B80"/>
    <w:rsid w:val="004B433B"/>
    <w:rsid w:val="004B67A9"/>
    <w:rsid w:val="004B73F5"/>
    <w:rsid w:val="004C0F2C"/>
    <w:rsid w:val="004C1E38"/>
    <w:rsid w:val="004C2D24"/>
    <w:rsid w:val="004C3778"/>
    <w:rsid w:val="004C3932"/>
    <w:rsid w:val="004D1953"/>
    <w:rsid w:val="004D5778"/>
    <w:rsid w:val="004D5E5A"/>
    <w:rsid w:val="004D7116"/>
    <w:rsid w:val="004E00D4"/>
    <w:rsid w:val="004E18A6"/>
    <w:rsid w:val="004E4EF1"/>
    <w:rsid w:val="004E6D29"/>
    <w:rsid w:val="004F0452"/>
    <w:rsid w:val="004F1AAD"/>
    <w:rsid w:val="004F2E7A"/>
    <w:rsid w:val="004F3FA2"/>
    <w:rsid w:val="005029C0"/>
    <w:rsid w:val="00502E8C"/>
    <w:rsid w:val="00504F85"/>
    <w:rsid w:val="0050777D"/>
    <w:rsid w:val="00507D03"/>
    <w:rsid w:val="0051041C"/>
    <w:rsid w:val="00514BD9"/>
    <w:rsid w:val="00516D35"/>
    <w:rsid w:val="00516F0E"/>
    <w:rsid w:val="005229B8"/>
    <w:rsid w:val="00522F4C"/>
    <w:rsid w:val="00526F98"/>
    <w:rsid w:val="00530707"/>
    <w:rsid w:val="005335A6"/>
    <w:rsid w:val="00533EF4"/>
    <w:rsid w:val="005340D5"/>
    <w:rsid w:val="00541713"/>
    <w:rsid w:val="00542484"/>
    <w:rsid w:val="00544A6B"/>
    <w:rsid w:val="00546E34"/>
    <w:rsid w:val="00547A47"/>
    <w:rsid w:val="005537BB"/>
    <w:rsid w:val="005538AE"/>
    <w:rsid w:val="00556E02"/>
    <w:rsid w:val="005600D0"/>
    <w:rsid w:val="00560CBB"/>
    <w:rsid w:val="00563CD7"/>
    <w:rsid w:val="00565891"/>
    <w:rsid w:val="005671EB"/>
    <w:rsid w:val="005671F2"/>
    <w:rsid w:val="00570595"/>
    <w:rsid w:val="005705AE"/>
    <w:rsid w:val="00571359"/>
    <w:rsid w:val="00576837"/>
    <w:rsid w:val="00576FF0"/>
    <w:rsid w:val="00584A37"/>
    <w:rsid w:val="00586E0D"/>
    <w:rsid w:val="005A08A7"/>
    <w:rsid w:val="005A188B"/>
    <w:rsid w:val="005A61B1"/>
    <w:rsid w:val="005A6996"/>
    <w:rsid w:val="005A6B8D"/>
    <w:rsid w:val="005A6D0A"/>
    <w:rsid w:val="005A6D43"/>
    <w:rsid w:val="005A6D8D"/>
    <w:rsid w:val="005B0AFA"/>
    <w:rsid w:val="005B20D6"/>
    <w:rsid w:val="005B24EC"/>
    <w:rsid w:val="005B2C25"/>
    <w:rsid w:val="005B328B"/>
    <w:rsid w:val="005B33CE"/>
    <w:rsid w:val="005B6474"/>
    <w:rsid w:val="005B791B"/>
    <w:rsid w:val="005C2EF2"/>
    <w:rsid w:val="005C463B"/>
    <w:rsid w:val="005C6088"/>
    <w:rsid w:val="005C6CAF"/>
    <w:rsid w:val="005D2CBA"/>
    <w:rsid w:val="005D3CA6"/>
    <w:rsid w:val="005D4B6C"/>
    <w:rsid w:val="005D541B"/>
    <w:rsid w:val="005E145A"/>
    <w:rsid w:val="005E3B39"/>
    <w:rsid w:val="005E40E5"/>
    <w:rsid w:val="005E4A04"/>
    <w:rsid w:val="005F1498"/>
    <w:rsid w:val="005F1622"/>
    <w:rsid w:val="005F2F42"/>
    <w:rsid w:val="005F52A3"/>
    <w:rsid w:val="005F7A4A"/>
    <w:rsid w:val="006006BE"/>
    <w:rsid w:val="00601CD2"/>
    <w:rsid w:val="00604A97"/>
    <w:rsid w:val="006056E0"/>
    <w:rsid w:val="00607FDA"/>
    <w:rsid w:val="006125F8"/>
    <w:rsid w:val="006127BD"/>
    <w:rsid w:val="00612B3D"/>
    <w:rsid w:val="0061343B"/>
    <w:rsid w:val="00613B83"/>
    <w:rsid w:val="00615459"/>
    <w:rsid w:val="00616597"/>
    <w:rsid w:val="00616656"/>
    <w:rsid w:val="006209A5"/>
    <w:rsid w:val="006222C9"/>
    <w:rsid w:val="00625571"/>
    <w:rsid w:val="00626449"/>
    <w:rsid w:val="006301F2"/>
    <w:rsid w:val="006317FF"/>
    <w:rsid w:val="006326AA"/>
    <w:rsid w:val="006371F9"/>
    <w:rsid w:val="006417D6"/>
    <w:rsid w:val="00641A11"/>
    <w:rsid w:val="0064296D"/>
    <w:rsid w:val="00645155"/>
    <w:rsid w:val="0064728F"/>
    <w:rsid w:val="00650CA8"/>
    <w:rsid w:val="00651E96"/>
    <w:rsid w:val="0065580B"/>
    <w:rsid w:val="00656520"/>
    <w:rsid w:val="006615C4"/>
    <w:rsid w:val="006629CD"/>
    <w:rsid w:val="00670D8C"/>
    <w:rsid w:val="00670F3D"/>
    <w:rsid w:val="0067188E"/>
    <w:rsid w:val="006734D5"/>
    <w:rsid w:val="00673A20"/>
    <w:rsid w:val="00673E1B"/>
    <w:rsid w:val="00674C49"/>
    <w:rsid w:val="00675338"/>
    <w:rsid w:val="006758F8"/>
    <w:rsid w:val="00675F67"/>
    <w:rsid w:val="0067683A"/>
    <w:rsid w:val="00676994"/>
    <w:rsid w:val="00681AF5"/>
    <w:rsid w:val="006832BC"/>
    <w:rsid w:val="00683D28"/>
    <w:rsid w:val="00691C46"/>
    <w:rsid w:val="00692A27"/>
    <w:rsid w:val="0069762E"/>
    <w:rsid w:val="00697B36"/>
    <w:rsid w:val="006A12C7"/>
    <w:rsid w:val="006A3844"/>
    <w:rsid w:val="006A4C32"/>
    <w:rsid w:val="006A51E6"/>
    <w:rsid w:val="006A5AF8"/>
    <w:rsid w:val="006B1E75"/>
    <w:rsid w:val="006B39E5"/>
    <w:rsid w:val="006B481D"/>
    <w:rsid w:val="006B5CB8"/>
    <w:rsid w:val="006C3A0F"/>
    <w:rsid w:val="006C5EEB"/>
    <w:rsid w:val="006D1477"/>
    <w:rsid w:val="006D72A7"/>
    <w:rsid w:val="006E1BA9"/>
    <w:rsid w:val="006E3934"/>
    <w:rsid w:val="006E4045"/>
    <w:rsid w:val="006E46E8"/>
    <w:rsid w:val="006F1C98"/>
    <w:rsid w:val="006F3A4C"/>
    <w:rsid w:val="007007DE"/>
    <w:rsid w:val="007056D0"/>
    <w:rsid w:val="00706540"/>
    <w:rsid w:val="007103F2"/>
    <w:rsid w:val="0071062A"/>
    <w:rsid w:val="0071074D"/>
    <w:rsid w:val="00711F48"/>
    <w:rsid w:val="0071318F"/>
    <w:rsid w:val="00714F77"/>
    <w:rsid w:val="007206A6"/>
    <w:rsid w:val="00720EB3"/>
    <w:rsid w:val="0072103D"/>
    <w:rsid w:val="0072199B"/>
    <w:rsid w:val="0072282F"/>
    <w:rsid w:val="00722833"/>
    <w:rsid w:val="00723FD5"/>
    <w:rsid w:val="007265BA"/>
    <w:rsid w:val="00726D61"/>
    <w:rsid w:val="00732ED7"/>
    <w:rsid w:val="00733747"/>
    <w:rsid w:val="00737EC8"/>
    <w:rsid w:val="00740A0F"/>
    <w:rsid w:val="007451FF"/>
    <w:rsid w:val="00745616"/>
    <w:rsid w:val="00747363"/>
    <w:rsid w:val="00752AFF"/>
    <w:rsid w:val="00754091"/>
    <w:rsid w:val="00754162"/>
    <w:rsid w:val="00754B92"/>
    <w:rsid w:val="007555C6"/>
    <w:rsid w:val="00760294"/>
    <w:rsid w:val="00760305"/>
    <w:rsid w:val="007658D7"/>
    <w:rsid w:val="00771912"/>
    <w:rsid w:val="00781438"/>
    <w:rsid w:val="00783499"/>
    <w:rsid w:val="0078356A"/>
    <w:rsid w:val="00786799"/>
    <w:rsid w:val="00787A57"/>
    <w:rsid w:val="007924B5"/>
    <w:rsid w:val="0079421C"/>
    <w:rsid w:val="00794F33"/>
    <w:rsid w:val="0079531B"/>
    <w:rsid w:val="00795D08"/>
    <w:rsid w:val="007A69E4"/>
    <w:rsid w:val="007B160B"/>
    <w:rsid w:val="007B4B97"/>
    <w:rsid w:val="007B4E04"/>
    <w:rsid w:val="007C0E26"/>
    <w:rsid w:val="007C4F7B"/>
    <w:rsid w:val="007C7FD4"/>
    <w:rsid w:val="007D0123"/>
    <w:rsid w:val="007D1183"/>
    <w:rsid w:val="007D2E17"/>
    <w:rsid w:val="007D4C4B"/>
    <w:rsid w:val="007D64B6"/>
    <w:rsid w:val="007E046D"/>
    <w:rsid w:val="007E42B8"/>
    <w:rsid w:val="007E43C4"/>
    <w:rsid w:val="007E690B"/>
    <w:rsid w:val="007E6A4B"/>
    <w:rsid w:val="007F000E"/>
    <w:rsid w:val="007F034C"/>
    <w:rsid w:val="007F0A24"/>
    <w:rsid w:val="007F2514"/>
    <w:rsid w:val="007F40EE"/>
    <w:rsid w:val="007F59A3"/>
    <w:rsid w:val="008009FE"/>
    <w:rsid w:val="00800A30"/>
    <w:rsid w:val="0080173B"/>
    <w:rsid w:val="0080588B"/>
    <w:rsid w:val="00807983"/>
    <w:rsid w:val="008102B1"/>
    <w:rsid w:val="00811605"/>
    <w:rsid w:val="00811D37"/>
    <w:rsid w:val="00815AF6"/>
    <w:rsid w:val="00816C04"/>
    <w:rsid w:val="00817039"/>
    <w:rsid w:val="00817C0E"/>
    <w:rsid w:val="00820D4E"/>
    <w:rsid w:val="00821434"/>
    <w:rsid w:val="0082669E"/>
    <w:rsid w:val="0082704C"/>
    <w:rsid w:val="0082786B"/>
    <w:rsid w:val="00827D68"/>
    <w:rsid w:val="008309BD"/>
    <w:rsid w:val="00830D5D"/>
    <w:rsid w:val="00832595"/>
    <w:rsid w:val="00835C20"/>
    <w:rsid w:val="0084036B"/>
    <w:rsid w:val="0084179F"/>
    <w:rsid w:val="00841D44"/>
    <w:rsid w:val="00844FB4"/>
    <w:rsid w:val="00846741"/>
    <w:rsid w:val="00851126"/>
    <w:rsid w:val="008536F4"/>
    <w:rsid w:val="00854DEE"/>
    <w:rsid w:val="00857683"/>
    <w:rsid w:val="00862333"/>
    <w:rsid w:val="008630CE"/>
    <w:rsid w:val="00865598"/>
    <w:rsid w:val="00867DF4"/>
    <w:rsid w:val="00871A04"/>
    <w:rsid w:val="00872FCD"/>
    <w:rsid w:val="008763C8"/>
    <w:rsid w:val="00876F88"/>
    <w:rsid w:val="00876FFC"/>
    <w:rsid w:val="00880B05"/>
    <w:rsid w:val="00880C8E"/>
    <w:rsid w:val="00880D20"/>
    <w:rsid w:val="00880EDB"/>
    <w:rsid w:val="00882342"/>
    <w:rsid w:val="00883FD2"/>
    <w:rsid w:val="00884F9B"/>
    <w:rsid w:val="00887DFC"/>
    <w:rsid w:val="00890DA6"/>
    <w:rsid w:val="0089196A"/>
    <w:rsid w:val="0089435C"/>
    <w:rsid w:val="008943BB"/>
    <w:rsid w:val="008A1431"/>
    <w:rsid w:val="008A1601"/>
    <w:rsid w:val="008A2C49"/>
    <w:rsid w:val="008A2C4C"/>
    <w:rsid w:val="008A2C5C"/>
    <w:rsid w:val="008A60E3"/>
    <w:rsid w:val="008A6AEB"/>
    <w:rsid w:val="008A7CC2"/>
    <w:rsid w:val="008B28CE"/>
    <w:rsid w:val="008B3CBA"/>
    <w:rsid w:val="008B55CF"/>
    <w:rsid w:val="008B6C64"/>
    <w:rsid w:val="008B71EF"/>
    <w:rsid w:val="008B7A1B"/>
    <w:rsid w:val="008C0A76"/>
    <w:rsid w:val="008C0CDE"/>
    <w:rsid w:val="008C1097"/>
    <w:rsid w:val="008C14F7"/>
    <w:rsid w:val="008C1EE3"/>
    <w:rsid w:val="008C5770"/>
    <w:rsid w:val="008D0219"/>
    <w:rsid w:val="008D3291"/>
    <w:rsid w:val="008E2920"/>
    <w:rsid w:val="008E2E80"/>
    <w:rsid w:val="008E2F54"/>
    <w:rsid w:val="008E34A7"/>
    <w:rsid w:val="008E4913"/>
    <w:rsid w:val="008E571C"/>
    <w:rsid w:val="008F1132"/>
    <w:rsid w:val="008F1473"/>
    <w:rsid w:val="008F20A8"/>
    <w:rsid w:val="008F3F52"/>
    <w:rsid w:val="008F5758"/>
    <w:rsid w:val="008F6D03"/>
    <w:rsid w:val="008F7110"/>
    <w:rsid w:val="00902450"/>
    <w:rsid w:val="00904793"/>
    <w:rsid w:val="009144A3"/>
    <w:rsid w:val="009148B8"/>
    <w:rsid w:val="00915012"/>
    <w:rsid w:val="00916A2E"/>
    <w:rsid w:val="0092299F"/>
    <w:rsid w:val="00922D73"/>
    <w:rsid w:val="00923C23"/>
    <w:rsid w:val="00924192"/>
    <w:rsid w:val="00924329"/>
    <w:rsid w:val="0092760B"/>
    <w:rsid w:val="00930C0E"/>
    <w:rsid w:val="00932162"/>
    <w:rsid w:val="009330E1"/>
    <w:rsid w:val="009373B0"/>
    <w:rsid w:val="009424B4"/>
    <w:rsid w:val="00942D14"/>
    <w:rsid w:val="00942E7F"/>
    <w:rsid w:val="0094583F"/>
    <w:rsid w:val="009503D0"/>
    <w:rsid w:val="009511E2"/>
    <w:rsid w:val="00951C68"/>
    <w:rsid w:val="0095324C"/>
    <w:rsid w:val="009540CF"/>
    <w:rsid w:val="009560CF"/>
    <w:rsid w:val="0095641F"/>
    <w:rsid w:val="00960121"/>
    <w:rsid w:val="009603E5"/>
    <w:rsid w:val="00960558"/>
    <w:rsid w:val="009645D4"/>
    <w:rsid w:val="0096592F"/>
    <w:rsid w:val="00967FC4"/>
    <w:rsid w:val="00971670"/>
    <w:rsid w:val="00971A37"/>
    <w:rsid w:val="00972FC5"/>
    <w:rsid w:val="00973092"/>
    <w:rsid w:val="00973B43"/>
    <w:rsid w:val="00981112"/>
    <w:rsid w:val="00982611"/>
    <w:rsid w:val="00983F34"/>
    <w:rsid w:val="00983F6C"/>
    <w:rsid w:val="00985619"/>
    <w:rsid w:val="009911AF"/>
    <w:rsid w:val="0099514B"/>
    <w:rsid w:val="00996FA8"/>
    <w:rsid w:val="00997608"/>
    <w:rsid w:val="009A0DAC"/>
    <w:rsid w:val="009A30EB"/>
    <w:rsid w:val="009B0BD0"/>
    <w:rsid w:val="009B11AF"/>
    <w:rsid w:val="009B2801"/>
    <w:rsid w:val="009B5322"/>
    <w:rsid w:val="009B6CF7"/>
    <w:rsid w:val="009C1CB5"/>
    <w:rsid w:val="009C1E7A"/>
    <w:rsid w:val="009C4B26"/>
    <w:rsid w:val="009C4B43"/>
    <w:rsid w:val="009D0C20"/>
    <w:rsid w:val="009D491F"/>
    <w:rsid w:val="009D66BD"/>
    <w:rsid w:val="009E0433"/>
    <w:rsid w:val="009E0F7F"/>
    <w:rsid w:val="009E2A4B"/>
    <w:rsid w:val="009E33EC"/>
    <w:rsid w:val="009E383F"/>
    <w:rsid w:val="009F0ADD"/>
    <w:rsid w:val="009F180E"/>
    <w:rsid w:val="00A004B2"/>
    <w:rsid w:val="00A011CE"/>
    <w:rsid w:val="00A01FEA"/>
    <w:rsid w:val="00A03142"/>
    <w:rsid w:val="00A03480"/>
    <w:rsid w:val="00A03C24"/>
    <w:rsid w:val="00A05AFF"/>
    <w:rsid w:val="00A105A0"/>
    <w:rsid w:val="00A15FA0"/>
    <w:rsid w:val="00A16BA9"/>
    <w:rsid w:val="00A235D1"/>
    <w:rsid w:val="00A23603"/>
    <w:rsid w:val="00A262C4"/>
    <w:rsid w:val="00A300B9"/>
    <w:rsid w:val="00A30C80"/>
    <w:rsid w:val="00A31302"/>
    <w:rsid w:val="00A31572"/>
    <w:rsid w:val="00A3391F"/>
    <w:rsid w:val="00A3416A"/>
    <w:rsid w:val="00A40E17"/>
    <w:rsid w:val="00A47912"/>
    <w:rsid w:val="00A47B00"/>
    <w:rsid w:val="00A501F4"/>
    <w:rsid w:val="00A503E5"/>
    <w:rsid w:val="00A53423"/>
    <w:rsid w:val="00A55C43"/>
    <w:rsid w:val="00A56E2E"/>
    <w:rsid w:val="00A57E25"/>
    <w:rsid w:val="00A61113"/>
    <w:rsid w:val="00A6121F"/>
    <w:rsid w:val="00A61FAE"/>
    <w:rsid w:val="00A66519"/>
    <w:rsid w:val="00A70E5A"/>
    <w:rsid w:val="00A738C6"/>
    <w:rsid w:val="00A76441"/>
    <w:rsid w:val="00A7695E"/>
    <w:rsid w:val="00A7729A"/>
    <w:rsid w:val="00A77BCE"/>
    <w:rsid w:val="00A8026A"/>
    <w:rsid w:val="00A81F08"/>
    <w:rsid w:val="00A83612"/>
    <w:rsid w:val="00A93E63"/>
    <w:rsid w:val="00A94EB4"/>
    <w:rsid w:val="00A95B4F"/>
    <w:rsid w:val="00AA0C19"/>
    <w:rsid w:val="00AA122D"/>
    <w:rsid w:val="00AA140F"/>
    <w:rsid w:val="00AA1D4A"/>
    <w:rsid w:val="00AA32A5"/>
    <w:rsid w:val="00AA41BB"/>
    <w:rsid w:val="00AA458A"/>
    <w:rsid w:val="00AA547B"/>
    <w:rsid w:val="00AA5DD3"/>
    <w:rsid w:val="00AA790E"/>
    <w:rsid w:val="00AB0947"/>
    <w:rsid w:val="00AB4F89"/>
    <w:rsid w:val="00AB7006"/>
    <w:rsid w:val="00AB782D"/>
    <w:rsid w:val="00AC1443"/>
    <w:rsid w:val="00AC43E1"/>
    <w:rsid w:val="00AC557D"/>
    <w:rsid w:val="00AC7189"/>
    <w:rsid w:val="00AC74B6"/>
    <w:rsid w:val="00AC78F4"/>
    <w:rsid w:val="00AD02DF"/>
    <w:rsid w:val="00AD75FA"/>
    <w:rsid w:val="00AE0E5F"/>
    <w:rsid w:val="00AE1E58"/>
    <w:rsid w:val="00AE6659"/>
    <w:rsid w:val="00AF0CE3"/>
    <w:rsid w:val="00AF475B"/>
    <w:rsid w:val="00AF598C"/>
    <w:rsid w:val="00AF6D49"/>
    <w:rsid w:val="00B00980"/>
    <w:rsid w:val="00B02929"/>
    <w:rsid w:val="00B04145"/>
    <w:rsid w:val="00B04B80"/>
    <w:rsid w:val="00B05450"/>
    <w:rsid w:val="00B12B16"/>
    <w:rsid w:val="00B14D29"/>
    <w:rsid w:val="00B15AE9"/>
    <w:rsid w:val="00B16A80"/>
    <w:rsid w:val="00B16B26"/>
    <w:rsid w:val="00B17C09"/>
    <w:rsid w:val="00B213D9"/>
    <w:rsid w:val="00B310A0"/>
    <w:rsid w:val="00B327C6"/>
    <w:rsid w:val="00B34B3B"/>
    <w:rsid w:val="00B3775A"/>
    <w:rsid w:val="00B37AC2"/>
    <w:rsid w:val="00B41422"/>
    <w:rsid w:val="00B439AB"/>
    <w:rsid w:val="00B43A93"/>
    <w:rsid w:val="00B454CF"/>
    <w:rsid w:val="00B464A0"/>
    <w:rsid w:val="00B57248"/>
    <w:rsid w:val="00B5759E"/>
    <w:rsid w:val="00B60BAF"/>
    <w:rsid w:val="00B60C85"/>
    <w:rsid w:val="00B61D57"/>
    <w:rsid w:val="00B622B1"/>
    <w:rsid w:val="00B62B28"/>
    <w:rsid w:val="00B63CBB"/>
    <w:rsid w:val="00B6572B"/>
    <w:rsid w:val="00B66892"/>
    <w:rsid w:val="00B67F11"/>
    <w:rsid w:val="00B71084"/>
    <w:rsid w:val="00B72B9C"/>
    <w:rsid w:val="00B74606"/>
    <w:rsid w:val="00B76A85"/>
    <w:rsid w:val="00B771C1"/>
    <w:rsid w:val="00B81874"/>
    <w:rsid w:val="00B822A5"/>
    <w:rsid w:val="00B87260"/>
    <w:rsid w:val="00B9131B"/>
    <w:rsid w:val="00B949AE"/>
    <w:rsid w:val="00BA01C7"/>
    <w:rsid w:val="00BA1396"/>
    <w:rsid w:val="00BA1F4B"/>
    <w:rsid w:val="00BA2C7C"/>
    <w:rsid w:val="00BA5FBB"/>
    <w:rsid w:val="00BA6EB7"/>
    <w:rsid w:val="00BA7817"/>
    <w:rsid w:val="00BB34D1"/>
    <w:rsid w:val="00BB3CAD"/>
    <w:rsid w:val="00BB4997"/>
    <w:rsid w:val="00BB4DBB"/>
    <w:rsid w:val="00BB7F37"/>
    <w:rsid w:val="00BC1A11"/>
    <w:rsid w:val="00BC43C8"/>
    <w:rsid w:val="00BD2074"/>
    <w:rsid w:val="00BD3C30"/>
    <w:rsid w:val="00BE0A03"/>
    <w:rsid w:val="00BE2399"/>
    <w:rsid w:val="00BE304A"/>
    <w:rsid w:val="00BE4325"/>
    <w:rsid w:val="00BF24D1"/>
    <w:rsid w:val="00BF40C0"/>
    <w:rsid w:val="00BF6091"/>
    <w:rsid w:val="00C00A9F"/>
    <w:rsid w:val="00C02F3E"/>
    <w:rsid w:val="00C036CD"/>
    <w:rsid w:val="00C06447"/>
    <w:rsid w:val="00C06962"/>
    <w:rsid w:val="00C078D0"/>
    <w:rsid w:val="00C10F21"/>
    <w:rsid w:val="00C122E4"/>
    <w:rsid w:val="00C13FF4"/>
    <w:rsid w:val="00C14150"/>
    <w:rsid w:val="00C14AE4"/>
    <w:rsid w:val="00C166C3"/>
    <w:rsid w:val="00C16BE0"/>
    <w:rsid w:val="00C1728C"/>
    <w:rsid w:val="00C17E75"/>
    <w:rsid w:val="00C200FB"/>
    <w:rsid w:val="00C212F2"/>
    <w:rsid w:val="00C21D08"/>
    <w:rsid w:val="00C227C8"/>
    <w:rsid w:val="00C25C29"/>
    <w:rsid w:val="00C27206"/>
    <w:rsid w:val="00C30964"/>
    <w:rsid w:val="00C33AF9"/>
    <w:rsid w:val="00C341BC"/>
    <w:rsid w:val="00C34443"/>
    <w:rsid w:val="00C34C72"/>
    <w:rsid w:val="00C35EAD"/>
    <w:rsid w:val="00C40ABC"/>
    <w:rsid w:val="00C42100"/>
    <w:rsid w:val="00C42FEA"/>
    <w:rsid w:val="00C4317E"/>
    <w:rsid w:val="00C44B0A"/>
    <w:rsid w:val="00C54E2D"/>
    <w:rsid w:val="00C60206"/>
    <w:rsid w:val="00C61400"/>
    <w:rsid w:val="00C61FEC"/>
    <w:rsid w:val="00C633DC"/>
    <w:rsid w:val="00C65469"/>
    <w:rsid w:val="00C670EB"/>
    <w:rsid w:val="00C70467"/>
    <w:rsid w:val="00C722D0"/>
    <w:rsid w:val="00C77C0E"/>
    <w:rsid w:val="00C8057F"/>
    <w:rsid w:val="00C81C70"/>
    <w:rsid w:val="00C81E55"/>
    <w:rsid w:val="00C84F89"/>
    <w:rsid w:val="00C903DA"/>
    <w:rsid w:val="00C92717"/>
    <w:rsid w:val="00C93142"/>
    <w:rsid w:val="00C95696"/>
    <w:rsid w:val="00C96808"/>
    <w:rsid w:val="00CA1832"/>
    <w:rsid w:val="00CA23B3"/>
    <w:rsid w:val="00CA3660"/>
    <w:rsid w:val="00CA3EC4"/>
    <w:rsid w:val="00CA5044"/>
    <w:rsid w:val="00CA5715"/>
    <w:rsid w:val="00CB11E0"/>
    <w:rsid w:val="00CB1E86"/>
    <w:rsid w:val="00CB2E17"/>
    <w:rsid w:val="00CB32B2"/>
    <w:rsid w:val="00CB4B30"/>
    <w:rsid w:val="00CB4DE4"/>
    <w:rsid w:val="00CB5C7C"/>
    <w:rsid w:val="00CB6E6F"/>
    <w:rsid w:val="00CD1032"/>
    <w:rsid w:val="00CD1263"/>
    <w:rsid w:val="00CD1523"/>
    <w:rsid w:val="00CD3AAA"/>
    <w:rsid w:val="00CD3D8F"/>
    <w:rsid w:val="00CD5EF7"/>
    <w:rsid w:val="00CD60EC"/>
    <w:rsid w:val="00CE0284"/>
    <w:rsid w:val="00CE048D"/>
    <w:rsid w:val="00CE1A5E"/>
    <w:rsid w:val="00CE3421"/>
    <w:rsid w:val="00CE7FD7"/>
    <w:rsid w:val="00CF1326"/>
    <w:rsid w:val="00CF316A"/>
    <w:rsid w:val="00CF5985"/>
    <w:rsid w:val="00CF62E4"/>
    <w:rsid w:val="00CF6B48"/>
    <w:rsid w:val="00CF6C7C"/>
    <w:rsid w:val="00D01447"/>
    <w:rsid w:val="00D01C80"/>
    <w:rsid w:val="00D02F9D"/>
    <w:rsid w:val="00D05821"/>
    <w:rsid w:val="00D06654"/>
    <w:rsid w:val="00D10A89"/>
    <w:rsid w:val="00D140CE"/>
    <w:rsid w:val="00D148DC"/>
    <w:rsid w:val="00D160A2"/>
    <w:rsid w:val="00D178C6"/>
    <w:rsid w:val="00D22810"/>
    <w:rsid w:val="00D25161"/>
    <w:rsid w:val="00D27164"/>
    <w:rsid w:val="00D338F2"/>
    <w:rsid w:val="00D3518A"/>
    <w:rsid w:val="00D3555D"/>
    <w:rsid w:val="00D35AB4"/>
    <w:rsid w:val="00D372FB"/>
    <w:rsid w:val="00D379EB"/>
    <w:rsid w:val="00D424F0"/>
    <w:rsid w:val="00D428BD"/>
    <w:rsid w:val="00D42946"/>
    <w:rsid w:val="00D442EC"/>
    <w:rsid w:val="00D44609"/>
    <w:rsid w:val="00D453FB"/>
    <w:rsid w:val="00D4555C"/>
    <w:rsid w:val="00D54349"/>
    <w:rsid w:val="00D5494F"/>
    <w:rsid w:val="00D550F3"/>
    <w:rsid w:val="00D604E5"/>
    <w:rsid w:val="00D60887"/>
    <w:rsid w:val="00D608C3"/>
    <w:rsid w:val="00D61121"/>
    <w:rsid w:val="00D6734F"/>
    <w:rsid w:val="00D674DB"/>
    <w:rsid w:val="00D67F5D"/>
    <w:rsid w:val="00D75B6B"/>
    <w:rsid w:val="00D76225"/>
    <w:rsid w:val="00D76C9B"/>
    <w:rsid w:val="00D77029"/>
    <w:rsid w:val="00D77B6E"/>
    <w:rsid w:val="00D77EA6"/>
    <w:rsid w:val="00D80D3C"/>
    <w:rsid w:val="00D812CD"/>
    <w:rsid w:val="00D81A1B"/>
    <w:rsid w:val="00D82E10"/>
    <w:rsid w:val="00D85128"/>
    <w:rsid w:val="00D87332"/>
    <w:rsid w:val="00D925C6"/>
    <w:rsid w:val="00D97F26"/>
    <w:rsid w:val="00DA0EE3"/>
    <w:rsid w:val="00DA15AE"/>
    <w:rsid w:val="00DA1E8A"/>
    <w:rsid w:val="00DA28FB"/>
    <w:rsid w:val="00DA3C21"/>
    <w:rsid w:val="00DA7431"/>
    <w:rsid w:val="00DA7C29"/>
    <w:rsid w:val="00DB1435"/>
    <w:rsid w:val="00DB2F6D"/>
    <w:rsid w:val="00DB3868"/>
    <w:rsid w:val="00DB594D"/>
    <w:rsid w:val="00DB695C"/>
    <w:rsid w:val="00DC0B8A"/>
    <w:rsid w:val="00DC0C51"/>
    <w:rsid w:val="00DC1BBA"/>
    <w:rsid w:val="00DC2436"/>
    <w:rsid w:val="00DC2F64"/>
    <w:rsid w:val="00DC394C"/>
    <w:rsid w:val="00DC4E77"/>
    <w:rsid w:val="00DC78F5"/>
    <w:rsid w:val="00DD3B4E"/>
    <w:rsid w:val="00DD6A05"/>
    <w:rsid w:val="00DE0F28"/>
    <w:rsid w:val="00DE5089"/>
    <w:rsid w:val="00DE78B0"/>
    <w:rsid w:val="00DF048A"/>
    <w:rsid w:val="00DF15B0"/>
    <w:rsid w:val="00DF2923"/>
    <w:rsid w:val="00DF7581"/>
    <w:rsid w:val="00E006D8"/>
    <w:rsid w:val="00E01897"/>
    <w:rsid w:val="00E02361"/>
    <w:rsid w:val="00E036B0"/>
    <w:rsid w:val="00E03C3A"/>
    <w:rsid w:val="00E04A75"/>
    <w:rsid w:val="00E0570F"/>
    <w:rsid w:val="00E06528"/>
    <w:rsid w:val="00E07416"/>
    <w:rsid w:val="00E10731"/>
    <w:rsid w:val="00E16DA2"/>
    <w:rsid w:val="00E175E8"/>
    <w:rsid w:val="00E20B8F"/>
    <w:rsid w:val="00E20CCC"/>
    <w:rsid w:val="00E24DB5"/>
    <w:rsid w:val="00E25369"/>
    <w:rsid w:val="00E25B7D"/>
    <w:rsid w:val="00E25D2F"/>
    <w:rsid w:val="00E328DB"/>
    <w:rsid w:val="00E34E61"/>
    <w:rsid w:val="00E36EFD"/>
    <w:rsid w:val="00E44B29"/>
    <w:rsid w:val="00E46628"/>
    <w:rsid w:val="00E52D3D"/>
    <w:rsid w:val="00E5426F"/>
    <w:rsid w:val="00E61765"/>
    <w:rsid w:val="00E61B06"/>
    <w:rsid w:val="00E62F6D"/>
    <w:rsid w:val="00E64413"/>
    <w:rsid w:val="00E64CAC"/>
    <w:rsid w:val="00E678B1"/>
    <w:rsid w:val="00E70E76"/>
    <w:rsid w:val="00E71218"/>
    <w:rsid w:val="00E71F96"/>
    <w:rsid w:val="00E73E32"/>
    <w:rsid w:val="00E74038"/>
    <w:rsid w:val="00E74651"/>
    <w:rsid w:val="00E75455"/>
    <w:rsid w:val="00E75973"/>
    <w:rsid w:val="00E773AA"/>
    <w:rsid w:val="00E777A7"/>
    <w:rsid w:val="00E80CDE"/>
    <w:rsid w:val="00E825BC"/>
    <w:rsid w:val="00E83F69"/>
    <w:rsid w:val="00E84CAC"/>
    <w:rsid w:val="00E84D44"/>
    <w:rsid w:val="00E857B1"/>
    <w:rsid w:val="00E86A97"/>
    <w:rsid w:val="00E87E0E"/>
    <w:rsid w:val="00E91CBB"/>
    <w:rsid w:val="00E965D7"/>
    <w:rsid w:val="00E975F8"/>
    <w:rsid w:val="00EA1FFB"/>
    <w:rsid w:val="00EA21E4"/>
    <w:rsid w:val="00EA2432"/>
    <w:rsid w:val="00EA305C"/>
    <w:rsid w:val="00EA4513"/>
    <w:rsid w:val="00EA50EA"/>
    <w:rsid w:val="00EB229B"/>
    <w:rsid w:val="00EC10E7"/>
    <w:rsid w:val="00EC166E"/>
    <w:rsid w:val="00EC2608"/>
    <w:rsid w:val="00EC5EC8"/>
    <w:rsid w:val="00EC62F4"/>
    <w:rsid w:val="00EC6D85"/>
    <w:rsid w:val="00ED1924"/>
    <w:rsid w:val="00ED5755"/>
    <w:rsid w:val="00ED5BFC"/>
    <w:rsid w:val="00ED5C9D"/>
    <w:rsid w:val="00ED7166"/>
    <w:rsid w:val="00ED7A3C"/>
    <w:rsid w:val="00ED7EBF"/>
    <w:rsid w:val="00EE0370"/>
    <w:rsid w:val="00EE1A67"/>
    <w:rsid w:val="00EE1B4A"/>
    <w:rsid w:val="00EE1D72"/>
    <w:rsid w:val="00EE3F62"/>
    <w:rsid w:val="00EE44AA"/>
    <w:rsid w:val="00EE5A98"/>
    <w:rsid w:val="00EE6277"/>
    <w:rsid w:val="00EF0DF1"/>
    <w:rsid w:val="00F02F5E"/>
    <w:rsid w:val="00F06F76"/>
    <w:rsid w:val="00F12DBD"/>
    <w:rsid w:val="00F149E7"/>
    <w:rsid w:val="00F15C47"/>
    <w:rsid w:val="00F2428C"/>
    <w:rsid w:val="00F253A8"/>
    <w:rsid w:val="00F258F8"/>
    <w:rsid w:val="00F274C8"/>
    <w:rsid w:val="00F31B25"/>
    <w:rsid w:val="00F33637"/>
    <w:rsid w:val="00F35737"/>
    <w:rsid w:val="00F37AEA"/>
    <w:rsid w:val="00F415E1"/>
    <w:rsid w:val="00F417AC"/>
    <w:rsid w:val="00F4192D"/>
    <w:rsid w:val="00F42D7B"/>
    <w:rsid w:val="00F57FD1"/>
    <w:rsid w:val="00F63362"/>
    <w:rsid w:val="00F63425"/>
    <w:rsid w:val="00F647FA"/>
    <w:rsid w:val="00F66505"/>
    <w:rsid w:val="00F67A2E"/>
    <w:rsid w:val="00F71C4A"/>
    <w:rsid w:val="00F726FA"/>
    <w:rsid w:val="00F728E4"/>
    <w:rsid w:val="00F75186"/>
    <w:rsid w:val="00F7776E"/>
    <w:rsid w:val="00F82EBE"/>
    <w:rsid w:val="00F93802"/>
    <w:rsid w:val="00F94C02"/>
    <w:rsid w:val="00F968D9"/>
    <w:rsid w:val="00F97B85"/>
    <w:rsid w:val="00FA147C"/>
    <w:rsid w:val="00FA1B49"/>
    <w:rsid w:val="00FA65AD"/>
    <w:rsid w:val="00FB3E55"/>
    <w:rsid w:val="00FB4DBF"/>
    <w:rsid w:val="00FC371E"/>
    <w:rsid w:val="00FC3C9F"/>
    <w:rsid w:val="00FC4816"/>
    <w:rsid w:val="00FC7A43"/>
    <w:rsid w:val="00FD0B05"/>
    <w:rsid w:val="00FD1817"/>
    <w:rsid w:val="00FD25C8"/>
    <w:rsid w:val="00FD4B91"/>
    <w:rsid w:val="00FD77C9"/>
    <w:rsid w:val="00FE3453"/>
    <w:rsid w:val="00FE6143"/>
    <w:rsid w:val="00FE708D"/>
    <w:rsid w:val="00FF0F2F"/>
    <w:rsid w:val="00FF11BB"/>
    <w:rsid w:val="00FF23C3"/>
    <w:rsid w:val="00FF257A"/>
    <w:rsid w:val="00FF29E7"/>
    <w:rsid w:val="00FF30A0"/>
    <w:rsid w:val="00FF3B28"/>
    <w:rsid w:val="00FF4838"/>
    <w:rsid w:val="00FF60C7"/>
    <w:rsid w:val="00FF6F72"/>
    <w:rsid w:val="00FF7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A2D0"/>
  <w15:docId w15:val="{5BEAA4EF-9620-4D78-9459-155B9BB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A2"/>
    <w:rPr>
      <w:rFonts w:ascii="Times New Roman" w:hAnsi="Times New Roman"/>
      <w:sz w:val="24"/>
      <w:szCs w:val="24"/>
      <w:lang w:eastAsia="en-US"/>
    </w:rPr>
  </w:style>
  <w:style w:type="paragraph" w:styleId="Heading1">
    <w:name w:val="heading 1"/>
    <w:basedOn w:val="Normal"/>
    <w:next w:val="Normal"/>
    <w:link w:val="Heading1Char"/>
    <w:uiPriority w:val="9"/>
    <w:qFormat/>
    <w:rsid w:val="00B60C85"/>
    <w:pPr>
      <w:keepNext/>
      <w:keepLines/>
      <w:spacing w:before="480"/>
      <w:outlineLvl w:val="0"/>
    </w:pPr>
    <w:rPr>
      <w:b/>
      <w:bCs/>
      <w:sz w:val="32"/>
      <w:szCs w:val="28"/>
    </w:rPr>
  </w:style>
  <w:style w:type="paragraph" w:styleId="Heading2">
    <w:name w:val="heading 2"/>
    <w:basedOn w:val="Normal"/>
    <w:next w:val="Normal"/>
    <w:link w:val="Heading2Char"/>
    <w:uiPriority w:val="9"/>
    <w:semiHidden/>
    <w:unhideWhenUsed/>
    <w:qFormat/>
    <w:rsid w:val="00B60C8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85"/>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semiHidden/>
    <w:rsid w:val="00B60C85"/>
    <w:rPr>
      <w:rFonts w:ascii="Arial" w:eastAsia="Times New Roman" w:hAnsi="Arial" w:cs="Times New Roman"/>
      <w:b/>
      <w:bCs/>
      <w:sz w:val="28"/>
      <w:szCs w:val="26"/>
    </w:rPr>
  </w:style>
  <w:style w:type="paragraph" w:styleId="Title">
    <w:name w:val="Title"/>
    <w:basedOn w:val="Normal"/>
    <w:next w:val="Normal"/>
    <w:link w:val="TitleChar"/>
    <w:uiPriority w:val="10"/>
    <w:qFormat/>
    <w:rsid w:val="00B60C85"/>
    <w:pPr>
      <w:pBdr>
        <w:bottom w:val="single" w:sz="8" w:space="4" w:color="4F81BD"/>
      </w:pBdr>
      <w:spacing w:after="240"/>
      <w:ind w:left="567" w:right="567"/>
      <w:contextualSpacing/>
      <w:jc w:val="center"/>
    </w:pPr>
    <w:rPr>
      <w:spacing w:val="5"/>
      <w:kern w:val="28"/>
      <w:sz w:val="48"/>
      <w:szCs w:val="52"/>
    </w:rPr>
  </w:style>
  <w:style w:type="character" w:customStyle="1" w:styleId="TitleChar">
    <w:name w:val="Title Char"/>
    <w:basedOn w:val="DefaultParagraphFont"/>
    <w:link w:val="Title"/>
    <w:uiPriority w:val="10"/>
    <w:rsid w:val="00B60C85"/>
    <w:rPr>
      <w:rFonts w:ascii="Arial" w:eastAsia="Times New Roman" w:hAnsi="Arial" w:cs="Times New Roman"/>
      <w:spacing w:val="5"/>
      <w:kern w:val="28"/>
      <w:sz w:val="48"/>
      <w:szCs w:val="52"/>
    </w:rPr>
  </w:style>
  <w:style w:type="paragraph" w:styleId="Header">
    <w:name w:val="header"/>
    <w:basedOn w:val="Normal"/>
    <w:link w:val="HeaderChar"/>
    <w:uiPriority w:val="99"/>
    <w:unhideWhenUsed/>
    <w:rsid w:val="00674C49"/>
    <w:pPr>
      <w:tabs>
        <w:tab w:val="center" w:pos="4536"/>
        <w:tab w:val="right" w:pos="9072"/>
      </w:tabs>
    </w:pPr>
  </w:style>
  <w:style w:type="character" w:customStyle="1" w:styleId="HeaderChar">
    <w:name w:val="Header Char"/>
    <w:basedOn w:val="DefaultParagraphFont"/>
    <w:link w:val="Header"/>
    <w:uiPriority w:val="99"/>
    <w:rsid w:val="00674C49"/>
    <w:rPr>
      <w:rFonts w:ascii="Arial" w:hAnsi="Arial"/>
      <w:sz w:val="22"/>
      <w:szCs w:val="24"/>
      <w:lang w:eastAsia="en-US"/>
    </w:rPr>
  </w:style>
  <w:style w:type="paragraph" w:styleId="Footer">
    <w:name w:val="footer"/>
    <w:basedOn w:val="Normal"/>
    <w:link w:val="FooterChar"/>
    <w:uiPriority w:val="99"/>
    <w:unhideWhenUsed/>
    <w:rsid w:val="004B73F5"/>
    <w:pPr>
      <w:pBdr>
        <w:top w:val="single" w:sz="4" w:space="1" w:color="auto"/>
      </w:pBdr>
      <w:tabs>
        <w:tab w:val="center" w:pos="4536"/>
        <w:tab w:val="right" w:pos="9072"/>
      </w:tabs>
    </w:pPr>
    <w:rPr>
      <w:sz w:val="20"/>
    </w:rPr>
  </w:style>
  <w:style w:type="character" w:customStyle="1" w:styleId="FooterChar">
    <w:name w:val="Footer Char"/>
    <w:basedOn w:val="DefaultParagraphFont"/>
    <w:link w:val="Footer"/>
    <w:uiPriority w:val="99"/>
    <w:rsid w:val="004B73F5"/>
    <w:rPr>
      <w:rFonts w:ascii="Roboto Condensed" w:hAnsi="Roboto Condensed"/>
      <w:szCs w:val="24"/>
      <w:lang w:eastAsia="en-US"/>
    </w:rPr>
  </w:style>
  <w:style w:type="character" w:styleId="PlaceholderText">
    <w:name w:val="Placeholder Text"/>
    <w:basedOn w:val="DefaultParagraphFont"/>
    <w:uiPriority w:val="99"/>
    <w:semiHidden/>
    <w:rsid w:val="00674C49"/>
    <w:rPr>
      <w:color w:val="808080"/>
    </w:rPr>
  </w:style>
  <w:style w:type="paragraph" w:customStyle="1" w:styleId="viidemeie">
    <w:name w:val="viide:meie"/>
    <w:basedOn w:val="Normal"/>
    <w:next w:val="Normal"/>
    <w:rsid w:val="004F2E7A"/>
    <w:pPr>
      <w:spacing w:after="240"/>
    </w:pPr>
  </w:style>
  <w:style w:type="paragraph" w:customStyle="1" w:styleId="viideteie">
    <w:name w:val="viide:teie"/>
    <w:basedOn w:val="Normal"/>
    <w:next w:val="Normal"/>
    <w:rsid w:val="00674C49"/>
  </w:style>
  <w:style w:type="paragraph" w:customStyle="1" w:styleId="peakiri">
    <w:name w:val="peakiri"/>
    <w:basedOn w:val="Normal"/>
    <w:qFormat/>
    <w:rsid w:val="00691C46"/>
    <w:pPr>
      <w:spacing w:before="480" w:after="480"/>
      <w:ind w:right="3969"/>
    </w:pPr>
  </w:style>
  <w:style w:type="table" w:styleId="TableGrid">
    <w:name w:val="Table Grid"/>
    <w:basedOn w:val="TableNormal"/>
    <w:uiPriority w:val="59"/>
    <w:rsid w:val="00A5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642"/>
    <w:rPr>
      <w:rFonts w:ascii="Tahoma" w:hAnsi="Tahoma" w:cs="Tahoma"/>
      <w:sz w:val="16"/>
      <w:szCs w:val="16"/>
    </w:rPr>
  </w:style>
  <w:style w:type="character" w:customStyle="1" w:styleId="BalloonTextChar">
    <w:name w:val="Balloon Text Char"/>
    <w:basedOn w:val="DefaultParagraphFont"/>
    <w:link w:val="BalloonText"/>
    <w:uiPriority w:val="99"/>
    <w:semiHidden/>
    <w:rsid w:val="00202642"/>
    <w:rPr>
      <w:rFonts w:ascii="Tahoma" w:hAnsi="Tahoma" w:cs="Tahoma"/>
      <w:sz w:val="16"/>
      <w:szCs w:val="16"/>
      <w:lang w:eastAsia="en-US"/>
    </w:rPr>
  </w:style>
  <w:style w:type="paragraph" w:customStyle="1" w:styleId="JPP">
    <w:name w:val="JPP"/>
    <w:basedOn w:val="Normal"/>
    <w:qFormat/>
    <w:rsid w:val="004A0784"/>
    <w:rPr>
      <w:sz w:val="20"/>
      <w:szCs w:val="20"/>
    </w:rPr>
  </w:style>
  <w:style w:type="character" w:styleId="Hyperlink">
    <w:name w:val="Hyperlink"/>
    <w:basedOn w:val="DefaultParagraphFont"/>
    <w:uiPriority w:val="99"/>
    <w:unhideWhenUsed/>
    <w:rsid w:val="00683D28"/>
    <w:rPr>
      <w:color w:val="0000FF" w:themeColor="hyperlink"/>
      <w:u w:val="single"/>
    </w:rPr>
  </w:style>
  <w:style w:type="paragraph" w:styleId="ListParagraph">
    <w:name w:val="List Paragraph"/>
    <w:basedOn w:val="Normal"/>
    <w:uiPriority w:val="34"/>
    <w:qFormat/>
    <w:rsid w:val="004A1794"/>
    <w:pPr>
      <w:spacing w:after="120"/>
      <w:ind w:left="284"/>
    </w:pPr>
  </w:style>
  <w:style w:type="character" w:styleId="CommentReference">
    <w:name w:val="annotation reference"/>
    <w:basedOn w:val="DefaultParagraphFont"/>
    <w:uiPriority w:val="99"/>
    <w:semiHidden/>
    <w:unhideWhenUsed/>
    <w:rsid w:val="00492B39"/>
    <w:rPr>
      <w:sz w:val="16"/>
      <w:szCs w:val="16"/>
    </w:rPr>
  </w:style>
  <w:style w:type="paragraph" w:styleId="CommentText">
    <w:name w:val="annotation text"/>
    <w:basedOn w:val="Normal"/>
    <w:link w:val="CommentTextChar"/>
    <w:uiPriority w:val="99"/>
    <w:unhideWhenUsed/>
    <w:rsid w:val="00492B39"/>
    <w:rPr>
      <w:sz w:val="20"/>
      <w:szCs w:val="20"/>
    </w:rPr>
  </w:style>
  <w:style w:type="character" w:customStyle="1" w:styleId="CommentTextChar">
    <w:name w:val="Comment Text Char"/>
    <w:basedOn w:val="DefaultParagraphFont"/>
    <w:link w:val="CommentText"/>
    <w:uiPriority w:val="99"/>
    <w:rsid w:val="00492B39"/>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2B39"/>
    <w:rPr>
      <w:b/>
      <w:bCs/>
    </w:rPr>
  </w:style>
  <w:style w:type="character" w:customStyle="1" w:styleId="CommentSubjectChar">
    <w:name w:val="Comment Subject Char"/>
    <w:basedOn w:val="CommentTextChar"/>
    <w:link w:val="CommentSubject"/>
    <w:uiPriority w:val="99"/>
    <w:semiHidden/>
    <w:rsid w:val="00492B39"/>
    <w:rPr>
      <w:rFonts w:ascii="Times New Roman" w:hAnsi="Times New Roman"/>
      <w:b/>
      <w:bCs/>
      <w:lang w:eastAsia="en-US"/>
    </w:rPr>
  </w:style>
  <w:style w:type="paragraph" w:styleId="Revision">
    <w:name w:val="Revision"/>
    <w:hidden/>
    <w:uiPriority w:val="99"/>
    <w:semiHidden/>
    <w:rsid w:val="002801DB"/>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86D0524B8484C872624E5426ECECA"/>
        <w:category>
          <w:name w:val="Üldine"/>
          <w:gallery w:val="placeholder"/>
        </w:category>
        <w:types>
          <w:type w:val="bbPlcHdr"/>
        </w:types>
        <w:behaviors>
          <w:behavior w:val="content"/>
        </w:behaviors>
        <w:guid w:val="{F2B12189-BCFE-4FAF-B82A-C93620BF1058}"/>
      </w:docPartPr>
      <w:docPartBody>
        <w:p w:rsidR="009E0CA7" w:rsidRDefault="00167F85">
          <w:r>
            <w:rPr>
              <w:rStyle w:val="PlaceholderText"/>
            </w:rPr>
            <w:t>[Registratienummer]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3F"/>
    <w:rsid w:val="001115E8"/>
    <w:rsid w:val="00132012"/>
    <w:rsid w:val="00167F85"/>
    <w:rsid w:val="001F6DCC"/>
    <w:rsid w:val="00200601"/>
    <w:rsid w:val="00230142"/>
    <w:rsid w:val="00236525"/>
    <w:rsid w:val="002430A8"/>
    <w:rsid w:val="004267D7"/>
    <w:rsid w:val="004E4AA1"/>
    <w:rsid w:val="005026AF"/>
    <w:rsid w:val="0074389C"/>
    <w:rsid w:val="0084179F"/>
    <w:rsid w:val="009310C0"/>
    <w:rsid w:val="009C1CB5"/>
    <w:rsid w:val="009E0CA7"/>
    <w:rsid w:val="00A0083F"/>
    <w:rsid w:val="00BA6EB7"/>
    <w:rsid w:val="00E777A7"/>
    <w:rsid w:val="00F647FA"/>
    <w:rsid w:val="00F728E4"/>
    <w:rsid w:val="00FA44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8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RMUniqueID xmlns="609eabb9-0856-44a7-8264-14370f27e90d">16e4ab9d-90c7-47c0-a831-ea215587c271</RMUniqueID>
    <RMTitle xmlns="609eabb9-0856-44a7-8264-14370f27e90d"/>
    <RMRegistrationDate xmlns="609eabb9-0856-44a7-8264-14370f27e90d" xsi:nil="true"/>
    <RMReferenceCode xmlns="609eabb9-0856-44a7-8264-14370f27e90d" xsi:nil="true"/>
    <RMFolderChain xmlns="609eabb9-0856-44a7-8264-14370f27e90d" xsi:nil="true"/>
    <Allkirjastaja xmlns="609eabb9-0856-44a7-8264-14370f27e90d">Kristen Michal</Allkirjastaja>
    <Allkirjastaja_x0020_nimi xmlns="609eabb9-0856-44a7-8264-14370f27e90d"/>
    <Allkirjastaja_x0020_amet_x002F_roll xmlns="609eabb9-0856-44a7-8264-14370f27e90d">kliimaminister</Allkirjastaja_x0020_amet_x002F_roll>
    <Koostaja xmlns="609eabb9-0856-44a7-8264-14370f27e90d">Eduard Kärstna</Koostaja>
    <RMRecipients xmlns="609eabb9-0856-44a7-8264-14370f27e90d" xsi:nil="true"/>
    <RMAdditionalRecipients xmlns="609eabb9-0856-44a7-8264-14370f27e90d" xsi:nil="true"/>
    <RMAccessRestriction xmlns="609eabb9-0856-44a7-8264-14370f27e90d"/>
    <RMAccessRestrictedFrom xmlns="609eabb9-0856-44a7-8264-14370f27e90d" xsi:nil="true"/>
    <RMAccessRestrictedUntil xmlns="609eabb9-0856-44a7-8264-14370f27e90d" xsi:nil="true"/>
    <RMForPDF xmlns="609eabb9-0856-44a7-8264-14370f27e90d">true</RMForPDF>
    <RMPrimaryDocument xmlns="609eabb9-0856-44a7-8264-14370f27e90d" xsi:nil="true"/>
    <RMSubDocumentCount xmlns="609eabb9-0856-44a7-8264-14370f27e90d" xsi:nil="true"/>
    <RMInSigningContainer xmlns="609eabb9-0856-44a7-8264-14370f27e90d" xsi:nil="true"/>
    <RMForSigning xmlns="609eabb9-0856-44a7-8264-14370f27e90d" xsi:nil="true"/>
    <RMBackgroundInfo xmlns="609eabb9-0856-44a7-8264-14370f27e90d" xsi:nil="true"/>
    <RMForPublic xmlns="609eabb9-0856-44a7-8264-14370f27e90d" xsi:nil="true"/>
    <RMRevisionStatus xmlns="609eabb9-0856-44a7-8264-14370f27e90d" xsi:nil="true"/>
    <RMAddDocumentDataToFileName xmlns="609eabb9-0856-44a7-8264-14370f27e90d">false</RMAddDocumentDataToFileName>
    <RMOrderPosition xmlns="609eabb9-0856-44a7-8264-14370f27e90d" xsi:nil="true"/>
    <RMAccessRestrictionOwner xmlns="609eabb9-0856-44a7-8264-14370f27e90d">Eduard Kärstna</RMAccessRestrictionOwner>
    <RMAccessRestrictionLevel xmlns="609eabb9-0856-44a7-8264-14370f27e90d">Avalik</RMAccessRestrictionLevel>
    <RMAccessRestrictionReason xmlns="609eabb9-0856-44a7-8264-14370f27e90d" xsi:nil="true"/>
    <RMAccessRestrictionNotificationTime xmlns="609eabb9-0856-44a7-8264-14370f27e90d" xsi:nil="true"/>
    <RMAccessRestrictionDate xmlns="609eabb9-0856-44a7-8264-14370f27e90d" xsi:nil="true"/>
    <RMAccessRestrictionEndEvent xmlns="609eabb9-0856-44a7-8264-14370f27e90d" xsi:nil="true"/>
    <RMAccessRestrictionDuration xmlns="609eabb9-0856-44a7-8264-14370f27e90d" xsi:nil="true"/>
    <RMInheritedFields xmlns="609eabb9-0856-44a7-8264-14370f27e90d" xsi:nil="true"/>
    <Telefon xmlns="609eabb9-0856-44a7-8264-14370f27e90d" xsi:nil="true"/>
    <RMPublishedDocumentUniqueId xmlns="609eabb9-0856-44a7-8264-14370f27e90d" xsi:nil="true"/>
    <RMPaperDocumentRetentionSchedule xmlns="609eabb9-0856-44a7-8264-14370f27e90d" xsi:nil="true"/>
    <RMAccessRestrictionOwnerTemp xmlns="609eabb9-0856-44a7-8264-14370f27e90d" xsi:nil="true"/>
    <RMAccessRestrictionOwnerTempUntil xmlns="609eabb9-0856-44a7-8264-14370f27e90d" xsi:nil="true"/>
    <RMAccessRestrictionExtended xmlns="609eabb9-0856-44a7-8264-14370f27e90d" xsi:nil="true"/>
    <RMRetentionDeadline xmlns="609eabb9-0856-44a7-8264-14370f27e90d" xsi:nil="true"/>
    <RMNotes xmlns="609eabb9-0856-44a7-8264-14370f27e90d" xsi:nil="true"/>
    <RMShouldArchiveFilesOnRegistration xmlns="609eabb9-0856-44a7-8264-14370f27e90d">true</RMShouldArchiveFilesOnRegistration>
    <RMKeywords xmlns="609eabb9-0856-44a7-8264-14370f27e90d" xsi:nil="true"/>
    <RMStatus xmlns="609eabb9-0856-44a7-8264-14370f27e90d">Captured</RM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156" fp:containerId="228b4970-73de-44a4-83e2-9513be360001" fp:lcid="1061" ma:contentTypeName="Ministri_määrus">
  <xs:schema xmlns:f="609eabb9-0856-44a7-8264-14370f27e90d"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FolderChain" minOccurs="0"/>
                <xs:element ref="f:Allkirjastaja" minOccurs="0"/>
                <xs:element ref="f:Allkirjastaja_x0020_nimi" minOccurs="0"/>
                <xs:element ref="f:Allkirjastaja_x0020_amet_x002F_roll" minOccurs="0"/>
                <xs:element ref="f:Koostaja" minOccurs="0"/>
                <xs:element ref="f:RMRecipients" minOccurs="0"/>
                <xs:element ref="f:RMAdditionalRecipients"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RMAccessRestrictionOwnerTemp" minOccurs="0"/>
                <xs:element ref="f:RMAccessRestrictionOwnerTempUntil" minOccurs="0"/>
                <xs:element ref="f:RMAccessRestrictionExtended"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609eabb9-0856-44a7-8264-14370f27e90d"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255"/>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RMFolderChain" ma:displayName="RMFolderChain" ma:index="4" ma:internalName="RMFolderChain" nillable="true" ma:readOnly="true" fp:namespace="228B497073DE44A483E29513BE360001" fp:type="String">
      <xs:simpleType>
        <xs:restriction base="dms:Text"/>
      </xs:simpleType>
    </xs:element>
    <xs:element name="Allkirjastaja" ma:displayName="Allkirjastaja" ma:index="5" ma:internalName="Allkirjastaja" nillable="true" ma:readOnly="true" fp:namespace="228B497073DE44A483E29513BE360001" fp:type="String">
      <xs:simpleType>
        <xs:restriction base="dms:Text"/>
      </xs:simpleType>
    </xs:element>
    <xs:element name="Allkirjastaja_x0020_nimi" ma:displayName="Allkirjastaja nimi" ma:index="6" ma:internalName="Allkirjastaja_x0020_nimi" ma:readOnly="true" fp:namespace="228B497073DE44A483E29513BE360001" fp:type="String">
      <xs:simpleType>
        <xs:restriction base="dms:Text"/>
      </xs:simpleType>
    </xs:element>
    <xs:element name="Allkirjastaja_x0020_amet_x002F_roll" ma:displayName="Allkirjastaja amet/roll" ma:index="7" ma:internalName="Allkirjastaja_x0020_amet_x002F_roll" nillable="true" fp:namespace="228B497073DE44A483E29513BE360001" fp:type="String">
      <xs:simpleType>
        <xs:restriction base="dms:Text"/>
      </xs:simpleType>
    </xs:element>
    <xs:element name="Koostaja" ma:displayName="Koostaja" ma:index="8" ma:internalName="Koostaja" ma:readOnly="true" fp:namespace="228B497073DE44A483E29513BE360001" fp:type="String">
      <xs:simpleType>
        <xs:restriction base="dms:Text"/>
      </xs:simpleType>
    </xs:element>
    <xs:element name="RMRecipients" ma:displayName="Adressaadid" ma:index="9" ma:internalName="RMRecipients" nillable="true" fp:namespace="228B497073DE44A483E29513BE360001" fp:type="String">
      <xs:simpleType>
        <xs:restriction base="dms:Text"/>
      </xs:simpleType>
    </xs:element>
    <xs:element name="RMAdditionalRecipients" ma:displayName="Adressaadid/jaotuskava" ma:index="10" ma:internalName="RMAdditionalRecipients" nillable="true" fp:namespace="228B497073DE44A483E29513BE360001" fp:type="String">
      <xs:simpleType>
        <xs:restriction base="dms:Text"/>
      </xs:simpleType>
    </xs:element>
    <xs:element name="RMAccessRestriction" ma:displayName="Juurdepääsupiirang" ma:index="11" ma:internalName="RMAccessRestriction" ma:readOnly="true" fp:namespace="228B497073DE44A483E29513BE360001" fp:type="String">
      <xs:simpleType>
        <xs:restriction base="dms:Text"/>
      </xs:simpleType>
    </xs:element>
    <xs:element name="RMAccessRestrictedFrom" ma:displayName="Juurdepääsupiirangu algusaeg" ma:index="12"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13" ma:internalName="RMAccessRestrictedUntil" nillable="true" ma:readOnly="true" fp:namespace="228B497073DE44A483E29513BE360001" ma:format="DateOnly" fp:type="DateTime">
      <xs:simpleType>
        <xs:restriction base="dms:DateTime"/>
      </xs:simpleType>
    </xs:element>
    <xs:element name="RMForPDF" ma:displayName="Tee PDFiks" ma:index="14" ma:internalName="RMForPDF" nillable="true" ma:readOnly="true" fp:namespace="228B497073DE44A483E29513BE360001" fp:type="Boolean">
      <xs:simpleType>
        <xs:restriction base="dms:Boolean"/>
      </xs:simpleType>
    </xs:element>
    <xs:element name="RMPrimaryDocument" ma:displayName="Esmane dokument" ma:index="15" ma:internalName="RMPrimaryDocument" nillable="true" ma:readOnly="true" fp:namespace="228B497073DE44A483E29513BE360001" fp:type="Boolean">
      <xs:simpleType>
        <xs:restriction base="dms:Boolean"/>
      </xs:simpleType>
    </xs:element>
    <xs:element name="RMSubDocumentCount" ma:displayName="Alamdokumentide arv" ma:index="16"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7" ma:internalName="RMInSigningContainer" nillable="true" ma:readOnly="true" fp:namespace="228B497073DE44A483E29513BE360001" fp:type="Boolean">
      <xs:simpleType>
        <xs:restriction base="dms:Boolean"/>
      </xs:simpleType>
    </xs:element>
    <xs:element name="RMForSigning" ma:displayName="Allkirjastamiseks" ma:index="18" ma:internalName="RMForSigning" nillable="true" ma:readOnly="true" fp:namespace="228B497073DE44A483E29513BE360001" fp:type="Boolean">
      <xs:simpleType>
        <xs:restriction base="dms:Boolean"/>
      </xs:simpleType>
    </xs:element>
    <xs:element name="RMBackgroundInfo" ma:displayName="Taustainfo" ma:index="19" ma:internalName="RMBackgroundInfo" nillable="true" ma:readOnly="true" fp:namespace="228B497073DE44A483E29513BE360001" fp:type="Boolean">
      <xs:simpleType>
        <xs:restriction base="dms:Boolean"/>
      </xs:simpleType>
    </xs:element>
    <xs:element name="RMForPublic" ma:displayName="ADR" ma:index="20" ma:internalName="RMForPublic" nillable="true" ma:readOnly="true" fp:namespace="228B497073DE44A483E29513BE360001" fp:type="Boolean">
      <xs:simpleType>
        <xs:restriction base="dms:Boolean"/>
      </xs:simpleType>
    </xs:element>
    <xs:element name="RMRevisionStatus" ma:displayName="Versiooni olek" ma:index="21"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22"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23"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24" ma:internalName="RMAccessRestrictionOwner" ma:readOnly="true" fp:namespace="228B497073DE44A483E29513BE360001" fp:type="String">
      <xs:simpleType>
        <xs:restriction base="dms:Text"/>
      </xs:simpleType>
    </xs:element>
    <xs:element name="RMAccessRestrictionLevel" ma:displayName="Juurdepääsupiirangu tase" ma:index="25"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6"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7"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8"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9" ma:internalName="RMAccessRestrictionEndEvent" nillable="true" ma:readOnly="true" fp:namespace="228B497073DE44A483E29513BE360001" fp:type="String">
      <xs:simpleType>
        <xs:restriction base="dms:Text"/>
      </xs:simpleType>
    </xs:element>
    <xs:element name="RMAccessRestrictionDuration" ma:displayName="Kestus" ma:index="30"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31" ma:internalName="RMInheritedFields" nillable="true" ma:readOnly="true" fp:namespace="228B497073DE44A483E29513BE360001" fp:type="String">
      <xs:simpleType>
        <xs:restriction base="dms:Text"/>
      </xs:simpleType>
    </xs:element>
    <xs:element name="Telefon" ma:displayName="Telefon" ma:index="32" ma:internalName="Telefon" nillable="true" ma:readOnly="true" fp:namespace="228B497073DE44A483E29513BE360001" fp:type="String">
      <xs:simpleType>
        <xs:restriction base="dms:Text"/>
      </xs:simpleType>
    </xs:element>
    <xs:element name="RMPublishedDocumentUniqueId" ma:displayName="Viide avaldatud dokumendile" ma:index="33"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34" ma:internalName="RMPaperDocumentRetentionSchedule" nillable="true" ma:readOnly="true" fp:namespace="228B497073DE44A483E29513BE360001" fp:type="String">
      <xs:simpleType>
        <xs:restriction base="dms:Text"/>
      </xs:simpleType>
    </xs:element>
    <xs:element name="RMAccessRestrictionOwnerTemp" ma:displayName="Juurdepääsupiirangu eest ajutine vastutaja" ma:index="3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7" ma:internalName="RMAccessRestrictionExtended" nillable="true" ma:readOnly="true" fp:namespace="228B497073DE44A483E29513BE360001" ma:format="DateTime" fp:type="DateTime">
      <xs:simpleType>
        <xs:restriction base="dms:DateTime"/>
      </xs:simpleType>
    </xs:element>
    <xs:element name="RMRetentionDeadline" ma:displayName="Säilitustähtaeg" ma:index="38" ma:internalName="RMRetentionDeadline" nillable="true" ma:readOnly="true" fp:namespace="228B497073DE44A483E29513BE360001" ma:format="DateOnly" fp:type="DateTime">
      <xs:simpleType>
        <xs:restriction base="dms:DateTime"/>
      </xs:simpleType>
    </xs:element>
    <xs:element name="RMNotes" ma:displayName="Märkused" ma:index="39" ma:internalName="RMNotes" nillable="true" fp:namespace="228B497073DE44A483E29513BE360001" fp:type="String">
      <xs:simpleType>
        <xs:restriction base="dms:Text"/>
      </xs:simpleType>
    </xs:element>
    <xs:element name="RMShouldArchiveFilesOnRegistration" ma:displayName="Teisendada registreerimisel arhiivivormingusse" ma:index="40" ma:internalName="RMShouldArchiveFilesOnRegistration" nillable="true" ma:readOnly="true" fp:namespace="228B497073DE44A483E29513BE360001" fp:type="Boolean">
      <xs:simpleType>
        <xs:restriction base="dms:Boolean"/>
      </xs:simpleType>
    </xs:element>
    <xs:element name="RMKeywords" ma:displayName="Märksõnad" ma:index="41" ma:internalName="RMKeywords" nillable="true" fp:namespace="228B497073DE44A483E29513BE360001" fp:type="String">
      <xs:simpleType>
        <xs:restriction base="dms:Text"/>
      </xs:simpleType>
    </xs:element>
    <xs:element name="RMStatus" ma:displayName="Seisundi kood" ma:index="42" ma:internalName="RMStatus" nillable="true" ma:readOnly="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Props1.xml><?xml version="1.0" encoding="utf-8"?>
<ds:datastoreItem xmlns:ds="http://schemas.openxmlformats.org/officeDocument/2006/customXml" ds:itemID="{98B7FAEE-E3D3-40B6-8C86-D029D4B48031}">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609eabb9-0856-44a7-8264-14370f27e90d"/>
    <ds:schemaRef ds:uri="http://purl.org/dc/terms/"/>
  </ds:schemaRefs>
</ds:datastoreItem>
</file>

<file path=customXml/itemProps2.xml><?xml version="1.0" encoding="utf-8"?>
<ds:datastoreItem xmlns:ds="http://schemas.openxmlformats.org/officeDocument/2006/customXml" ds:itemID="{3F4676CC-AA43-4A0C-BFFC-0822DFD447AE}">
  <ds:schemaRefs>
    <ds:schemaRef ds:uri="http://schemas.openxmlformats.org/officeDocument/2006/bibliography"/>
  </ds:schemaRefs>
</ds:datastoreItem>
</file>

<file path=customXml/itemProps3.xml><?xml version="1.0" encoding="utf-8"?>
<ds:datastoreItem xmlns:ds="http://schemas.openxmlformats.org/officeDocument/2006/customXml" ds:itemID="{FBEFA6A8-2F5B-422F-A4E4-B3E8446A16CA}">
  <ds:schemaRefs>
    <ds:schemaRef ds:uri="http://schemas.microsoft.com/sharepoint/v3/contenttype/forms"/>
  </ds:schemaRefs>
</ds:datastoreItem>
</file>

<file path=customXml/itemProps4.xml><?xml version="1.0" encoding="utf-8"?>
<ds:datastoreItem xmlns:ds="http://schemas.openxmlformats.org/officeDocument/2006/customXml" ds:itemID="{089C393E-CC57-4145-B30F-EDD3BA7CDB7E}">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609eabb9-0856-44a7-8264-14370f27e90d"/>
    <ds:schemaRef ds:uri="http://schemas.microsoft.com/office/2006/documentManagement/type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4350</Words>
  <Characters>24797</Characters>
  <Application>Microsoft Office Word</Application>
  <DocSecurity>0</DocSecurity>
  <Lines>206</Lines>
  <Paragraphs>58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Majandus- ja taristuministri 3. augusti 2015. a määruse nr 101 "Tee ehitamise kvaliteedi nõuded" muutmine</vt:lpstr>
      <vt:lpstr>Majandus- ja taristuministri 3. augusti 2015. a määruse nr 101 "Tee ehitamise kvaliteedi nõuded" muutmine</vt: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 ja taristuministri 3. augusti 2015. a määruse nr 101 "Tee ehitamise kvaliteedi nõuded" muutmine</dc:title>
  <dc:subject/>
  <dc:creator>Eduard Kärstna</dc:creator>
  <dc:description/>
  <cp:lastModifiedBy>Anastasia Stavroulaki</cp:lastModifiedBy>
  <cp:revision>25</cp:revision>
  <dcterms:created xsi:type="dcterms:W3CDTF">2024-07-30T11:58:00Z</dcterms:created>
  <dcterms:modified xsi:type="dcterms:W3CDTF">2024-08-16T09:58:00Z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2024-07-30T11:58:43Z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5061512a-5539-477a-ad90-896f551dc6ae</vt:lpwstr>
  </property>
  <property fmtid="{D5CDD505-2E9C-101B-9397-08002B2CF9AE}" pid="8" name="MSIP_Label_defa4170-0d19-0005-0004-bc88714345d2_ContentBits">
    <vt:lpwstr>0</vt:lpwstr>
  </property>
</Properties>
</file>