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07934B4" w:rsidR="00707565" w:rsidRPr="00DA2B15" w:rsidRDefault="00707565" w:rsidP="00D92212">
      <w:pPr>
        <w:ind w:left="6387" w:right="49" w:hanging="378"/>
        <w:jc w:val="center"/>
        <w:rPr>
          <w:b/>
          <w:szCs w:val="24"/>
          <w:lang w:val="el-GR"/>
        </w:rPr>
      </w:pPr>
      <w:r>
        <w:rPr>
          <w:b/>
        </w:rPr>
        <w:t>Проект</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ЗАКОН</w:t>
      </w:r>
    </w:p>
    <w:p w14:paraId="0740D84F" w14:textId="5A84A9FA" w:rsidR="00DE3FCE" w:rsidRPr="00C04037" w:rsidRDefault="00DE3FCE" w:rsidP="00DE3FCE">
      <w:pPr>
        <w:jc w:val="center"/>
        <w:rPr>
          <w:b/>
          <w:caps/>
        </w:rPr>
      </w:pPr>
      <w:r>
        <w:rPr>
          <w:b/>
          <w:caps/>
        </w:rPr>
        <w:t>ОТНОСНО ИЗМЕНЕНИЯТА НА ЧЛЕНОВЕ 2 И 20</w:t>
      </w:r>
      <w:r>
        <w:rPr>
          <w:b/>
          <w:caps/>
          <w:vertAlign w:val="superscript"/>
        </w:rPr>
        <w:t>7</w:t>
      </w:r>
      <w:r>
        <w:rPr>
          <w:b/>
          <w:caps/>
        </w:rPr>
        <w:t xml:space="preserve"> НА ЗАКОНА ЗА ХАЗАРТА НА РЕПУБЛИКА ЛИТВА</w:t>
      </w:r>
    </w:p>
    <w:p w14:paraId="5A20FC9E" w14:textId="43E302BE" w:rsidR="00F57874" w:rsidRPr="00C04037" w:rsidRDefault="00DE3FCE" w:rsidP="00DE3FCE">
      <w:pPr>
        <w:jc w:val="center"/>
        <w:rPr>
          <w:b/>
          <w:caps/>
        </w:rPr>
      </w:pPr>
      <w:r>
        <w:rPr>
          <w:b/>
          <w:caps/>
        </w:rPr>
        <w:t xml:space="preserve">№ IX-325 </w:t>
      </w:r>
    </w:p>
    <w:p w14:paraId="6FB2CCE1" w14:textId="77777777" w:rsidR="007A525D" w:rsidRDefault="007A525D">
      <w:pPr>
        <w:jc w:val="center"/>
        <w:rPr>
          <w:szCs w:val="24"/>
        </w:rPr>
      </w:pPr>
    </w:p>
    <w:p w14:paraId="08D1F4BF" w14:textId="0905F4D4" w:rsidR="00F57874" w:rsidRPr="00F12EAF" w:rsidRDefault="00DA2B15">
      <w:pPr>
        <w:jc w:val="center"/>
        <w:rPr>
          <w:szCs w:val="24"/>
        </w:rPr>
      </w:pPr>
      <w:r>
        <w:t>№       от          2024 г.</w:t>
      </w:r>
    </w:p>
    <w:p w14:paraId="79A6EADF" w14:textId="77777777" w:rsidR="00F57874" w:rsidRPr="00F12EAF" w:rsidRDefault="00010B6F">
      <w:pPr>
        <w:jc w:val="center"/>
        <w:rPr>
          <w:b/>
          <w:szCs w:val="24"/>
        </w:rPr>
      </w:pPr>
      <w:r>
        <w:t>Вилнюс</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Член 1. Изменение на член 2</w:t>
      </w:r>
    </w:p>
    <w:p w14:paraId="56191B23" w14:textId="193C5573" w:rsidR="008074DB" w:rsidRDefault="008074DB" w:rsidP="00831EBE">
      <w:pPr>
        <w:ind w:firstLine="720"/>
        <w:jc w:val="both"/>
        <w:rPr>
          <w:szCs w:val="24"/>
        </w:rPr>
      </w:pPr>
      <w:r>
        <w:t>Член 2, параграф 31 се изменя и гласи следното:</w:t>
      </w:r>
    </w:p>
    <w:p w14:paraId="2BD267D2" w14:textId="7978C855" w:rsidR="003D1173" w:rsidRDefault="003D1173" w:rsidP="00831EBE">
      <w:pPr>
        <w:ind w:firstLine="720"/>
        <w:jc w:val="both"/>
        <w:rPr>
          <w:color w:val="000000"/>
        </w:rPr>
      </w:pPr>
      <w:r>
        <w:t>„</w:t>
      </w:r>
      <w:r>
        <w:rPr>
          <w:color w:val="000000"/>
        </w:rPr>
        <w:t>31. Понятието „администратор“, използвано в настоящия Закон, се разбира като понятието „бенефициер“ по смисъла на Закона на Република Литва за предотвратяване на изпирането на пари и финансирането на тероризма. Останалите понятия, използвани в настоящия Закон, се разбират така, както са дефинирани в Закона за предотвратяване на изпирането на пари и финансирането на тероризма, Закона на Република Литва за финансовата отчетност и Закона на Република Литва за плащанията.“</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Член 2. Изменение на член 20</w:t>
      </w:r>
      <w:r>
        <w:rPr>
          <w:b/>
          <w:vertAlign w:val="superscript"/>
        </w:rPr>
        <w:t>7</w:t>
      </w:r>
    </w:p>
    <w:p w14:paraId="03C9EC55" w14:textId="7E9093D8" w:rsidR="00241196" w:rsidRPr="00AE66B1" w:rsidRDefault="00241196" w:rsidP="00AE66B1">
      <w:pPr>
        <w:ind w:firstLine="720"/>
        <w:jc w:val="both"/>
        <w:rPr>
          <w:color w:val="000000"/>
          <w:szCs w:val="24"/>
        </w:rPr>
      </w:pPr>
      <w:r>
        <w:t>Член 20</w:t>
      </w:r>
      <w:r>
        <w:rPr>
          <w:vertAlign w:val="superscript"/>
        </w:rPr>
        <w:t>7</w:t>
      </w:r>
      <w:r>
        <w:t xml:space="preserve"> се изменя и гласи следното:</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Член 20</w:t>
      </w:r>
      <w:r>
        <w:rPr>
          <w:b/>
          <w:color w:val="000000"/>
          <w:vertAlign w:val="superscript"/>
        </w:rPr>
        <w:t>7</w:t>
      </w:r>
      <w:r>
        <w:rPr>
          <w:b/>
          <w:color w:val="000000"/>
        </w:rPr>
        <w:t xml:space="preserve">. </w:t>
      </w:r>
      <w:r>
        <w:rPr>
          <w:b/>
        </w:rPr>
        <w:t>Мерки за борба с незаконните оператори на хазартни игри от разстояние и договорености за плащания за участието в хазартни игри от разстояние</w:t>
      </w:r>
    </w:p>
    <w:p w14:paraId="422F135F" w14:textId="6B476C79" w:rsidR="003712E3" w:rsidRPr="00D92212" w:rsidRDefault="003712E3" w:rsidP="003712E3">
      <w:pPr>
        <w:ind w:firstLine="720"/>
        <w:jc w:val="both"/>
        <w:rPr>
          <w:bCs/>
          <w:color w:val="000000"/>
          <w:szCs w:val="24"/>
        </w:rPr>
      </w:pPr>
      <w:r>
        <w:rPr>
          <w:color w:val="000000"/>
        </w:rPr>
        <w:t>1. След като проведе разследване и установи, че незаконен оператор на хазартни игри организира хазартни игри от разстояние в Република Литва, литовският орган за контрол на хазартните игри издава едната или и двете задължителни инструкции:</w:t>
      </w:r>
    </w:p>
    <w:p w14:paraId="604E9F0D" w14:textId="1A72885B" w:rsidR="003712E3" w:rsidRPr="00D92212" w:rsidRDefault="00F537F9" w:rsidP="003712E3">
      <w:pPr>
        <w:ind w:firstLine="720"/>
        <w:jc w:val="both"/>
        <w:rPr>
          <w:bCs/>
          <w:color w:val="000000"/>
          <w:szCs w:val="24"/>
        </w:rPr>
      </w:pPr>
      <w:r>
        <w:rPr>
          <w:color w:val="000000"/>
        </w:rPr>
        <w:t>1) за прекратяване от страна на доставчика на платежни услуги на плащания или други финансови операции, свързани със субект, участващ в незаконни хазартни дейности от разстояние в Република Литва, включително плащания за участие в игри от разстояние, организирани от незаконни оператори на хазартни игри, плащания на печалби и приемане на залози в полза на субекта, организиращ незаконни хазартни игри;</w:t>
      </w:r>
    </w:p>
    <w:p w14:paraId="7077647A" w14:textId="1429E83D" w:rsidR="003712E3" w:rsidRPr="00D92212" w:rsidRDefault="00F537F9" w:rsidP="00433BA1">
      <w:pPr>
        <w:ind w:firstLine="720"/>
        <w:jc w:val="both"/>
        <w:rPr>
          <w:bCs/>
          <w:color w:val="000000"/>
          <w:szCs w:val="24"/>
        </w:rPr>
      </w:pPr>
      <w:r>
        <w:rPr>
          <w:color w:val="000000"/>
        </w:rPr>
        <w:t>2) за премахване в съответствие с процедурата, предвидена в член 98 от Закона на Република Литва за електронните съобщения, информацията, използвана за незаконното провеждане на хазартни игри от разстояние, или за премахване на достъпа до тази информация.</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Органът за контрол, с оглед издаване на заповед, посочена в параграф 1, точка 1 от настоящия член, в срок от три работни дни от откриването на незаконната хазартна дейност от разстояние</w:t>
      </w:r>
      <w:r>
        <w:t xml:space="preserve"> </w:t>
      </w:r>
      <w:r>
        <w:rPr>
          <w:color w:val="000000"/>
        </w:rPr>
        <w:t xml:space="preserve">подава заявление за разрешение за действие до първоинстанционния административен съд. Заявлението за разрешение за действие трябва да съдържа името на лицето, за което се твърди, че е извършило нарушението, естеството на предполагаемите нарушения и предвиденото действие. Първоинстанционният административен съд разглежда заявлението за разрешение за действие и издава мотивирано определение, с което уважава или отхвърля заявлението за разрешение за действие. Заявлението за разрешение за действие трябва да се разгледа и да се издаде заповед не по-късно от три дни след подаване на заявлението за разрешително за действие. Ако органът за контрол не е съгласен с решението на първоинстанционния административен съд, с което се отхвърля заявлението за разрешение за действие, той има право да обжалва решението пред Върховния административен съд на Литва в срок от седем дни от постановяването на това решение. Върховният административен съд на Литва трябва да разгледа жалбата срещу решението на първоинстанционния административен съд, с което се отхвърля заявлението за разрешение за действие, не по-късно от седем дни от датата на получаване на жалбата на органа за контрол. Представителят на </w:t>
      </w:r>
      <w:r>
        <w:rPr>
          <w:color w:val="000000"/>
        </w:rPr>
        <w:lastRenderedPageBreak/>
        <w:t>органа за контрол има право да присъства при разглеждането на жалбата в рамките на устната процедура. Решението на Върховния административен съд на Литва е окончателно и не подлежи на обжалване. Когато разглеждат искания и жалби във връзка с издаването на разрешение за действие, съдилищата трябва да проверят поверителността на получената информация и планираните действия.</w:t>
      </w:r>
    </w:p>
    <w:p w14:paraId="2527BBD0" w14:textId="309CBEA9" w:rsidR="003712E3" w:rsidRDefault="003712E3" w:rsidP="003712E3">
      <w:pPr>
        <w:ind w:firstLine="720"/>
        <w:jc w:val="both"/>
        <w:rPr>
          <w:color w:val="000000"/>
          <w:szCs w:val="24"/>
        </w:rPr>
      </w:pPr>
      <w:r>
        <w:t>3</w:t>
      </w:r>
      <w:r>
        <w:rPr>
          <w:color w:val="000000"/>
        </w:rPr>
        <w:t>. Органът за контрол оповестява публично информацията за установените незаконни оператори на хазартни игри, които незаконно организират хазартни игри от разстояние в Република Литва (тези оператори не са включени в списъка на субектите</w:t>
      </w:r>
      <w:r>
        <w:t xml:space="preserve"> </w:t>
      </w:r>
      <w:r>
        <w:rPr>
          <w:color w:val="000000"/>
        </w:rPr>
        <w:t>на органа за контрол, на които е разрешено да участват в хазартни дейности от разстояние в Република Литва (наричан по-долу в настоящия член „Списъкът“), и информират, че определените дейности за предоставяне на услуги в областта на хазартните игри от разстояние се извършват незаконно.</w:t>
      </w:r>
    </w:p>
    <w:p w14:paraId="5275184C" w14:textId="0A761486" w:rsidR="00E76A47" w:rsidRPr="00D92212" w:rsidRDefault="00E76A47" w:rsidP="00B371EB">
      <w:pPr>
        <w:ind w:firstLine="720"/>
        <w:jc w:val="both"/>
        <w:rPr>
          <w:bCs/>
          <w:iCs/>
        </w:rPr>
      </w:pPr>
      <w:r>
        <w:rPr>
          <w:color w:val="000000"/>
        </w:rPr>
        <w:t>4. Доставчикът на платежни услуги изпълнява само платежни и/или дистанционни платежни операции, свързани със или инициирани с платежна карта в полза на субектите от Списъка</w:t>
      </w:r>
      <w:r>
        <w:t xml:space="preserve">. </w:t>
      </w:r>
    </w:p>
    <w:p w14:paraId="5B63201C" w14:textId="55EB2EE4" w:rsidR="00CF58B3" w:rsidRPr="00D92212" w:rsidRDefault="00E76A47" w:rsidP="00CF58B3">
      <w:pPr>
        <w:ind w:firstLine="720"/>
        <w:jc w:val="both"/>
        <w:rPr>
          <w:bCs/>
          <w:iCs/>
        </w:rPr>
      </w:pPr>
      <w:r>
        <w:rPr>
          <w:color w:val="000000"/>
        </w:rPr>
        <w:t>5.</w:t>
      </w:r>
      <w:r>
        <w:t xml:space="preserve"> Даден субект се добавя към Списъка на датата, на която му е предоставен лиценз за хазартни игри, и се заличава от Списъка на датата, на която лицензът му за хазартни игри е отнет. Списъкът, съдържащ наименованието на юридическото лице, кода на юридическото лице, номера на сметката, уникалния идентификационен номер на търговеца, определен от организацията за платежни карти, се публикува от органа за контрол на неговия уебсайт. </w:t>
      </w:r>
    </w:p>
    <w:p w14:paraId="067B233A" w14:textId="3391AC68" w:rsidR="003712E3" w:rsidRPr="00D92212" w:rsidRDefault="00241196" w:rsidP="000F7446">
      <w:pPr>
        <w:ind w:firstLine="720"/>
        <w:jc w:val="both"/>
        <w:rPr>
          <w:color w:val="000000"/>
          <w:szCs w:val="24"/>
        </w:rPr>
      </w:pPr>
      <w:r>
        <w:t>6</w:t>
      </w:r>
      <w:r>
        <w:rPr>
          <w:color w:val="000000"/>
        </w:rPr>
        <w:t>. Редът за ограничаване на плащанията за участие в хазартни игри от разстояние, организирани от незаконни оператори на хазартни игри, и изплащането на печалби от доставчици на платежни услуги, извършващи дейност в Република Литва, се определят от органа за контрол със съгласието на Банката на Литва.“</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Член 3. Влизане в сила и изпълнение на Закона</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Настоящият закон, с изключение на параграф 2 от настоящия член, влиза в сила на 1 май 2025 г.</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Директорът на органа за контрол на хазарта към министерството на финансите на Република Литва следва да приеме приложеното законодателство по отношение на настоящия Закон до 31 януари 2025 г.</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С настоящото обнародвам настоящия закон, приет от Сейма (парламента на Република Литва) на Република Литва.</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Президент на Републиката</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86E6B"/>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5F5"/>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2B15"/>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bg-BG"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2.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9187C8-7DAE-40FA-A600-3FEC5541C1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818</Words>
  <Characters>4663</Characters>
  <Application>Microsoft Office Word</Application>
  <DocSecurity>0</DocSecurity>
  <Lines>38</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