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Tubakatoodetes ja elektroonilistes sigarettides keelatud ainete loetelu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Järgmises loetelus on näidetena need ained või ainekategooriad, mille suhtes praegu kehtivad Austria tubakatoodete ja mittesuitsetajate kaitse seaduses (TNRSG) sätestatud keelud, kuid see loetelu ei ole ammendav.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Nikotiini sisaldavate elektrooniliste sigarettide ja täitepakendite keelatud koostisosad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Ainete kategooriad, sealhulgas keelu õiguslik alus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Näited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Vitamiinid või muud lisaained, mis loovad mulje, et tubakatoode on tervisele kasulik või kujutab endast väiksemat terviseriski.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(TNRSG artikli 10b lõike 7 punkt 3 koostoimes artikli 8b lõike 2 punktiga 1)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Määruse (EL) nr 609/2013 lisas „Liidu loetelu“ loetletud vitamiinid, muudetud vastavalt kõnealuse määruse artiklile 15.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Aminohapped ja nende derivaadid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Valuvaigistid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Kanepitaime</w:t>
            </w:r>
            <w:r>
              <w:rPr>
                <w:rStyle w:val="a"/>
                <w:color w:val="000000"/>
                <w:sz w:val="14"/>
              </w:rPr>
              <w:t xml:space="preserve"> komponendid, sealhulgas töödeldud komponendid, ekstraktid ja õlid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Kannabinoidid (looduslikku või sünteetilist päritolu)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Kannabidiool: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Hormoonid ja hormoonitaolised ained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Melatoniin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Antioksüdatiivse toimega flavonoidid ja fosfolipiidid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Naringiin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Muud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Koliinkloriid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Koliinhüdroksiid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Koliintsitraat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Koliintartraat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Betaiin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S-adenosüülmetioniin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L-5-hüdroksütrüptofaan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Karnitiin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L-karnitiin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L-karnitiinhüdrokloriid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L-karnitiin-L-tartraat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Naatriumseleniit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Kofeiin või tauriin või muud lisaained ja stimulaatorid, mida seostatakse energia ja elujõuga (TNRSG artikli 10b lõike 7 punkt 3 koostoimes artikli 8b lõike 2 punktiga 2)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Kohvitaime</w:t>
            </w:r>
            <w:r>
              <w:rPr>
                <w:rStyle w:val="a"/>
                <w:color w:val="000000"/>
                <w:sz w:val="14"/>
              </w:rPr>
              <w:t xml:space="preserve"> ja </w:t>
            </w:r>
            <w:r>
              <w:rPr>
                <w:rStyle w:val="a"/>
                <w:color w:val="000000"/>
                <w:sz w:val="14"/>
                <w:b/>
              </w:rPr>
              <w:t xml:space="preserve">kohviubade</w:t>
            </w:r>
            <w:r>
              <w:rPr>
                <w:rStyle w:val="a"/>
                <w:color w:val="000000"/>
                <w:sz w:val="14"/>
              </w:rPr>
              <w:t xml:space="preserve"> komponendid, sealhulgas töödeldud komponendid, ekstraktid ja õlid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Teetaime </w:t>
            </w:r>
            <w:r>
              <w:rPr>
                <w:rStyle w:val="a"/>
                <w:color w:val="000000"/>
                <w:sz w:val="14"/>
                <w:i/>
                <w:iCs/>
              </w:rPr>
              <w:t xml:space="preserve">Camellia sinensis (L.) Kuntze</w:t>
            </w:r>
            <w:r>
              <w:rPr>
                <w:rStyle w:val="a"/>
                <w:color w:val="000000"/>
                <w:sz w:val="14"/>
              </w:rPr>
              <w:t xml:space="preserve"> komponendid, sealhulgas töödeldud komponendid, ekstraktid ja õlid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Guaraanataime</w:t>
            </w:r>
            <w:r>
              <w:rPr>
                <w:rStyle w:val="a"/>
                <w:color w:val="000000"/>
                <w:sz w:val="14"/>
              </w:rPr>
              <w:t xml:space="preserve"> komponendid, sealhulgas töödeldud komponendid, ekstraktid ja õlid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Matepuu</w:t>
            </w:r>
            <w:r>
              <w:rPr>
                <w:rStyle w:val="a"/>
                <w:color w:val="000000"/>
                <w:sz w:val="14"/>
              </w:rPr>
              <w:t xml:space="preserve"> komponendid, sealhulgas töödeldud komponendid, ekstraktid ja õlid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Koolapähklipuu</w:t>
            </w:r>
            <w:r>
              <w:rPr>
                <w:rStyle w:val="a"/>
                <w:color w:val="000000"/>
                <w:sz w:val="14"/>
              </w:rPr>
              <w:t xml:space="preserve"> või </w:t>
            </w:r>
            <w:r>
              <w:rPr>
                <w:rStyle w:val="a"/>
                <w:color w:val="000000"/>
                <w:sz w:val="14"/>
                <w:b/>
              </w:rPr>
              <w:t xml:space="preserve">koolapähkli</w:t>
            </w:r>
            <w:r>
              <w:rPr>
                <w:rStyle w:val="a"/>
                <w:color w:val="000000"/>
                <w:sz w:val="14"/>
              </w:rPr>
              <w:t xml:space="preserve"> komponendid, sealhulgas töödeldud komponendid, ekstraktid ja õlid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Suhkur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Glükoos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Fruktoos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Galaktoos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Sahharoos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Laktoos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Maltoos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Muud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Maltodekstriin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Inositool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Lisaained, millel on heitmeid värvivad omadused.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(TNRSG artikli 10b lõike 7 punkt 3 koostoimes artikli 8b lõike 2 punktiga 3)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Nikotiini sisaldavate ja nikotiinivabade elektrooniliste sigarettide ja täitepakendite keelatud koostisosad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Ainete kategooriad, sealhulgas keelu õiguslik alus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Näited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Keelu täiendav põhjendus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Lisaained, millel on CMR-omadused põletamata kujul.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(TNRSG artikli 10b lõike 7 punkt 3 koostoimes artikli 8b lõike 2 punktiga 5;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TNRSG artikli 10b lõike 7 punkt 5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Ained, mis on klassifitseeritud vastavalt Euroopa Parlamendi ja nõukogu 16. detsembri 2008. aasta määruse (EÜ) nr 1272/2008 (mis käsitleb ainete ja segude klassifitseerimist, märgistamist ja pakendamist ning millega muudetakse direktiive 67/548/EMÜ ja 1999/45/EÜ ja tunnistatakse need kehtetuks ning muudetakse määrust (EÜ) nr 1907/2006 (ELT L 353, 31.12.2006, lk 1), viimati muudetud määrusega (EL) 2016/1179 (ELT L 195, 20.7.2016, lk 11)) VI lisa 3. osale: </w:t>
            </w:r>
            <w:r>
              <w:rPr>
                <w:rStyle w:val="a"/>
                <w:color w:val="000000"/>
                <w:b/>
              </w:rPr>
              <w:t xml:space="preserve">1A, 1B, 2 või Lact kategooria kantserogeensed, mutageensed või reproduktiivtoksilised ained.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Ained, mis on klassifitseeritud vastavalt Rahvusvahelise Vähiuurimiskeskuse (</w:t>
            </w:r>
            <w:r>
              <w:rPr>
                <w:rStyle w:val="a"/>
                <w:color w:val="000000"/>
                <w:b/>
              </w:rPr>
              <w:t xml:space="preserve">IARC</w:t>
            </w:r>
            <w:r>
              <w:rPr>
                <w:rStyle w:val="a"/>
                <w:color w:val="000000"/>
              </w:rPr>
              <w:t xml:space="preserve">) klassifikatsioonile seoses kantserogeense toimega inimestele </w:t>
            </w:r>
            <w:r>
              <w:rPr>
                <w:rStyle w:val="a"/>
                <w:color w:val="000000"/>
                <w:b/>
              </w:rPr>
              <w:t xml:space="preserve">rühmades 1, 2A või 2B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Ained, mis on Ameerika Ühendriikide riikliku toksikoloogiaprogrammi (NTP) kohaselt liigitatud kas „teadaolevateks“ või „mõistlikult eeldatavateks“ inimestele kantserogeenseteks aineteks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Ained, mis vastavalt </w:t>
            </w:r>
            <w:r>
              <w:rPr>
                <w:rStyle w:val="a"/>
                <w:color w:val="000000"/>
                <w:b/>
              </w:rPr>
              <w:t xml:space="preserve">MAK- ja BAT-väärtuste loetelule</w:t>
            </w:r>
            <w:r>
              <w:rPr>
                <w:rStyle w:val="a"/>
                <w:color w:val="000000"/>
              </w:rPr>
              <w:t xml:space="preserve"> (avaldanud Deutsche Forschungsgemeinschaft (DFG)) on MAKi komisjon klassifitseerinud 1., 2., 4. või 5. kategooria kantserogeense toimega aineteks, A-, B- või C-kategooria teratogeense toimega aineteks ning 1., 2., 3A- või 3B-kategooria sugurakkudele avalduva mutageense toimega aineteks.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Ained, mille Euroopa Toiduohutusamet (EFSA) on klassifitseerinud kantserogeenseteks, mutageenseteks või reproduktiivtoksilisteks.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1.1–1.5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Näited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Isoforoon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Püridiin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Müreen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Krüseen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Benso(a)antratseen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Benso(b)fluoranteen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Titaandioksiid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Metüüleugenool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Safrool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Estragool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Reproduktiivsüsteemi mõjutavad ained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Parabeenid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Propüülparabeen (para-hüdroksübensoehappe propüülester)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Teatud parabeenid näitavad </w:t>
            </w:r>
            <w:r>
              <w:rPr>
                <w:rStyle w:val="a"/>
                <w:color w:val="000000"/>
                <w:i/>
              </w:rPr>
              <w:t xml:space="preserve">in vivo</w:t>
            </w:r>
            <w:r>
              <w:rPr>
                <w:rStyle w:val="a"/>
                <w:color w:val="000000"/>
              </w:rPr>
              <w:t xml:space="preserve"> reproduktiivtoksilist toimet.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Viited: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Tarbijaohutuse teaduskomitee (SCCS)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Arvamus propüülparabeeni (CASi nr 94-13-3, EÜ nr 202-307-7) kohta, esialgne versioon 27.–28. oktoober 2020, lõplik versioon 30.–31. märts 2021, SCCS/1623/20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https://health.ec.europa.eu/document/download/7c416df0-2650-4d7a-82f7- 650081bf250c en?filename=sccs o 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(Euroopa Toiduohutusamet) (2004).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Toidu lisaainete, lõhna- ja maitseainete, abiainete ja toiduga kokkupuutuvate materjalide teaduskomisjoni (AFC) arvamus parahüdroksübensoaatide (E 214–219) kohta.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Naatriumpropüülparabeen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Kaaliumpropüülparabeen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Butüülparabeen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Naatriumbutüülparabeen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Kaaliumbutüülparabeen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Isobutüülparabeen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Naatriumisobutüülparabeen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Sassafrassi liigid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Sassafrassiõli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Sisaldab safrooli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Sassafrassipuit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Sassafrassilehed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Sassafrassikoor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Koostisosad (välja arvatud nikotiin nikotiini sisaldavates vedelikes), mis kujutavad endast kuumutatud või kuumutamata kujul ohtu inimeste tervisele.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(TNRSG artikli 10b lõike 7 punkt 5)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Ained, millel on põlemata kujul kantserogeensed, mutageensed või reproduktiivtoksilised omadused.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(Vt punkt 1)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Ained, mis on klassifitseeritud vastavalt Euroopa Parlamendi ja nõukogu 16. detsembri 2008. aasta määruse (EÜ) nr 1272/2008 VI lisa 3. osale, mis käsitleb ainete ja segude klassifitseerimist, märgistamist ja pakendamist ning millega muudetakse ja tunnistatakse kehtetuks direktiivid 67/548/EMÜ ja 1999/45/EÜ ning muudetakse määrust (EÜ) nr 1907/2006 (ELT L 353, 31.12.2006, lk 1), viimati muudetud määrusega (EL) 2016/1179 (ELT L 195, 20.7.2016, lk 11), kui </w:t>
            </w:r>
            <w:r>
              <w:rPr>
                <w:rStyle w:val="a"/>
                <w:color w:val="000000"/>
                <w:b/>
              </w:rPr>
              <w:t xml:space="preserve">hingamiselundite sensibiliseeriv toime (Resp. Sens.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Euroopa Parlamendi ja nõukogu 16. detsembri 2008. aasta määruse (EÜ) nr 1334/2008 (mis käsitleb toiduainetes kasutatavaid </w:t>
            </w:r>
            <w:r>
              <w:rPr>
                <w:rStyle w:val="a"/>
                <w:color w:val="000000"/>
                <w:b/>
              </w:rPr>
              <w:t xml:space="preserve">lõhna- ja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maitseaineid</w:t>
            </w:r>
            <w:r>
              <w:rPr>
                <w:rStyle w:val="a"/>
                <w:color w:val="000000"/>
              </w:rPr>
              <w:t xml:space="preserve"> ning teatavaid lõhna- ja maitseomadustega toidu koostisosi)</w:t>
            </w:r>
            <w:r>
              <w:rPr>
                <w:rStyle w:val="a"/>
                <w:color w:val="000000"/>
                <w:b/>
              </w:rPr>
              <w:t xml:space="preserve">III lisa </w:t>
            </w:r>
            <w:r>
              <w:rPr>
                <w:rStyle w:val="a"/>
                <w:color w:val="000000"/>
              </w:rPr>
              <w:t xml:space="preserve">A osas loetletud ained ja nende ajakohastatud versioonid.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Agariinhape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Aloiin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Kapsaitsiin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1,2-bensopüroon, kumariin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Hüperitsiin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Beeta-asaroon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1-allüül-4-metoksübenseen, estragool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Vesiniktsüaanhape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Mentofuraan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4-allüül-1,2-dimetoksübenseen, metüüleugenool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Pulegoon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Guassiin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1-allüül-3,4-metüleendioksübenseen, safrool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Teukriin 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Tujoon (alfa ja beeta)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Ained, mille </w:t>
            </w:r>
            <w:r>
              <w:rPr>
                <w:rStyle w:val="a"/>
                <w:color w:val="000000"/>
                <w:b/>
              </w:rPr>
              <w:t xml:space="preserve">MAK-i ja PVT-väärtuste loetelu </w:t>
            </w:r>
            <w:r>
              <w:rPr>
                <w:rStyle w:val="a"/>
                <w:color w:val="000000"/>
              </w:rPr>
              <w:t xml:space="preserve">(mille on avaldanud Deutsche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Forschungsgesellschaft (DFG)) kohaselt on MAK komisjon liigitanud </w:t>
            </w:r>
            <w:r>
              <w:rPr>
                <w:rStyle w:val="a"/>
                <w:color w:val="000000"/>
                <w:b/>
              </w:rPr>
              <w:t xml:space="preserve">substantiivseteks allergeenideks</w:t>
            </w:r>
            <w:r>
              <w:rPr>
                <w:rStyle w:val="a"/>
                <w:color w:val="000000"/>
              </w:rPr>
              <w:t xml:space="preserve"> („Sa“, „Sah“).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Töödeldud komponendid, ekstraktid ja õlid, mis on saadud </w:t>
            </w:r>
            <w:r>
              <w:rPr>
                <w:rStyle w:val="a"/>
                <w:color w:val="000000"/>
                <w:b/>
              </w:rPr>
              <w:t xml:space="preserve">kirbumündi</w:t>
            </w:r>
            <w:r>
              <w:rPr>
                <w:rStyle w:val="a"/>
                <w:color w:val="000000"/>
              </w:rPr>
              <w:t xml:space="preserve"> taimelt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Kirbumünt sisaldab hepatotoksilist ainet pulegooni.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Viited: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Euroopa Toiduohutusamet (2008).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Pulegoon ja mentofuraan lõhna- ja maitseainetes – toidu lisaainete, lõhna- ja maitseainete, abiainete ja toiduga kokkupuutuvate materjalide teaduskomisjoni (AFC) arvamus.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EFSA Journal 6(3):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ja Khojasteh S. Cyrus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decades-long investigation of acute metabolism-based hepatotoxicity by herbal constituents: a case study of pennyroyal oil (Taimsete koostisosade ägeda ainevahetusel põhineva hepatotoksilisuse aastakümneid kestnud uurimine: kirbumündiõli juhtumiuuring).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Drug Metabolism Reviews 47(1):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12-20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Õlised/rasvased ained, näiteks küllastunud või küllastumata vabad rasvhapped ja nende derivaadid;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alkaanid, alkeenid ja alküünid süsinikuahela pikkusega 12 või enam;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mono-, di- ja triglütseriidid;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vahad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(keskmise ahelaga triglütseriidid)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Lipiidide (rasvased/õlised ained) sissehingamist või aspireerimist peetakse eksogeense lipiidse pneumoonia (kroonilise kopsupõletiku) tekke keskseks põhjuseks.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Eksogeense lipiidse pneumoonia võivad vallandada mineraalõlid, samuti loomset ja taimset päritolu õlised/rasvased ained.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Kuna teaduslikud selgitused viitavad alati õlidele ja rasvadele või õlistele ja rasvastele ainetele üldiselt, peaks kahjuliku tervisemõju puhul olema määrav pigem õline/rasvane iseloom kui aine konkreetne koostis (Hadda ja Khilnani 2010, M. Schwaiblmair </w:t>
            </w:r>
            <w:r>
              <w:rPr>
                <w:rStyle w:val="a"/>
                <w:color w:val="000000"/>
                <w:i/>
                <w:iCs/>
              </w:rPr>
              <w:t xml:space="preserve">et al.</w:t>
            </w:r>
            <w:r>
              <w:rPr>
                <w:rStyle w:val="a"/>
                <w:color w:val="000000"/>
              </w:rPr>
              <w:t xml:space="preserve"> 2010, Nguyen ja Oh 2013).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Viited: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ja Khilnani Gopi C.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Lipoid pneumonia: an overview (Lipoidne pneumoonia: ülevaade).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Expert Review of Respiratory Medicine 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799-807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 D ja Oh Scott S (2013).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Case of Exogenous Lipoid Pneumonia (Ekgeense lipoidse pneumoonia juhtum)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Respiratory Care 58(3): e23-e27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et al.</w:t>
            </w:r>
            <w:r>
              <w:rPr>
                <w:rStyle w:val="a"/>
                <w:color w:val="000000"/>
                <w:sz w:val="11"/>
              </w:rPr>
              <w:t xml:space="preserve">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Lipid pneumonia – an underestimated syndrome? (Lipiidne pneumoonia – alahinnatud sündroom?)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Dtsch Med Wochenschr 2010;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27-31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10.1055/s– 0029–1244813.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et al.</w:t>
            </w:r>
            <w:r>
              <w:rPr>
                <w:rStyle w:val="a"/>
                <w:color w:val="000000"/>
                <w:sz w:val="11"/>
              </w:rPr>
              <w:t xml:space="preserve"> (1998).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Squalene Aspiration Pneumonia (Skvaleeni aspiratsioonipneumoonia):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Thin-Section CT and Histopathologic Findings (õhukese lõike KT ja histopatoloogilised leiud) 1. jkrs 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453-458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Skvalaan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Skvaleen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Kampol, vaik või vaikhapped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Abietiinhape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Vaiguaurud klassifitseeritakse hingamisteede sensibilisaatoriteks ja astma võimalikeks vallandajateks.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Viited: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Töötervishoiu ja tööohutuse vamet (HSE)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Asthmagen? (Astmageen?)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Critical assessments of the evidence for agents implicated in occupational asthma (Tööalase astmaga seotud haigustekitajate tõendite kriitiline hindamine).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Pimaarhape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Isopimaarhape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Palustriinhape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Levopimaarhape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E-vitamiini atsetaat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E-vitamiini atsetaat on tihedalt seotud 2019. aasta EVALI (e-sigareti või veipimistoote kasutamisega seotud kopsukahjustus) puhanguga Ameerika Ühendriikides.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Viited: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(haiguste tõrje ja ennetamise keskus):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Outbreak of Lung Injury Associated with the Use of E-Cigarette, or Vaping, Products (e-sigareti või veipimistoodete kasutamisega seotud kopsukahjustuse puhang)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 C.,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et al.</w:t>
            </w:r>
            <w:r>
              <w:rPr>
                <w:rStyle w:val="a"/>
                <w:color w:val="000000"/>
                <w:sz w:val="11"/>
              </w:rPr>
              <w:t xml:space="preserve">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Vitamin E Acetate in Bronchoalveolar-Lavage Fluid Associated with EVALI (E-vitamiini atsetaat bronhoalveolaarloputusvedelikus, mis on seotud EVALI-ga).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New England Journal of Medicine 382(8):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697-705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Diatsetüül ja teatavad struktuurianaloogid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Diatsetüül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Diatsetüül ja 2,3-pentadioon võivad sissehingamisel põhjustada rasket põletikku ja hingamisteede haigusi.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Ettevaatusabinõuna soovitatakse keeldu laiendada struktuurianaloogidele 2,3-heksadioonile ja 2,3-heptadioonile.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Viited: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(2015) „Diatsetüül [MAK väärtuste dokumentatsioon saksa keeles, 2015]“.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1-42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(2017) „2,3-pentandioon [MAK väärtuste dokumentatsioon saksa keeles, 2017].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“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135160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(Saksamaa föderaalne riskihindamise instituut)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Tubakatoodete ja elektrooniliste sigarettide lisaainete tervisemõju hindamine.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(saksa keeles: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„Gesundheitliche Bewertung von Zusatzstoffen für Tabakerzeugnisse und elektronische Zigaretten.“)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BfR arvamus nr 045/2015, 30. juuli 2015.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2,3-pentadioon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2,3-heksadioon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2,3-heptadioon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2,10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Mõrumandliõli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Mõrumandliõli võib looduslikult sisaldada vesiniktsüaniidhapet.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Vesiniktsüaanhape on võimas mürk, mis võib halvata keskhingamissüsteemi.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Viited: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 komisjon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Vesiniktsüaniid, kaalium- ja naatriumtsüaniid [MAK väärtus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Dokumentatsioon saksa keeles, 2001.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Health and Safety: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1-19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Tubakatoodetes keelatud koostisosad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Ainete kategooriad, sealhulgas keelu õiguslik alus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Näited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Keelu täiendav põhjendus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Vitamiinid või muud lisaained, mis loovad mulje, et tubakatoode on tervisele kasulik või kujutab endast väiksemat terviseriski.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(TNRSG artikli 8b lõike 2 punkt 1)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Määruse (EL) nr 609/2013 lisas „Liidu loetelu“ loetletud vitamiinid, muudetud vastavalt kõnealuse määruse artiklile 15.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Aminohapped ja nende derivaadid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Valuvaigistid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Kanepitaime</w:t>
            </w:r>
            <w:r>
              <w:rPr>
                <w:rStyle w:val="a"/>
                <w:color w:val="000000"/>
                <w:sz w:val="14"/>
              </w:rPr>
              <w:t xml:space="preserve"> komponendid, sealhulgas töödeldud komponendid, ekstraktid ja õlid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Kannabinoidid (looduslikku või sünteetilist päritolu)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Kannabidiool: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Hormoonid ja hormoonitaolised ained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Antioksüdatiivse toimega flavonoidid ja fosfolipiidid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Naringiin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Muud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Koliinkloriid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Koliinhüdroksiid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Koliintsitraat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Koliintartraat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S-adenosüülmetioniin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L-5-hüdroksütrüptofaan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L-karnitiinhüdrokloriid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L-karnitiin-L-tartraat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Naatriumseleniit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Kofeiin või tauriin või muud lisaained ja stimulaatorid, mida seostatakse energia ja elujõuga (TNRSG artikli 8b lõike 2 punkt 2)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Kohvitaime</w:t>
            </w:r>
            <w:r>
              <w:rPr>
                <w:rStyle w:val="a"/>
                <w:color w:val="000000"/>
                <w:sz w:val="14"/>
              </w:rPr>
              <w:t xml:space="preserve"> ja </w:t>
            </w:r>
            <w:r>
              <w:rPr>
                <w:rStyle w:val="a"/>
                <w:color w:val="000000"/>
                <w:sz w:val="14"/>
                <w:b/>
              </w:rPr>
              <w:t xml:space="preserve">kohviubade</w:t>
            </w:r>
            <w:r>
              <w:rPr>
                <w:rStyle w:val="a"/>
                <w:color w:val="000000"/>
                <w:sz w:val="14"/>
              </w:rPr>
              <w:t xml:space="preserve"> komponendid, sealhulgas töödeldud komponendid, ekstraktid ja õlid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Teetaime </w:t>
            </w:r>
            <w:r>
              <w:rPr>
                <w:rStyle w:val="a"/>
                <w:color w:val="000000"/>
                <w:sz w:val="14"/>
                <w:i/>
                <w:iCs/>
              </w:rPr>
              <w:t xml:space="preserve">Camellia sinensis (L.) Kuntze</w:t>
            </w:r>
            <w:r>
              <w:rPr>
                <w:rStyle w:val="a"/>
                <w:color w:val="000000"/>
                <w:sz w:val="14"/>
              </w:rPr>
              <w:t xml:space="preserve"> komponendid, sealhulgas töödeldud komponendid, ekstraktid ja õlid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Guaraanataime</w:t>
            </w:r>
            <w:r>
              <w:rPr>
                <w:rStyle w:val="a"/>
                <w:color w:val="000000"/>
                <w:sz w:val="14"/>
              </w:rPr>
              <w:t xml:space="preserve"> komponendid, sealhulgas töödeldud komponendid, ekstraktid ja õlid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Matepuu</w:t>
            </w:r>
            <w:r>
              <w:rPr>
                <w:rStyle w:val="a"/>
                <w:color w:val="000000"/>
                <w:sz w:val="14"/>
              </w:rPr>
              <w:t xml:space="preserve"> komponendid, sealhulgas töödeldud komponendid, ekstraktid ja õlid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  <w:b/>
              </w:rPr>
              <w:t xml:space="preserve">Koolapähklipuu</w:t>
            </w:r>
            <w:r>
              <w:rPr>
                <w:rStyle w:val="a"/>
                <w:color w:val="000000"/>
                <w:sz w:val="14"/>
              </w:rPr>
              <w:t xml:space="preserve"> või </w:t>
            </w:r>
            <w:r>
              <w:rPr>
                <w:rStyle w:val="a"/>
                <w:color w:val="000000"/>
                <w:sz w:val="14"/>
                <w:b/>
              </w:rPr>
              <w:t xml:space="preserve">koolapähkli</w:t>
            </w:r>
            <w:r>
              <w:rPr>
                <w:rStyle w:val="a"/>
                <w:color w:val="000000"/>
                <w:sz w:val="14"/>
              </w:rPr>
              <w:t xml:space="preserve"> komponendid, sealhulgas töödeldud komponendid, ekstraktid ja õlid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Muud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Maltodekstriin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Inositool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Lisaained, millel on heitmeid värvivad omadused.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(TNRSG artikli 8b lõike 2 punkt 3)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Lisaained, mis hõlbustavad tubakatoodete sissehingamist või nikotiini omastamist (TNRSG artikli 8b lõike 2 punkt 4)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Mentool ja analoogid, TRPM-8 agonistid, „jahutavad ühendid“, „sünteetilised jahutusained“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p-mentaan-3-asendatud ja modifitseeritud ühendid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Kõiki jahutava või analgeetilise toimega aineid või segusid käsitatakse sissehingamist hõlbustavate ainetena.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Viide.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Ühine tegevus tubakakontrolli WP9: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 Aruanne prioriteetsete lisaainete täiustatud aruandlusteabe vastastikuse hindamise kohta.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RIVM, BfR, ANSES, NIPH, ISS ja WP 9 sõltumatu hindamiskomisjon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Kuupäev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detsember 2020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Dok-nr: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p-mentaan-3-karboksamiid, sh p-mentaan-3-N-alküülkarboksamiid ja p-mentaan-3-N-arüülkarboksamiid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p-mentaan-3-ester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p-mentaan-3-eeter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p-mentaan-3-karboksüülhapped ja nende estrid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Muud p-mentaan-3 asendatud ja modifitseeritud ühendid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p-mentaanalkoholid ja nende estrid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Näited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N-etüül-p-mentaan-3-karboksamiid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2-isopropüül-5-metüültsükloheksaan-karboksüülhape (4-metoksüfenüül)amiid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(1R,2S,5R)-N-((etoksükarbonüül)metüül)-p-mentaan-3-karboksamiid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N-tert-butüül-p-mentaan-3-karboksamiid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2-isopropüül-N,2,3-trimetüülbutüramiid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N-(p-mentaan-3-karbonüül)-D-alaniini etüülester (CPS- 369,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N-(4-fluorofenüül)-p-mentaan-3-karboksamiid (CPS- 124)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N-(4-etoksüfenüül)-p-mentaan-3-karboksamiid (CPS- 128)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Mentüüllaktaat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Mentoksüpropaan-1,2-diool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2-isopropüül-5-metüültsükloheksaankarboksüülhappe 2,3-dihüdroksüpropüülester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Mentoon 1,2-glütseroolketaal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Monomentüülsuktsinaat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Mentüül-3-hüdroksübutüraat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Mentüülatsetaat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Mentool-etüleenglükoolkarbonaat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2,3-dihüdroksüpropüül-p-mentaan-3-karboksülaat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Cis-p-mentaan-3,8-diool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Itsiliin / jahutusaine AG-3-5 (3,4-dihüdro-3-(2-hüdroksüfenüül)-6-(3-nitrofenüül)-(1H)-pürimidiin-2-oon)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2-isopropüül-N 2,3-trimetüülbutüramiid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Isopulegool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1-(di-sek-butüül-fosfinoüül)-heptaan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5-metüül-4-(1-pürolidinüül)-3-2H-furanoon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(–)–Mentool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(+)–Mentool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(–)–Mentoon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(+)–Mentoon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L-karvoon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Geraniool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Linalool: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1,8-tsineool (eukalüptool)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1,4-kineool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Hüdroksütsitronellaal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Taimede komponendid, sealhulgas töödeldud komponendid, ekstraktid ja õlid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Mentha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Eucalyptus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Ocimum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Thymus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Nikotiinisoolad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Nikotiinbensoaat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Nikotiinisoolad imenduvad sissehingamisel kehasse kiiremini ja põhjustavad vähem ärritust kui vabas vormis nikotiin.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Viited: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 jt.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randomised, open-label, cross-over clinical study to evaluate the pharmacokinetic profiles of cigarettes and e-cigarettes with nicotine salt formulations in US adult smokers (Randomiseeritud, avatud, kliiniline ristuvuuring, et hinnata nikotiinisoola sisaldavate sigarettide ja e-sigarettide farmakokineetilist profiili USA täiskasvanud suitsetajatel).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Internal and Emergency Medicine 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853-861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et al.</w:t>
            </w:r>
            <w:r>
              <w:rPr>
                <w:rStyle w:val="a"/>
                <w:color w:val="000000"/>
                <w:sz w:val="11"/>
              </w:rPr>
              <w:t xml:space="preserve"> (2012).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Systematic Review of Nicotine by Inhalation: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Is There a Role for the Inhaled Route? (Süstemaatiline ülevaade nikotiini sissehingamisest: kas sissehingamise teel manustamisel on oma roll?)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Nicotine &amp; Tobacco Research 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1127-1139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 A. M., </w:t>
            </w:r>
            <w:r>
              <w:rPr>
                <w:rStyle w:val="a"/>
                <w:color w:val="000000"/>
                <w:sz w:val="11"/>
                <w:i/>
                <w:iCs/>
              </w:rPr>
              <w:t xml:space="preserve">et al.</w:t>
            </w:r>
            <w:r>
              <w:rPr>
                <w:rStyle w:val="a"/>
                <w:color w:val="000000"/>
                <w:sz w:val="11"/>
              </w:rPr>
              <w:t xml:space="preserve">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Effect of Exposure to e-Cigarettes With Salt vs Free-Base Nicotine on the Appeal and Sensory Experience of Vaping: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Randomized Clinical Trial (Soolaga e-sigarettide ja vaba baasi nikotiiniga kokkupuute mõju veipimise atraktiivsusele ja sensoorsele kogemusele: randomiseeritud kliiniline uuring).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JAMA Netw Open 4(1): e2032757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Nikotiinditartraat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Nikotiinlaktaat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Nikotiinlevulinaat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Nikotiinmalaat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Nikotiinsalitsülaat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Lisaained, millel on CMR-omadused põletamata kujul.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(TNRSG artikli 10b lõike 7 punkt 3 koostoimes artikli 8b lõike 2 punktiga 5)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Ained, mis on klassifitseeritud vastavalt Euroopa Parlamendi ja nõukogu 16. detsembri 2008. aasta määruse (EÜ) nr 1272/2008 (mis käsitleb ainete ja segude klassifitseerimist, märgistamist ja pakendamist ning millega muudetakse direktiive 67/548/EMÜ ja 1999/45/EÜ ja tunnistatakse need kehtetuks ning muudetakse määrust (EÜ) nr 1907/2006 (ELT L 353, 31.12.2006, lk 1), viimati muudetud määrusega (EL) 2016/1179 (ELT L 195, 20.7.2016, lk 11)) VI lisa 3. osale: </w:t>
            </w:r>
            <w:r>
              <w:rPr>
                <w:rStyle w:val="a"/>
                <w:color w:val="000000"/>
                <w:sz w:val="12"/>
                <w:b/>
              </w:rPr>
              <w:t xml:space="preserve">1A, 1B, 2 või Lact kategooria kantserogeensed, mutageensed või reproduktiivtoksilised ained.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Ained, mis on klassifitseeritud vastavalt Rahvusvahelise Vähiuurimiskeskuse (</w:t>
            </w:r>
            <w:r>
              <w:rPr>
                <w:rStyle w:val="a"/>
                <w:color w:val="000000"/>
                <w:sz w:val="12"/>
                <w:b/>
              </w:rPr>
              <w:t xml:space="preserve">IARC</w:t>
            </w:r>
            <w:r>
              <w:rPr>
                <w:rStyle w:val="a"/>
                <w:color w:val="000000"/>
                <w:sz w:val="12"/>
              </w:rPr>
              <w:t xml:space="preserve">) klassifikatsioonile seoses kantserogeense toimega inimestele </w:t>
            </w:r>
            <w:r>
              <w:rPr>
                <w:rStyle w:val="a"/>
                <w:color w:val="000000"/>
                <w:sz w:val="12"/>
                <w:b/>
              </w:rPr>
              <w:t xml:space="preserve">rühmades 1, 2A või 2B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Ained, mis on Ameerika Ühendriikide riikliku toksikoloogiaprogrammi (NTP) kohaselt liigitatud kas „teadaolevateks“ või „mõistlikult eeldatavateks“ inimestele kantserogeenseteks aineteks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Ained, mis vastavalt </w:t>
            </w:r>
            <w:r>
              <w:rPr>
                <w:rStyle w:val="a"/>
                <w:color w:val="000000"/>
                <w:sz w:val="12"/>
                <w:b/>
              </w:rPr>
              <w:t xml:space="preserve">MAK- ja BAT-väärtuste loetelule</w:t>
            </w:r>
            <w:r>
              <w:rPr>
                <w:rStyle w:val="a"/>
                <w:color w:val="000000"/>
                <w:sz w:val="12"/>
              </w:rPr>
              <w:t xml:space="preserve"> (avaldanud Deutsche Forschungsgemeinschaft (DFG)) on MAKi komisjon klassifitseerinud 1., 2., 4. või 5. kategooria kantserogeense toimega aineteks, A-, B- või C-kategooria teratogeense toimega aineteks ning 1., 2., 3A- või 3B-kategooria sugurakkudele avalduva mutageense toimega aineteks.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Ained, mille Euroopa Toiduohutusamet (EFSA) on klassifitseerinud kantserogeenseteks, mutageenseteks või reproduktiivtoksilisteks.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5.1–5.5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Näited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Isoforoon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Püridiin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Müreen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Krüseen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Benso(a)antratseen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Benso(b)fluoranteen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Titaandioksiid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Metüüleugenool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Safrool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Estragool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Ained, millel on mõju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reproduktiivsüsteemile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Parabeenid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Propüülparabeen (para-hüdroksübensoehappe propüülester)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Teatud parabeenid näitavad </w:t>
            </w:r>
            <w:r>
              <w:rPr>
                <w:rStyle w:val="a"/>
                <w:color w:val="000000"/>
                <w:sz w:val="12"/>
                <w:i/>
              </w:rPr>
              <w:t xml:space="preserve">in vivo</w:t>
            </w:r>
            <w:r>
              <w:rPr>
                <w:rStyle w:val="a"/>
                <w:color w:val="000000"/>
                <w:sz w:val="12"/>
              </w:rPr>
              <w:t xml:space="preserve"> reproduktiivtoksilist toimet.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Viited: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Tarbijaohutuse teaduskomitee (SCCS) (2021).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Arvamus propüülparabeeni (CASi nr 94-13-3, EÜ nr 202-307-7) kohta, esialgne versioon 27.–28. oktoober 2020, lõplik versioon 30.–31. märts 2021, SCCS/1623/20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82f7-650081bf250c_en?filename=sccs_o_243.pdf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(Euroopa Toiduohutusamet) (2004).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Toidu lisaainete, lõhna- ja maitseainete, abiainete ja toiduga kokkupuutuvate materjalide teaduskomisjoni (AFC) arvamus parahüdroksübensoaatide (E 214–219) kohta.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EFSA Journal DOI: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Naatriumpropüülparabeen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Kaaliumpropüülparabeen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Butüülparabeen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Naatriumbutüülparabeen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Kaaliumbutüülparabeen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Isobutüülparabeen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Naatriumisobutüülparabeen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Sassafrassi liigid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Sassafrassiõli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Sisaldab safrooli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Sassafrassipuit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Sassafrassilehed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Sassafrassikoor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Lk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/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Lk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/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Lõplik versioon vastavalt koostisosanõukogule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Lõplik versioon vastavalt koostisosanõukogule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t-EE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