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Default="00810B76" w:rsidP="00810B76">
      <w:pPr>
        <w:pStyle w:val="PlainText"/>
        <w:rPr>
          <w:rFonts w:ascii="Courier New" w:hAnsi="Courier New" w:cs="Courier New"/>
          <w:sz w:val="20"/>
          <w:szCs w:val="20"/>
        </w:rPr>
      </w:pPr>
      <w:r>
        <w:rPr>
          <w:rFonts w:ascii="Courier New" w:hAnsi="Courier New"/>
          <w:sz w:val="20"/>
        </w:rPr>
        <w:t xml:space="preserve">1. ------IND- 2017 0322 SK- CS- ------ 20190416 --- --- FINAL </w:t>
      </w:r>
    </w:p>
    <w:p w:rsidR="00810B76" w:rsidRDefault="00810B76" w:rsidP="00B3535A">
      <w:pPr>
        <w:widowControl/>
        <w:shd w:val="clear" w:color="auto" w:fill="FFFFFF"/>
        <w:spacing w:before="120"/>
        <w:jc w:val="center"/>
        <w:rPr>
          <w:color w:val="000000"/>
          <w:sz w:val="44"/>
          <w:szCs w:val="44"/>
        </w:rPr>
      </w:pPr>
    </w:p>
    <w:p w:rsidR="00E16F77" w:rsidRPr="00D06F2A" w:rsidRDefault="00E16F77" w:rsidP="00B3535A">
      <w:pPr>
        <w:widowControl/>
        <w:shd w:val="clear" w:color="auto" w:fill="FFFFFF"/>
        <w:spacing w:before="120"/>
        <w:jc w:val="center"/>
        <w:rPr>
          <w:color w:val="000000"/>
          <w:sz w:val="44"/>
          <w:szCs w:val="44"/>
        </w:rPr>
      </w:pPr>
      <w:r>
        <w:rPr>
          <w:color w:val="000000"/>
          <w:sz w:val="44"/>
        </w:rPr>
        <w:t xml:space="preserve">SBÍRKA </w:t>
      </w:r>
      <w:r w:rsidR="009C1721">
        <w:rPr>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Pr>
          <w:color w:val="000000"/>
          <w:sz w:val="44"/>
        </w:rPr>
        <w:t xml:space="preserve"> ZÁKONŮ</w:t>
      </w:r>
    </w:p>
    <w:p w:rsidR="00E16F77" w:rsidRPr="00D06F2A" w:rsidRDefault="00E16F77" w:rsidP="00B3535A">
      <w:pPr>
        <w:widowControl/>
        <w:shd w:val="clear" w:color="auto" w:fill="FFFFFF"/>
        <w:spacing w:before="120"/>
        <w:jc w:val="center"/>
        <w:rPr>
          <w:color w:val="000000"/>
        </w:rPr>
      </w:pPr>
      <w:r>
        <w:rPr>
          <w:color w:val="000000"/>
          <w:sz w:val="32"/>
        </w:rPr>
        <w:t>SLOVENSKÉ REPUBLIKY</w:t>
      </w:r>
    </w:p>
    <w:p w:rsidR="00E16F77" w:rsidRPr="00D06F2A" w:rsidRDefault="00E16F77" w:rsidP="00B3535A">
      <w:pPr>
        <w:widowControl/>
        <w:shd w:val="clear" w:color="auto" w:fill="FFFFFF"/>
        <w:spacing w:before="120"/>
        <w:jc w:val="center"/>
        <w:rPr>
          <w:color w:val="000000"/>
          <w:sz w:val="28"/>
          <w:szCs w:val="28"/>
        </w:rPr>
      </w:pPr>
      <w:r>
        <w:rPr>
          <w:color w:val="000000"/>
          <w:sz w:val="28"/>
        </w:rPr>
        <w:t>Ročník 2018</w:t>
      </w:r>
    </w:p>
    <w:p w:rsidR="00E16F77" w:rsidRPr="00D06F2A" w:rsidRDefault="00E16F77" w:rsidP="00B3535A">
      <w:pPr>
        <w:widowControl/>
        <w:pBdr>
          <w:top w:val="single" w:sz="4" w:space="1" w:color="auto"/>
        </w:pBdr>
        <w:shd w:val="clear" w:color="auto" w:fill="FFFFFF"/>
        <w:tabs>
          <w:tab w:val="right" w:pos="9072"/>
        </w:tabs>
        <w:spacing w:before="120"/>
        <w:rPr>
          <w:color w:val="000000"/>
        </w:rPr>
      </w:pPr>
      <w:r>
        <w:rPr>
          <w:color w:val="000000"/>
        </w:rPr>
        <w:t>Vyhlášeno: 7. 3. 2018</w:t>
      </w:r>
      <w:r>
        <w:tab/>
      </w:r>
      <w:r>
        <w:rPr>
          <w:color w:val="000000"/>
        </w:rPr>
        <w:t>Časová verze předpisu účinná od: 1.4.2018 do: 31.3.2020</w:t>
      </w:r>
    </w:p>
    <w:p w:rsidR="00E16F77" w:rsidRPr="00D06F2A" w:rsidRDefault="00E16F77" w:rsidP="00B3535A">
      <w:pPr>
        <w:widowControl/>
        <w:shd w:val="clear" w:color="auto" w:fill="FFFFFF"/>
        <w:spacing w:before="480" w:after="240"/>
        <w:jc w:val="center"/>
        <w:rPr>
          <w:b/>
          <w:bCs/>
          <w:color w:val="000000"/>
        </w:rPr>
      </w:pPr>
      <w:r>
        <w:rPr>
          <w:b/>
          <w:color w:val="000000"/>
        </w:rPr>
        <w:t>Obsah dokumentu je právně závazný.</w:t>
      </w:r>
    </w:p>
    <w:p w:rsidR="00E16F77" w:rsidRPr="00D06F2A" w:rsidRDefault="00E16F77" w:rsidP="00B3535A">
      <w:pPr>
        <w:widowControl/>
        <w:shd w:val="clear" w:color="auto" w:fill="FFFFFF"/>
        <w:spacing w:before="120"/>
        <w:jc w:val="center"/>
        <w:rPr>
          <w:color w:val="000000"/>
        </w:rPr>
      </w:pPr>
      <w:r>
        <w:rPr>
          <w:b/>
          <w:color w:val="000000"/>
        </w:rPr>
        <w:t>60</w:t>
      </w:r>
    </w:p>
    <w:p w:rsidR="00E16F77" w:rsidRPr="00E35FA4" w:rsidRDefault="00E16F77" w:rsidP="00B3535A">
      <w:pPr>
        <w:widowControl/>
        <w:shd w:val="clear" w:color="auto" w:fill="FFFFFF"/>
        <w:spacing w:before="120"/>
        <w:jc w:val="center"/>
        <w:rPr>
          <w:b/>
          <w:bCs/>
          <w:color w:val="000000"/>
        </w:rPr>
      </w:pPr>
      <w:r>
        <w:rPr>
          <w:b/>
          <w:color w:val="000000"/>
        </w:rPr>
        <w:t>ZÁKON</w:t>
      </w:r>
    </w:p>
    <w:p w:rsidR="00E16F77" w:rsidRPr="00D06F2A" w:rsidRDefault="00E16F77" w:rsidP="00B3535A">
      <w:pPr>
        <w:widowControl/>
        <w:shd w:val="clear" w:color="auto" w:fill="FFFFFF"/>
        <w:spacing w:before="120"/>
        <w:jc w:val="center"/>
        <w:rPr>
          <w:color w:val="000000"/>
        </w:rPr>
      </w:pPr>
      <w:r>
        <w:rPr>
          <w:color w:val="000000"/>
        </w:rPr>
        <w:t>ze dne 6. února 2018</w:t>
      </w:r>
    </w:p>
    <w:p w:rsidR="00E16F77" w:rsidRPr="00E35FA4" w:rsidRDefault="00E16F77" w:rsidP="00B3535A">
      <w:pPr>
        <w:widowControl/>
        <w:shd w:val="clear" w:color="auto" w:fill="FFFFFF"/>
        <w:spacing w:before="120"/>
        <w:jc w:val="center"/>
        <w:rPr>
          <w:b/>
          <w:bCs/>
          <w:color w:val="000000"/>
        </w:rPr>
      </w:pPr>
      <w:r>
        <w:rPr>
          <w:b/>
          <w:color w:val="000000"/>
        </w:rPr>
        <w:t>o technické normalizaci</w:t>
      </w:r>
    </w:p>
    <w:p w:rsidR="00E16F77" w:rsidRPr="00D06F2A" w:rsidRDefault="00E16F77" w:rsidP="00B3535A">
      <w:pPr>
        <w:widowControl/>
        <w:shd w:val="clear" w:color="auto" w:fill="FFFFFF"/>
        <w:spacing w:before="480" w:after="240"/>
        <w:rPr>
          <w:color w:val="000000"/>
        </w:rPr>
      </w:pPr>
      <w:r>
        <w:rPr>
          <w:color w:val="000000"/>
        </w:rPr>
        <w:t>Národní rada Slovenské republiky se usnesla na tomto zákoně:</w:t>
      </w:r>
    </w:p>
    <w:p w:rsidR="00B3535A" w:rsidRPr="00D06F2A" w:rsidRDefault="00E16F77" w:rsidP="00BB519B">
      <w:pPr>
        <w:keepNext/>
        <w:keepLines/>
        <w:widowControl/>
        <w:shd w:val="clear" w:color="auto" w:fill="FFFFFF"/>
        <w:spacing w:before="360"/>
        <w:jc w:val="center"/>
        <w:rPr>
          <w:b/>
          <w:bCs/>
          <w:color w:val="000000"/>
        </w:rPr>
      </w:pPr>
      <w:r>
        <w:rPr>
          <w:b/>
          <w:color w:val="000000"/>
        </w:rPr>
        <w:t>§1</w:t>
      </w:r>
    </w:p>
    <w:p w:rsidR="00E16F77" w:rsidRPr="00E35FA4" w:rsidRDefault="00E16F77" w:rsidP="00BB519B">
      <w:pPr>
        <w:keepNext/>
        <w:keepLines/>
        <w:widowControl/>
        <w:shd w:val="clear" w:color="auto" w:fill="FFFFFF"/>
        <w:jc w:val="center"/>
        <w:rPr>
          <w:b/>
          <w:bCs/>
          <w:color w:val="000000"/>
        </w:rPr>
      </w:pPr>
      <w:r>
        <w:rPr>
          <w:b/>
          <w:color w:val="000000"/>
        </w:rPr>
        <w:t>Předmět zákona</w:t>
      </w:r>
    </w:p>
    <w:p w:rsidR="00E16F77" w:rsidRPr="00D06F2A" w:rsidRDefault="00E16F77" w:rsidP="00D65D8D">
      <w:pPr>
        <w:keepNext/>
        <w:keepLines/>
        <w:widowControl/>
        <w:shd w:val="clear" w:color="auto" w:fill="FFFFFF"/>
        <w:spacing w:before="120"/>
        <w:rPr>
          <w:color w:val="000000"/>
        </w:rPr>
      </w:pPr>
      <w:r>
        <w:rPr>
          <w:color w:val="000000"/>
        </w:rPr>
        <w:t>Tento zákon upravuje</w:t>
      </w:r>
    </w:p>
    <w:p w:rsidR="00B3535A" w:rsidRPr="00D06F2A" w:rsidRDefault="00B3535A" w:rsidP="00B3535A">
      <w:pPr>
        <w:widowControl/>
        <w:shd w:val="clear" w:color="auto" w:fill="FFFFFF"/>
        <w:tabs>
          <w:tab w:val="left" w:pos="283"/>
        </w:tabs>
        <w:spacing w:before="120"/>
        <w:ind w:left="284" w:hanging="284"/>
        <w:jc w:val="both"/>
        <w:rPr>
          <w:color w:val="000000"/>
        </w:rPr>
      </w:pPr>
      <w:r>
        <w:t>a)</w:t>
      </w:r>
      <w:r>
        <w:tab/>
        <w:t>působnost Úřadu pro normalizaci, metrologii a státní zkušebnictví Slovenské republiky (dále jen „úřad") v oblasti technické normalizace,</w:t>
      </w:r>
    </w:p>
    <w:p w:rsidR="00B3535A" w:rsidRPr="00D06F2A" w:rsidRDefault="00B3535A" w:rsidP="00B3535A">
      <w:pPr>
        <w:widowControl/>
        <w:shd w:val="clear" w:color="auto" w:fill="FFFFFF"/>
        <w:tabs>
          <w:tab w:val="left" w:pos="283"/>
        </w:tabs>
        <w:spacing w:before="120"/>
        <w:ind w:left="284" w:hanging="284"/>
        <w:jc w:val="both"/>
        <w:rPr>
          <w:color w:val="000000"/>
        </w:rPr>
      </w:pPr>
      <w:r>
        <w:t>b)</w:t>
      </w:r>
      <w:r>
        <w:tab/>
        <w:t>práva a povinnosti úřadu coby slovenského národního normalizačního orgánu,</w:t>
      </w:r>
    </w:p>
    <w:p w:rsidR="00B3535A" w:rsidRPr="00D06F2A" w:rsidRDefault="00B3535A" w:rsidP="00B3535A">
      <w:pPr>
        <w:widowControl/>
        <w:shd w:val="clear" w:color="auto" w:fill="FFFFFF"/>
        <w:tabs>
          <w:tab w:val="left" w:pos="283"/>
        </w:tabs>
        <w:spacing w:before="120"/>
        <w:ind w:left="284" w:hanging="284"/>
        <w:jc w:val="both"/>
        <w:rPr>
          <w:color w:val="000000"/>
        </w:rPr>
      </w:pPr>
      <w:r>
        <w:t>c)</w:t>
      </w:r>
      <w:r>
        <w:tab/>
        <w:t>tvorbu, poskytování, rozmnožování, rozšiřování, prověřování a rušení slovenské technické normy a technické normalizační informace,</w:t>
      </w:r>
    </w:p>
    <w:p w:rsidR="00B3535A" w:rsidRPr="00D06F2A" w:rsidRDefault="00B3535A" w:rsidP="00B3535A">
      <w:pPr>
        <w:widowControl/>
        <w:shd w:val="clear" w:color="auto" w:fill="FFFFFF"/>
        <w:tabs>
          <w:tab w:val="left" w:pos="283"/>
        </w:tabs>
        <w:spacing w:before="120"/>
        <w:ind w:left="284" w:hanging="284"/>
        <w:jc w:val="both"/>
        <w:rPr>
          <w:color w:val="000000"/>
        </w:rPr>
      </w:pPr>
      <w:r>
        <w:t>d)</w:t>
      </w:r>
      <w:r>
        <w:tab/>
        <w:t>výdaje na tvorbu slovenské technické normy a technické normalizační informace,</w:t>
      </w:r>
    </w:p>
    <w:p w:rsidR="00B3535A" w:rsidRPr="00D06F2A" w:rsidRDefault="00B3535A" w:rsidP="00B3535A">
      <w:pPr>
        <w:widowControl/>
        <w:shd w:val="clear" w:color="auto" w:fill="FFFFFF"/>
        <w:tabs>
          <w:tab w:val="left" w:pos="283"/>
        </w:tabs>
        <w:spacing w:before="120"/>
        <w:ind w:left="284" w:hanging="284"/>
        <w:jc w:val="both"/>
        <w:rPr>
          <w:color w:val="000000"/>
        </w:rPr>
      </w:pPr>
      <w:r>
        <w:t>e)</w:t>
      </w:r>
      <w:r>
        <w:tab/>
        <w:t>ochranu slovenské technické normy a technické normalizační informace,</w:t>
      </w:r>
    </w:p>
    <w:p w:rsidR="00B3535A" w:rsidRPr="00D06F2A" w:rsidRDefault="00B3535A" w:rsidP="00B3535A">
      <w:pPr>
        <w:widowControl/>
        <w:shd w:val="clear" w:color="auto" w:fill="FFFFFF"/>
        <w:tabs>
          <w:tab w:val="left" w:pos="283"/>
        </w:tabs>
        <w:spacing w:before="120"/>
        <w:ind w:left="284" w:hanging="284"/>
        <w:jc w:val="both"/>
        <w:rPr>
          <w:color w:val="000000"/>
        </w:rPr>
      </w:pPr>
      <w:r>
        <w:t>f)</w:t>
      </w:r>
      <w:r>
        <w:tab/>
        <w:t>poskytování jiné technické normy a jiné technické normalizační informace,</w:t>
      </w:r>
    </w:p>
    <w:p w:rsidR="00E16F77" w:rsidRPr="00D06F2A" w:rsidRDefault="00E16F77" w:rsidP="00B3535A">
      <w:pPr>
        <w:widowControl/>
        <w:shd w:val="clear" w:color="auto" w:fill="FFFFFF"/>
        <w:tabs>
          <w:tab w:val="left" w:pos="283"/>
        </w:tabs>
        <w:spacing w:before="120"/>
        <w:ind w:left="284" w:hanging="284"/>
        <w:jc w:val="both"/>
        <w:rPr>
          <w:color w:val="000000"/>
        </w:rPr>
      </w:pPr>
      <w:r>
        <w:t>g)</w:t>
      </w:r>
      <w:r>
        <w:tab/>
        <w:t>dohled nad dodržováním tohoto zákona,</w:t>
      </w:r>
    </w:p>
    <w:p w:rsidR="00E16F77" w:rsidRPr="00D06F2A" w:rsidRDefault="00E16F77" w:rsidP="00B3535A">
      <w:pPr>
        <w:widowControl/>
        <w:shd w:val="clear" w:color="auto" w:fill="FFFFFF"/>
        <w:tabs>
          <w:tab w:val="left" w:pos="283"/>
        </w:tabs>
        <w:spacing w:before="120"/>
        <w:ind w:left="284" w:hanging="284"/>
        <w:jc w:val="both"/>
        <w:rPr>
          <w:color w:val="000000"/>
        </w:rPr>
      </w:pPr>
      <w:r>
        <w:t>h)</w:t>
      </w:r>
      <w:r>
        <w:tab/>
        <w:t>ukládání pokut.</w:t>
      </w:r>
    </w:p>
    <w:p w:rsidR="00B3535A" w:rsidRPr="00D06F2A" w:rsidRDefault="00E16F77" w:rsidP="00BB519B">
      <w:pPr>
        <w:keepNext/>
        <w:keepLines/>
        <w:widowControl/>
        <w:shd w:val="clear" w:color="auto" w:fill="FFFFFF"/>
        <w:spacing w:before="360"/>
        <w:jc w:val="center"/>
        <w:rPr>
          <w:b/>
          <w:bCs/>
          <w:color w:val="000000"/>
        </w:rPr>
      </w:pPr>
      <w:r>
        <w:rPr>
          <w:b/>
          <w:color w:val="000000"/>
        </w:rPr>
        <w:t>§2</w:t>
      </w:r>
    </w:p>
    <w:p w:rsidR="00E16F77" w:rsidRPr="008015BE" w:rsidRDefault="00E16F77" w:rsidP="00BB519B">
      <w:pPr>
        <w:keepNext/>
        <w:keepLines/>
        <w:widowControl/>
        <w:shd w:val="clear" w:color="auto" w:fill="FFFFFF"/>
        <w:jc w:val="center"/>
        <w:rPr>
          <w:b/>
          <w:bCs/>
          <w:color w:val="000000"/>
        </w:rPr>
      </w:pPr>
      <w:r>
        <w:rPr>
          <w:b/>
          <w:color w:val="000000"/>
        </w:rPr>
        <w:t>Základní pojmy</w:t>
      </w:r>
    </w:p>
    <w:p w:rsidR="00E16F77" w:rsidRPr="00D06F2A" w:rsidRDefault="00E16F77" w:rsidP="00D65D8D">
      <w:pPr>
        <w:keepNext/>
        <w:keepLines/>
        <w:widowControl/>
        <w:shd w:val="clear" w:color="auto" w:fill="FFFFFF"/>
        <w:spacing w:before="120"/>
        <w:rPr>
          <w:color w:val="000000"/>
        </w:rPr>
      </w:pPr>
      <w:r>
        <w:rPr>
          <w:color w:val="000000"/>
        </w:rPr>
        <w:t>Pro účely tohoto zákona se rozumí</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jinou technickou normou technická norma podle zvláštního předpisu</w:t>
      </w:r>
      <w:r>
        <w:rPr>
          <w:color w:val="000000"/>
          <w:vertAlign w:val="superscript"/>
        </w:rPr>
        <w:t>1)</w:t>
      </w:r>
      <w:r>
        <w:rPr>
          <w:color w:val="000000"/>
        </w:rPr>
        <w:t xml:space="preserve"> kromě původní slovenské technické normy,</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jinou technickou normalizační informací normalizační dokument vypracovaný mezinárodním normalizačním orgánem, který není přijat úřadem jako slovenská národním normalizačním orgánům podle § 4 odst. 1 písm. g) do soustavy Slovenské technických norem,</w:t>
      </w:r>
    </w:p>
    <w:p w:rsidR="00E16F77" w:rsidRPr="00D06F2A"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Pr>
          <w:color w:val="000000"/>
        </w:rPr>
        <w:t>oprávněným zájmem bezpečnost, zdraví, život a majetek osob a příznivé životní prostředí.</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§3</w:t>
      </w:r>
    </w:p>
    <w:p w:rsidR="00E16F77" w:rsidRPr="008015BE" w:rsidRDefault="00E16F77" w:rsidP="00BB519B">
      <w:pPr>
        <w:keepNext/>
        <w:keepLines/>
        <w:widowControl/>
        <w:shd w:val="clear" w:color="auto" w:fill="FFFFFF"/>
        <w:jc w:val="center"/>
        <w:rPr>
          <w:b/>
          <w:bCs/>
          <w:color w:val="000000"/>
        </w:rPr>
      </w:pPr>
      <w:r>
        <w:rPr>
          <w:b/>
          <w:color w:val="000000"/>
        </w:rPr>
        <w:t>Technická norma a technická normalizační informace</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Technickou normou je technická norma podle zvláštního předpisu.</w:t>
      </w:r>
      <w:r>
        <w:rPr>
          <w:color w:val="000000"/>
          <w:vertAlign w:val="superscript"/>
        </w:rPr>
        <w:t>2)</w:t>
      </w:r>
      <w:r>
        <w:rPr>
          <w:color w:val="000000"/>
        </w:rPr>
        <w:t xml:space="preserve"> Technická norma není technickým předpisem.</w:t>
      </w:r>
      <w:r>
        <w:rPr>
          <w:color w:val="000000"/>
          <w:vertAlign w:val="superscript"/>
        </w:rPr>
        <w:t>3)</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Slovenskou technickou normou je technická norma přijatá úřadem jako slovenským národním normalizačním orgánem do soustavy slovenských technických norem podle tohoto zákona.</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Předběžnou slovenskou technickou normou je slovenská technická norma, jejíž platnost je časově ohraničená a jejímž účelem je ověření vhodnosti a účelnosti jejího technického obsahu.</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Původní slovenskou technickou normou je slovenská technická norma, která upravuje oblast, která není předmětem úpravy evropské normy</w:t>
      </w:r>
      <w:r>
        <w:rPr>
          <w:color w:val="000000"/>
          <w:vertAlign w:val="superscript"/>
        </w:rPr>
        <w:t>4)</w:t>
      </w:r>
      <w:r>
        <w:rPr>
          <w:color w:val="000000"/>
        </w:rPr>
        <w:t>nebo mezinárodní normy,</w:t>
      </w:r>
      <w:r>
        <w:rPr>
          <w:color w:val="000000"/>
          <w:vertAlign w:val="superscript"/>
        </w:rPr>
        <w:t>5)</w:t>
      </w:r>
      <w:r>
        <w:rPr>
          <w:color w:val="000000"/>
        </w:rPr>
        <w:t>a která je zpracována na základě požadavku veřejnosti nebo orgánu veřejné moci.</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Technickou normalizační informací je normalizační dokument vypracovaný evropskou normalizační organizací,</w:t>
      </w:r>
      <w:r>
        <w:rPr>
          <w:color w:val="000000"/>
          <w:vertAlign w:val="superscript"/>
        </w:rPr>
        <w:t>6)</w:t>
      </w:r>
      <w:r>
        <w:rPr>
          <w:color w:val="000000"/>
        </w:rPr>
        <w:t xml:space="preserve"> mezinárodním normalizačním orgánem</w:t>
      </w:r>
      <w:r>
        <w:rPr>
          <w:color w:val="000000"/>
          <w:vertAlign w:val="superscript"/>
        </w:rPr>
        <w:t>7)</w:t>
      </w:r>
      <w:r>
        <w:rPr>
          <w:color w:val="000000"/>
        </w:rPr>
        <w:t xml:space="preserve"> nebo úřadem coby slovenským národním normalizačním orgánem a přijatý úřadem coby slovenským národním normalizačním orgánem do soustavy slovenských technických norem. Technická normalizační informace se nepovažuje za slovenskou technickou normu.</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Původní technickou normalizační informací je technická normalizační informace, která upravuje oblast, která není předmětem úpravy normalizačního dokumentu vypracovaného evropskou normalizační organizací nebo mezinárodním normalizačním orgánem a která je zpracována na základě požadavku veřejnosti nebo orgánu veřejné moci.</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Změnou technické normy je technická norma, kterou se věcně mění nebo doplňuje technická norma, a za změnu ji označí evropská normalizační organizace, mezinárodní normalizační orgán nebo úřad jako slovenský národní normalizační orgán.</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Opravou technické normy nebo opravou technické normalizační informace je dokument, kterým se opravuje formální chyba technické normy nebo technické normalizační informace, a za opravu ji označí evropská normalizační organizace, mezinárodní normalizační orgán nebo úřad jako slovenský národní normalizační orgán.</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Soustavou slovenských technických norem je soubor, který obsahuje úplné znění slovenských technických norem, technických normalizačních informací a jejich oprav.</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Dodržování slovenské technické normy nebo technické normalizační informace je dobrovolné.</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Slovenská technická norma má značku STN" a předběžná slovenská technická norma má značku „STN P". Technická normalizační informace má značku „TNI“. Vzor značek „STN", „STN P" a „TNI" je uveden v příloze. Další označení, kterým se může doplnit značka „STN“ nebo „TNI“, zveřejní úřad jako slovenský národní normalizační orgán na svých internetových stránkách.</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Slovenská technická norma a technická normalizační informace se nezpřístupňuje podle zvláštního předpisu</w:t>
      </w:r>
      <w:r>
        <w:rPr>
          <w:color w:val="000000"/>
          <w:vertAlign w:val="superscript"/>
        </w:rPr>
        <w:t>8)</w:t>
      </w:r>
      <w:r>
        <w:rPr>
          <w:color w:val="000000"/>
        </w:rPr>
        <w:t xml:space="preserve"> kromě slovenské technické normy podle § 12 odst. 2.</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Jestliže orgán státní správy předpokládá uvedení odkazu na slovenskou technickou normu v textu návrhu obecně závazného právního předpisu, je povinen na tuto skutečnost písemně upozornit úřad coby slovenský národní normalizační orgán, nejpozději před přijetím obecně závazného právního předpisu, a orgán státní správy je povinen postupovat podle zvláštního předpisu.</w:t>
      </w:r>
      <w:r>
        <w:rPr>
          <w:color w:val="000000"/>
          <w:vertAlign w:val="superscript"/>
        </w:rPr>
        <w:t>9)</w:t>
      </w:r>
    </w:p>
    <w:p w:rsidR="00B3535A" w:rsidRPr="00D06F2A" w:rsidRDefault="00E16F77" w:rsidP="00BB519B">
      <w:pPr>
        <w:keepNext/>
        <w:keepLines/>
        <w:widowControl/>
        <w:shd w:val="clear" w:color="auto" w:fill="FFFFFF"/>
        <w:spacing w:before="360"/>
        <w:jc w:val="center"/>
        <w:rPr>
          <w:b/>
          <w:bCs/>
          <w:color w:val="000000"/>
        </w:rPr>
      </w:pPr>
      <w:r>
        <w:rPr>
          <w:b/>
          <w:color w:val="000000"/>
        </w:rPr>
        <w:t>§4</w:t>
      </w:r>
    </w:p>
    <w:p w:rsidR="00E16F77" w:rsidRPr="008015BE" w:rsidRDefault="00E16F77" w:rsidP="00BB519B">
      <w:pPr>
        <w:keepNext/>
        <w:keepLines/>
        <w:widowControl/>
        <w:shd w:val="clear" w:color="auto" w:fill="FFFFFF"/>
        <w:jc w:val="center"/>
        <w:rPr>
          <w:b/>
          <w:bCs/>
          <w:color w:val="000000"/>
        </w:rPr>
      </w:pPr>
      <w:r>
        <w:rPr>
          <w:b/>
          <w:color w:val="000000"/>
        </w:rPr>
        <w:t>Úřad</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Úřad</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určuje slovenskou technickou normu vhodnou pro posuzování shody,</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zveřejňuje oznámení o přijetí nebo zrušení slovenské technické normy a její opravě, o přijetí nebo zrušení technické normalizační informace a její opravě a o slovenské technické normě vhodné pro posuzování shody ve Věstníku Úřadu pro normalizaci, metrologii a státní zkušebnictví Slovenské republiky (dále jen „věstník") nebo v odůvodněných případech na svých internetových stránkách,</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oznamuje</w:t>
      </w:r>
      <w:r>
        <w:rPr>
          <w:color w:val="000000"/>
          <w:vertAlign w:val="superscript"/>
        </w:rPr>
        <w:t>10)</w:t>
      </w:r>
      <w:r>
        <w:rPr>
          <w:color w:val="000000"/>
        </w:rPr>
        <w:t xml:space="preserve"> slovenský národní normalizační orgán Evropské komisi,</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lastRenderedPageBreak/>
        <w:t>financuje činnost slovenského národního normalizačního orgánu a hradí poplatky za členství slovenského národního normalizačního orgánu v evropské normalizační organizaci a mezinárodním normalizačním orgánu,</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vykonává dohled nad dodržováním tohoto zákona,</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projednává přestupky a jiné správní delikty a ukládá pokuty podle § 16 a 17,</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je slovenským národním normalizačním orgánem.</w:t>
      </w:r>
      <w:r>
        <w:rPr>
          <w:color w:val="000000"/>
          <w:vertAlign w:val="superscript"/>
        </w:rPr>
        <w:t>11)</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Úřad coby slovenský národní normalizační orgán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plní povinnosti, které mu vyplývají z členství v evropské normalizační organizaci a mezinárodním normalizačním orgánu,</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umožní účast na tvorbě a zrušení evropské normy, evropského normalizačního produktu,</w:t>
      </w:r>
      <w:r>
        <w:rPr>
          <w:color w:val="000000"/>
          <w:vertAlign w:val="superscript"/>
        </w:rPr>
        <w:t>12)</w:t>
      </w:r>
      <w:r>
        <w:rPr>
          <w:color w:val="000000"/>
        </w:rPr>
        <w:t xml:space="preserve"> mezinárodní normy a jiné technické normalizační informace každému, kdo splňuje požadavky a pravidla evropské normalizační organizace, mezinárodního normalizačního orgánu nebo požadavky úřadu coby slovenského národního normalizačního orgánu zveřejněné na internetových stránkách úřadu coby slovenského národního normalizačního orgánu tak, že</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zveřejňuje na svých internetových stránkách oznámení o návrhu evropské normy, návrhu evropského normalizačního produktu, návrhu mezinárodní normy a návrhu jiné technické normalizační informace k projednání s veřejností nejpozději jeden měsíc před uplynutím lhůty určené v oznámení,</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zabezpečí projednání s veřejností v případě návrhu evropské normy, návrhu evropského normalizačního produktu, návrhu mezinárodní normy a návrhu jiné technické normalizační informace s každým, kdo požádá o účast při projednání s veřejností ve lhůtě určené v oznámení zveřejněném na svých internetových stránkách,</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oznamuje vydanou evropskou normu, vydaný evropský normalizační produkt, vydanou mezinárodní normu a vydanou jinou technickou normalizační informaci na svých internetových stránkách,</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zveřejňuje na svých internetových stránkách kritéria pro tvorbu slovenské technické normy a technické normalizační informace ve státním jazyce po jejich schválení Radou pro technickou normalizaci (dále jen „rada") stanovenou v § 5,</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zabezpečuje tvorbu a zrušení slovenské technické normy a technické normalizační informace podle pravidel stanovených evropskou normalizační organizací nebo mezinárodním normalizačním orgánem, nebo podle pravidel stanovených úřadem coby slovenským národním normalizačním orgánem, </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označuje slovenský technickou normu, předběžnou slovenskou technickou normu a technickou normalizační informaci podle § 3 odst. 11,</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prověřuje ve spolupráci se zúčastněnou stranou,</w:t>
      </w:r>
      <w:r>
        <w:rPr>
          <w:color w:val="000000"/>
          <w:vertAlign w:val="superscript"/>
        </w:rPr>
        <w:t>13)</w:t>
      </w:r>
      <w:r>
        <w:rPr>
          <w:color w:val="000000"/>
        </w:rPr>
        <w:t xml:space="preserve"> zda obsah původní slovenské technické normy a původní technické normalizační informace je v souladu s dosaženým stupněm rozvoje vědy a techniky,</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oznamuje záměr přijetí nové původní slovenské technické normy evropské normalizační organizaci,</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poskytuje podle § 15 slovenskou technickou normu a její opravu, technickou normalizační informaci a její opravu a jinou technickou normu a její změnu a opravu,</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vybírá úhradu za poskytnutí slovenské technické normy, technické normalizační informace a jiné technické normy a její změny,</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měsíčně zveřejňuje na svých internetových stránkách seznam slovenských technických norem a technických normalizačních informací a jejich oprav přijatých do soustavy slovenských technických norem, což nepředstavuje zveřejnění podle § 10 odst. 2,</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chrání slovenský technickou normu, technickou normalizační informaci a jinou technickou normu a její změnu podle tohoto zákona,</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metodicky usměrňuje a řídí tvorbu a poskytování slovenské technické normy a její opravy, technické normalizační informace a její opravy a jiné technické normy a její změny a opravy; metodické pokyny zveřejňuje na svých internetových stránkách,</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lastRenderedPageBreak/>
        <w:t>provozuje na svých internetových stránkách veřejně přístupný portál slovenských technických norem a technických normalizačních informací a jejich oprav (dále jen „portál"),</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odpovídá za jazykovou a terminologickou správnost přijaté slovenské technické normy a technické normalizační informace ve státním jazyce.</w:t>
      </w:r>
    </w:p>
    <w:p w:rsidR="00B3535A" w:rsidRPr="00D06F2A" w:rsidRDefault="00E16F77" w:rsidP="00BB519B">
      <w:pPr>
        <w:keepNext/>
        <w:keepLines/>
        <w:widowControl/>
        <w:shd w:val="clear" w:color="auto" w:fill="FFFFFF"/>
        <w:spacing w:before="360"/>
        <w:jc w:val="center"/>
        <w:rPr>
          <w:b/>
          <w:bCs/>
          <w:color w:val="000000"/>
        </w:rPr>
      </w:pPr>
      <w:r>
        <w:rPr>
          <w:b/>
          <w:color w:val="000000"/>
        </w:rPr>
        <w:t>§5</w:t>
      </w:r>
    </w:p>
    <w:p w:rsidR="00E16F77" w:rsidRPr="008015BE" w:rsidRDefault="00E16F77" w:rsidP="00BB519B">
      <w:pPr>
        <w:keepNext/>
        <w:keepLines/>
        <w:widowControl/>
        <w:shd w:val="clear" w:color="auto" w:fill="FFFFFF"/>
        <w:jc w:val="center"/>
        <w:rPr>
          <w:b/>
          <w:bCs/>
          <w:color w:val="000000"/>
        </w:rPr>
      </w:pPr>
      <w:r>
        <w:rPr>
          <w:b/>
          <w:color w:val="000000"/>
        </w:rPr>
        <w:t>Rada</w:t>
      </w:r>
    </w:p>
    <w:p w:rsidR="00E16F77" w:rsidRPr="00D06F2A" w:rsidRDefault="00E16F77" w:rsidP="003E6A72">
      <w:pPr>
        <w:pStyle w:val="ListParagraph"/>
        <w:keepNext/>
        <w:keepLines/>
        <w:widowControl/>
        <w:numPr>
          <w:ilvl w:val="0"/>
          <w:numId w:val="21"/>
        </w:numPr>
        <w:shd w:val="clear" w:color="auto" w:fill="FFFFFF"/>
        <w:spacing w:before="120" w:after="120"/>
        <w:ind w:left="284" w:hanging="284"/>
        <w:contextualSpacing w:val="0"/>
        <w:jc w:val="both"/>
        <w:rPr>
          <w:color w:val="000000"/>
        </w:rPr>
      </w:pPr>
      <w:r>
        <w:rPr>
          <w:color w:val="000000"/>
        </w:rPr>
        <w:t>Rada jako odborný a poradní orgán předsedy úřadu</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zabezpečuje nezávislost úřadu jako slovenského národního normalizačního orgánu,</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dohlíží na činnost úřadu jako slovenského národního normalizačního orgánu při plnění úloh podle § 4 odst. 2 písm. a),</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posuzuje koncepční záležitosti, které se týkají technické normalizace na národní, evropské a mezinárodní úrovni,</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předkládá předsedovi úřadu strategická doporučení ke koncepci státní politiky v oblasti technické normalizace ve Slovenské republice s ohledem na aktuální požadavky národní, evropské a mezinárodní normalizace a požadavky národního hospodářství,</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posuzuje, zda úřad jako slovenský národní normalizační orgán splňuje kritéria členství v evropské normalizační organizaci,</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schvaluje kritéria pro tvorbu slovenské technické normy ve státním jazyce,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pravidelně hodnotí činnost úřadu jako slovenského národního normalizačního orgánu včetně plnění měsíčního seznamu normalizačních úkolů (dále jen „plán technické normalizace“),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monitoruje postupy úřadu jako slovenského národního normalizačního orgánu související s činností technické komise,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vyjadřuje se ke statutu technické komise a jednacímu řádu technické komise,</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vyjadřuje se k požadavku veřejnosti nebo orgánu veřejné moci na vypracování návrhu původní slovenské technické normy a její zařazení do plánu technické normalizace,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schvaluje statut rady a jednací řád rady,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plní jiné povinnosti určené ve statutu rady. </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Rada má maximálně 15 členů. Členy rady jsou zástupci zainteresovaných stran a zástupci orgánů veřejné moci. Počet zástupců orgánů veřejné moci v radě je nejvýše jedna třetina z celkového počtu členů rady.</w:t>
      </w:r>
    </w:p>
    <w:p w:rsidR="00D0380A"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Členy rady jmenuje a odvolává předseda úřadu.</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Funkce člena rady je čestná a nezastupitelná.</w:t>
      </w:r>
    </w:p>
    <w:p w:rsidR="00E16F77" w:rsidRPr="00D06F2A" w:rsidRDefault="00E16F77" w:rsidP="003E6A72">
      <w:pPr>
        <w:pStyle w:val="ListParagraph"/>
        <w:widowControl/>
        <w:numPr>
          <w:ilvl w:val="0"/>
          <w:numId w:val="21"/>
        </w:numPr>
        <w:shd w:val="clear" w:color="auto" w:fill="FFFFFF"/>
        <w:spacing w:before="120" w:after="120"/>
        <w:ind w:left="284" w:hanging="284"/>
        <w:contextualSpacing w:val="0"/>
        <w:jc w:val="both"/>
        <w:rPr>
          <w:color w:val="000000"/>
        </w:rPr>
      </w:pPr>
      <w:r>
        <w:rPr>
          <w:color w:val="000000"/>
        </w:rPr>
        <w:t>Složení, úkoly, organizační zajištění a způsob jednání rady upraví statut rady a jednací řád rady, který vydá úřad.</w:t>
      </w:r>
    </w:p>
    <w:p w:rsidR="00B3535A" w:rsidRPr="00D06F2A" w:rsidRDefault="00E16F77" w:rsidP="00BB519B">
      <w:pPr>
        <w:keepNext/>
        <w:keepLines/>
        <w:widowControl/>
        <w:shd w:val="clear" w:color="auto" w:fill="FFFFFF"/>
        <w:spacing w:before="360"/>
        <w:jc w:val="center"/>
        <w:rPr>
          <w:b/>
          <w:bCs/>
          <w:color w:val="000000"/>
        </w:rPr>
      </w:pPr>
      <w:r>
        <w:rPr>
          <w:b/>
          <w:color w:val="000000"/>
        </w:rPr>
        <w:t>§6</w:t>
      </w:r>
    </w:p>
    <w:p w:rsidR="00E16F77" w:rsidRPr="008015BE" w:rsidRDefault="00E16F77" w:rsidP="00BB519B">
      <w:pPr>
        <w:keepNext/>
        <w:keepLines/>
        <w:widowControl/>
        <w:shd w:val="clear" w:color="auto" w:fill="FFFFFF"/>
        <w:jc w:val="center"/>
        <w:rPr>
          <w:b/>
          <w:bCs/>
          <w:color w:val="000000"/>
        </w:rPr>
      </w:pPr>
      <w:r>
        <w:rPr>
          <w:b/>
          <w:color w:val="000000"/>
        </w:rPr>
        <w:t>Technická komise</w:t>
      </w:r>
    </w:p>
    <w:p w:rsidR="00E16F77" w:rsidRPr="00D06F2A" w:rsidRDefault="00E16F77" w:rsidP="00B3535A">
      <w:pPr>
        <w:widowControl/>
        <w:shd w:val="clear" w:color="auto" w:fill="FFFFFF"/>
        <w:spacing w:before="120"/>
        <w:jc w:val="both"/>
        <w:rPr>
          <w:color w:val="000000"/>
        </w:rPr>
      </w:pPr>
      <w:r>
        <w:rPr>
          <w:color w:val="000000"/>
        </w:rPr>
        <w:t>Technická komise je odborný poradní orgán úřadu coby slovenského národního normalizačního orgánu, který se podílí na tvorbě slovenské technické normy, technické normalizační informace, na připomínkování podle § 9 odst. 2 písm. b) a odst. 3 písm. c) a dalších činnostech, které souvisejí s technickou normalizací. Složení, úkoly, organizační zabezpečení a způsob projednávání technické komise upraví statut technické komise jednací řád technické komise, který vydá úřad jako slovenský národní normalizační orgán.</w:t>
      </w:r>
    </w:p>
    <w:p w:rsidR="00E16F77" w:rsidRPr="008015BE" w:rsidRDefault="00E16F77" w:rsidP="00BB519B">
      <w:pPr>
        <w:keepNext/>
        <w:keepLines/>
        <w:widowControl/>
        <w:shd w:val="clear" w:color="auto" w:fill="FFFFFF"/>
        <w:spacing w:before="360"/>
        <w:jc w:val="center"/>
        <w:rPr>
          <w:b/>
          <w:bCs/>
          <w:color w:val="000000"/>
        </w:rPr>
      </w:pPr>
      <w:r>
        <w:rPr>
          <w:b/>
          <w:color w:val="000000"/>
        </w:rPr>
        <w:t>Tvorba slovenské technické normy a technické normalizační informace</w:t>
      </w:r>
    </w:p>
    <w:p w:rsidR="00E16F77" w:rsidRPr="008015BE" w:rsidRDefault="00E16F77" w:rsidP="00BB519B">
      <w:pPr>
        <w:keepNext/>
        <w:keepLines/>
        <w:widowControl/>
        <w:shd w:val="clear" w:color="auto" w:fill="FFFFFF"/>
        <w:jc w:val="center"/>
        <w:rPr>
          <w:b/>
          <w:bCs/>
          <w:color w:val="000000"/>
        </w:rPr>
      </w:pPr>
      <w:r>
        <w:rPr>
          <w:b/>
          <w:color w:val="000000"/>
        </w:rPr>
        <w:t>§7</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Úřad coby slovenský národní normalizační orgán při zabezpečování činnosti podle § 4 odst. 2 písm. d) spolupracuje s technickou komisí a zúčastněnou stranou, včetně malých podniků</w:t>
      </w:r>
      <w:r>
        <w:rPr>
          <w:color w:val="000000"/>
          <w:vertAlign w:val="superscript"/>
        </w:rPr>
        <w:t>14)</w:t>
      </w:r>
      <w:r>
        <w:rPr>
          <w:color w:val="000000"/>
        </w:rPr>
        <w:t xml:space="preserve"> a středních podniků,</w:t>
      </w:r>
      <w:r>
        <w:rPr>
          <w:color w:val="000000"/>
          <w:vertAlign w:val="superscript"/>
        </w:rPr>
        <w:t>15)</w:t>
      </w:r>
      <w:r>
        <w:rPr>
          <w:color w:val="000000"/>
        </w:rPr>
        <w:t xml:space="preserve"> orgánem veřejné moci a právnickou osobou nebo s fyzickou osobou, která je </w:t>
      </w:r>
      <w:r>
        <w:rPr>
          <w:color w:val="000000"/>
        </w:rPr>
        <w:lastRenderedPageBreak/>
        <w:t>na základě smlouvy s úřadem coby slovenským národním normalizačním orgánem zodpovědná za zpracování normalizační úlohy (dále jen „zpracovatel").</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Zpracovatel a úřad coby slovenský národní normalizační orgán postupují při tvorbě slovenské technické normy a technické normalizační informace podle § 8 až 10, pravidel evropské normalizační organizace, pravidel mezinárodního normalizačního orgánu a metodického postupu úřadu coby slovenského národního normalizačního orgánu zveřejněného na internetových stránkách úřadu coby slovenského národního normalizačního orgánu.</w:t>
      </w:r>
    </w:p>
    <w:p w:rsidR="00E16F77" w:rsidRPr="00D06F2A"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Pr>
          <w:color w:val="000000"/>
        </w:rPr>
        <w:t xml:space="preserve">Tvorba slovenské technické normy a technické normalizační informace spočívá v </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sestavení plánu technické normalizace,</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zpracování návrhu slovenské technické normy nebo návrhu technické normalizační informace,</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přijetí a oznámení slovenské technické normy nebo technické normalizační informace.</w:t>
      </w:r>
    </w:p>
    <w:p w:rsidR="00B3535A" w:rsidRPr="00D06F2A" w:rsidRDefault="00E16F77" w:rsidP="00BB519B">
      <w:pPr>
        <w:keepNext/>
        <w:keepLines/>
        <w:widowControl/>
        <w:shd w:val="clear" w:color="auto" w:fill="FFFFFF"/>
        <w:spacing w:before="360"/>
        <w:jc w:val="center"/>
        <w:rPr>
          <w:b/>
          <w:bCs/>
          <w:color w:val="000000"/>
        </w:rPr>
      </w:pPr>
      <w:r>
        <w:rPr>
          <w:b/>
          <w:color w:val="000000"/>
        </w:rPr>
        <w:t>§8</w:t>
      </w:r>
    </w:p>
    <w:p w:rsidR="00E16F77" w:rsidRPr="008015BE" w:rsidRDefault="00E16F77" w:rsidP="00BB519B">
      <w:pPr>
        <w:keepNext/>
        <w:keepLines/>
        <w:widowControl/>
        <w:shd w:val="clear" w:color="auto" w:fill="FFFFFF"/>
        <w:jc w:val="center"/>
        <w:rPr>
          <w:b/>
          <w:bCs/>
          <w:color w:val="000000"/>
        </w:rPr>
      </w:pPr>
      <w:r>
        <w:rPr>
          <w:b/>
          <w:color w:val="000000"/>
        </w:rPr>
        <w:t>Sestavení plánu technické normalizace</w:t>
      </w:r>
    </w:p>
    <w:p w:rsidR="00D0380A"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Úřad coby slovenský národní normalizační orgán sestaví plán technické normalizace a zveřejní jej na svých internetových stránkách nejpozději desátý den kalendářního měsíce, který následuje po měsíci, ve kterém byl plán technické normalizace sestaven.</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Úřad coby slovenský národní normalizační orgán v plánu technické normalizace určí u evropské normě, evropském normalizačním produktu, mezinárodní normě a jiné technické normalizační informaci způsob jejich přijetí do soustavy slovenských technických norem, kterým je převzetí</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překladem do státního jazyka,</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bez překladu do státního jazyka nebo</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bez překladu do státního jazyka s anotací ve státním jazyce.</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Úřad coby slovenský národní normalizační orgán v plánu technické normalizace uvede záměr na zpracování původní slovenské technické normy nebo záměr na zpracování původní technické normalizační informace, o jejichž zpracování a přijetí do soustavy slovenských technických norem rozhodl.</w:t>
      </w:r>
    </w:p>
    <w:p w:rsidR="00B3535A" w:rsidRPr="00D06F2A" w:rsidRDefault="00E16F77" w:rsidP="00BB519B">
      <w:pPr>
        <w:keepNext/>
        <w:keepLines/>
        <w:widowControl/>
        <w:shd w:val="clear" w:color="auto" w:fill="FFFFFF"/>
        <w:spacing w:before="360"/>
        <w:jc w:val="center"/>
        <w:rPr>
          <w:b/>
          <w:bCs/>
          <w:color w:val="000000"/>
        </w:rPr>
      </w:pPr>
      <w:r>
        <w:rPr>
          <w:b/>
          <w:color w:val="000000"/>
        </w:rPr>
        <w:t>§9</w:t>
      </w:r>
    </w:p>
    <w:p w:rsidR="00E16F77" w:rsidRPr="008015BE" w:rsidRDefault="00E16F77" w:rsidP="00BB519B">
      <w:pPr>
        <w:keepNext/>
        <w:keepLines/>
        <w:widowControl/>
        <w:shd w:val="clear" w:color="auto" w:fill="FFFFFF"/>
        <w:jc w:val="center"/>
        <w:rPr>
          <w:b/>
          <w:bCs/>
          <w:color w:val="000000"/>
        </w:rPr>
      </w:pPr>
      <w:r>
        <w:rPr>
          <w:b/>
          <w:color w:val="000000"/>
        </w:rPr>
        <w:t>Zpracování slovenské technické normy a technické normalizační informace</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Úřad coby slovenský národní normalizační orgán při zpracování návrhu původní slovenské technické normy nebo návrhu původní technické normalizační informace nebo při zpracování návrhu slovenské technické normy nebo návrhu technické normalizační informace způsobem podle § 8 odst. 2 písm. a) nebo písm. c) vybere zpracovatele podle zvláštního předpisu.</w:t>
      </w:r>
      <w:r>
        <w:rPr>
          <w:color w:val="000000"/>
          <w:vertAlign w:val="superscript"/>
        </w:rPr>
        <w:t>16)</w:t>
      </w:r>
      <w:r>
        <w:rPr>
          <w:color w:val="000000"/>
        </w:rPr>
        <w:t xml:space="preserve"> Tento postup se nepoužije, pokud náklady na zpracování návrhu slovenské technické normy nebo návrhu technické normalizační informace nehradí úřad.</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Zpracovatel nebo úřad coby slovenský národní normalizační orgán při zpracování návrhu původní slovenské technické normy nebo návrhu původní technické normalizační informace</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zpracuje návrh původní slovenské technické normy nebo návrh původní technické normalizační informace,</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předloží zpracovaný návrh původní slovenské technické normy nebo zpracovaný návrh původní technické normalizační informace k připomínkování členům technické komise nebo členům pracovní skupiny k tomu vytvořené,</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upraví návrh původní slovenské technické normy nebo návrh původní technické normalizační informace podle uplatněných připomínek technické komise nebo pracovní skupiny k tomu vytvořené, který úřad coby slovenský národní normalizační orgán do 15 pracovních dnů od doručení návrhu původní slovenské technické normy nebo návrhu původní technické normalizační informace předloží k veřejnému projednání veřejnosti zveřejněním oznámení na svých internetových stránkách; pokud návrh zpracuje úřad coby slovenský národní normalizační orgán, neprodleně nejpozději do 15 pracovních dnů od zpracování návrhu původní slovenské technické normy nebo návrhu původní technické normalizační informace předloží k veřejnému projednání veřejnosti zveřejněním oznámení na svých internetových stránkách, a</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lastRenderedPageBreak/>
        <w:t>upraví návrh původní slovenské technické normy nebo návrh původní technické normalizační informace podle uplatněných připomínek z veřejného projednání.</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Zpracovatel nebo úřad coby slovenský národní normalizační orgán při zpracování návrhu slovenské technické normy nebo návrhu technické normalizační informace způsobem podle § 8 odst. 2 písm. a) nebo písm. c)</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zpracuje návrh slovenské technické normy nebo návrh technické normalizační informace,</w:t>
      </w:r>
    </w:p>
    <w:p w:rsidR="00D0380A"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předloží zpracovaný návrh slovenské technické normy nebo zpracovaný návrh technické normalizační informace k připomínkování členům technické komise a každému, kdo požádá o účast na projednání ve lhůtě stanovené v plánu technické normalizace zveřejněném na internetových stránkách úřadu coby slovenského národního normalizačního orgánu,</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upraví návrh slovenské technické normy nebo návrh technické normalizační informace podle uplatněných připomínek technické komise nebo toho, kdo požádal o účast na projednání.</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Úřad coby slovenský národní normalizační orgán při zpracování návrhu slovenské technické normy nebo návrhu technické normalizační informace způsobem podle § 8 odst. 2 písm. b) zpracuje název slovenské technické normy nebo název technické normalizační informace ve státním jazyce.</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Zpracovatel nebo úřad coby slovenský národní normalizační orgán při zpracování návrhu slovenské technické normy nebo návrhu technické normalizační informace zajistí soulad návrhu slovenské technické normy a návrhu technické normalizační informace s přijatými a oznámenými slovenskými technickými normami a technickými normalizačními informacemi a soulad návrhu slovenské technické normy a návrhu technické normalizační informace s obecně závaznými právními předpisy a právně závaznými akty Evropské unie.</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Úřad coby slovenský národní normalizační orgán po ukončení postupu podle odstavců 2, 3 nebo odstavce 4 zajistí jazykovou a terminologickou korekturu.</w:t>
      </w:r>
    </w:p>
    <w:p w:rsidR="00B3535A" w:rsidRPr="00D06F2A" w:rsidRDefault="00E16F77" w:rsidP="00BB519B">
      <w:pPr>
        <w:keepNext/>
        <w:keepLines/>
        <w:widowControl/>
        <w:shd w:val="clear" w:color="auto" w:fill="FFFFFF"/>
        <w:spacing w:before="360"/>
        <w:jc w:val="center"/>
        <w:rPr>
          <w:b/>
          <w:bCs/>
          <w:color w:val="000000"/>
        </w:rPr>
      </w:pPr>
      <w:r>
        <w:rPr>
          <w:b/>
          <w:color w:val="000000"/>
        </w:rPr>
        <w:t>§ 10</w:t>
      </w:r>
    </w:p>
    <w:p w:rsidR="00E16F77" w:rsidRPr="008015BE" w:rsidRDefault="00E16F77" w:rsidP="00BB519B">
      <w:pPr>
        <w:keepNext/>
        <w:keepLines/>
        <w:widowControl/>
        <w:shd w:val="clear" w:color="auto" w:fill="FFFFFF"/>
        <w:jc w:val="center"/>
        <w:rPr>
          <w:b/>
          <w:bCs/>
          <w:color w:val="000000"/>
        </w:rPr>
      </w:pPr>
      <w:r>
        <w:rPr>
          <w:b/>
          <w:color w:val="000000"/>
        </w:rPr>
        <w:t>Přijetí a oznámení o přijetí slovenské technické normy a technické normalizační informace</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Úřad coby slovenský národní normalizační orgán po zpracování návrhu slovenské technické normy nebo návrhu technické normalizační informace podle § 9 přijme slovenskou technickou normu nebo technickou normalizační informaci do soustavy slovenských technických norem.</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Úřad oznámí přijetí slovenské technické normy nebo přijetí technické normalizační informace ve věstníku nebo v odůvodněných případech na svých internetových stránkách.</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Slovenská technická norma a technická normalizační informace nabývá platnosti prvním dnem kalendářního měsíce následujícího po měsíci, ve kterém byla oznámena ve věstníku, nebo pokud byla oznámena na internetových stránkách úřadu, dnem oznámení na internetových stránkách úřadu.</w:t>
      </w:r>
    </w:p>
    <w:p w:rsidR="00B3535A" w:rsidRPr="00D06F2A" w:rsidRDefault="00E16F77" w:rsidP="00BB519B">
      <w:pPr>
        <w:keepNext/>
        <w:keepLines/>
        <w:widowControl/>
        <w:shd w:val="clear" w:color="auto" w:fill="FFFFFF"/>
        <w:spacing w:before="360"/>
        <w:jc w:val="center"/>
        <w:rPr>
          <w:b/>
          <w:bCs/>
          <w:color w:val="000000"/>
        </w:rPr>
      </w:pPr>
      <w:r>
        <w:rPr>
          <w:b/>
          <w:color w:val="000000"/>
        </w:rPr>
        <w:t>§ 11</w:t>
      </w:r>
    </w:p>
    <w:p w:rsidR="00E16F77" w:rsidRPr="008015BE" w:rsidRDefault="00E16F77" w:rsidP="00BB519B">
      <w:pPr>
        <w:keepNext/>
        <w:keepLines/>
        <w:widowControl/>
        <w:shd w:val="clear" w:color="auto" w:fill="FFFFFF"/>
        <w:jc w:val="center"/>
        <w:rPr>
          <w:b/>
          <w:bCs/>
          <w:color w:val="000000"/>
        </w:rPr>
      </w:pPr>
      <w:r>
        <w:rPr>
          <w:b/>
          <w:color w:val="000000"/>
        </w:rPr>
        <w:t>Změna slovenské technické normy, oprava a zrušení slovenské technické normy a technické normalizační informace</w:t>
      </w:r>
    </w:p>
    <w:p w:rsidR="00E16F77" w:rsidRPr="00D06F2A" w:rsidRDefault="00E16F77" w:rsidP="00B3535A">
      <w:pPr>
        <w:widowControl/>
        <w:shd w:val="clear" w:color="auto" w:fill="FFFFFF"/>
        <w:spacing w:before="120"/>
        <w:jc w:val="both"/>
        <w:rPr>
          <w:color w:val="000000"/>
        </w:rPr>
      </w:pPr>
      <w:r>
        <w:rPr>
          <w:color w:val="000000"/>
        </w:rPr>
        <w:t>Úřad jako slovenský národní normalizační orgán postupuje při změně, opravě nebo zrušení slovenské technické normy nebo technické normalizační informace přiměřeně podle § 8 až 10.</w:t>
      </w:r>
    </w:p>
    <w:p w:rsidR="00B3535A" w:rsidRPr="00D06F2A" w:rsidRDefault="00E16F77" w:rsidP="00BB519B">
      <w:pPr>
        <w:keepNext/>
        <w:keepLines/>
        <w:widowControl/>
        <w:shd w:val="clear" w:color="auto" w:fill="FFFFFF"/>
        <w:spacing w:before="360"/>
        <w:jc w:val="center"/>
        <w:rPr>
          <w:b/>
          <w:bCs/>
          <w:color w:val="000000"/>
        </w:rPr>
      </w:pPr>
      <w:r>
        <w:rPr>
          <w:b/>
          <w:color w:val="000000"/>
        </w:rPr>
        <w:t>§ 12</w:t>
      </w:r>
    </w:p>
    <w:p w:rsidR="00E16F77" w:rsidRPr="008015BE" w:rsidRDefault="00E16F77" w:rsidP="00BB519B">
      <w:pPr>
        <w:keepNext/>
        <w:keepLines/>
        <w:widowControl/>
        <w:shd w:val="clear" w:color="auto" w:fill="FFFFFF"/>
        <w:jc w:val="center"/>
        <w:rPr>
          <w:b/>
          <w:bCs/>
          <w:color w:val="000000"/>
        </w:rPr>
      </w:pPr>
      <w:r>
        <w:rPr>
          <w:b/>
          <w:color w:val="000000"/>
        </w:rPr>
        <w:t>Výdaje na tvorbu slovenské technické normy a technické normalizační informace</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Výdaje na tvorbu slovenské technické normy a technické normalizační informace a jejich oprav ve státním jazyce, které vyhovují přijatým a zveřejněným kritériím podle § 4 odst. 2 písm. c), hradí úřad. Jinak výdaje na zpracování slovenské technické normy a technické normalizační informace ve státním jazyce hradí ten, kdo požaduje jejich tvorbu.</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Výdaje na zpracování slovenské technické normy ve státním jazyce, která se uvádí přímo v textu obecně závazného právního předpisu, a výdaje na každé poskytnutí slovenské technické normy, která se uvádí přímo v textu obecně závazného právního předpisu, hradí orgán státní správy, který je odpovědným předkladatelem návrhu obecně závazného právního předpisu, ve kterém přímo v textu uvedl slovenský technickou normu.</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 13</w:t>
      </w:r>
    </w:p>
    <w:p w:rsidR="00E16F77" w:rsidRPr="008015BE" w:rsidRDefault="00E16F77" w:rsidP="00BB519B">
      <w:pPr>
        <w:keepNext/>
        <w:keepLines/>
        <w:widowControl/>
        <w:shd w:val="clear" w:color="auto" w:fill="FFFFFF"/>
        <w:jc w:val="center"/>
        <w:rPr>
          <w:b/>
          <w:bCs/>
          <w:color w:val="000000"/>
        </w:rPr>
      </w:pPr>
      <w:r>
        <w:rPr>
          <w:b/>
          <w:color w:val="000000"/>
        </w:rPr>
        <w:t>Harmonizovaná technická norma a slovenská technická norma vhodná pro posuzování shody</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Dodržení harmonizované technické normy</w:t>
      </w:r>
      <w:r>
        <w:rPr>
          <w:color w:val="000000"/>
          <w:vertAlign w:val="superscript"/>
        </w:rPr>
        <w:t>17)</w:t>
      </w:r>
      <w:r>
        <w:rPr>
          <w:color w:val="000000"/>
        </w:rPr>
        <w:t xml:space="preserve"> nebo slovenské technické normy vhodné pro posuzování shody nebo jejich části se považuje za splnění technických požadavků určených technickým předpisem, na které se harmonizovaná technická norma nebo slovenská technická norma vhodná pro posuzování shody nebo jejich část vztahuje.</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Pokud neexistuje harmonizovaná technická norma, úřad po projednání s příslušným ministerstvem nebo jiným ústředním orgánem státní správy určí slovenská technickou normu vhodnou posuzování shody. Určení slovenské technické normy vhodné pro posuzování shody oznámí úřad ve věstníku. V oznámení úřad uvede název technického předpisu, na který se vztahuje slovenská technická norma vhodná pro posuzování shody</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Námitku proti harmonizované technické normě podle zvláštního předpisu</w:t>
      </w:r>
      <w:r>
        <w:rPr>
          <w:color w:val="000000"/>
          <w:vertAlign w:val="superscript"/>
        </w:rPr>
        <w:t>18)</w:t>
      </w:r>
      <w:r>
        <w:rPr>
          <w:color w:val="000000"/>
        </w:rPr>
        <w:t xml:space="preserve"> použije úřad na podnět příslušného ministerstva, jiného ústředního orgánu státní správy nebo orgánu dohledu.</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Návrh na zrušení určení slovenské technické normy vhodné pro posuzování shody podává příslušné ministerstvo nebo jiný ústřední orgán státní správy úřadu, který zrušení určení slovenské technické normy vhodné pro posuzování shody oznámí ve věstníku.</w:t>
      </w:r>
    </w:p>
    <w:p w:rsidR="00B3535A" w:rsidRPr="00D06F2A" w:rsidRDefault="00E16F77" w:rsidP="00BB519B">
      <w:pPr>
        <w:keepNext/>
        <w:keepLines/>
        <w:widowControl/>
        <w:shd w:val="clear" w:color="auto" w:fill="FFFFFF"/>
        <w:spacing w:before="360"/>
        <w:jc w:val="center"/>
        <w:rPr>
          <w:b/>
          <w:bCs/>
          <w:color w:val="000000"/>
        </w:rPr>
      </w:pPr>
      <w:r>
        <w:rPr>
          <w:b/>
          <w:color w:val="000000"/>
        </w:rPr>
        <w:t>§ 14</w:t>
      </w:r>
    </w:p>
    <w:p w:rsidR="00E16F77" w:rsidRPr="008015BE" w:rsidRDefault="00E16F77" w:rsidP="00BB519B">
      <w:pPr>
        <w:keepNext/>
        <w:keepLines/>
        <w:widowControl/>
        <w:shd w:val="clear" w:color="auto" w:fill="FFFFFF"/>
        <w:jc w:val="center"/>
        <w:rPr>
          <w:b/>
          <w:bCs/>
          <w:color w:val="000000"/>
        </w:rPr>
      </w:pPr>
      <w:r>
        <w:rPr>
          <w:b/>
          <w:color w:val="000000"/>
        </w:rPr>
        <w:t>Způsob ochrany slovenské technické normy a technické normalizační informace</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Název slovenská technická norma a značka „STN", název předběžná Slovenská techni</w:t>
      </w:r>
      <w:r w:rsidR="00585429">
        <w:rPr>
          <w:color w:val="000000"/>
        </w:rPr>
        <w:t xml:space="preserve">cká norma a značka </w:t>
      </w:r>
      <w:bookmarkStart w:id="0" w:name="_GoBack"/>
      <w:bookmarkEnd w:id="0"/>
      <w:r>
        <w:rPr>
          <w:color w:val="000000"/>
        </w:rPr>
        <w:t>„STN P" a název technická normalizační informace a značka „TNI" se nesmí použít k označení jiného dokumentu.</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Úřad coby slovenský národní normalizační orgán má nárok na náhradu úhrady za poskytnutí slovenské technické normy, předběžné slovenské technické normy a technické normalizační informace za každé rozmnožení slovenské technické normy, předběžné slovenské technické normy a technické normalizační informace od toho, kdo bez souhlasu úřadu coby slovenského národního normalizačního orgánu rozmnožil slovenskou technickou normu, předběžnou slovenskou technickou normu a technickou normalizační informaci.</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Neoprávněným šířením slovenské technické normy nebo technické normalizační informace je poskytnutí slovenské technické normy nebo technické normalizační informace nebo jejich částí včetně nabídky na jejich poskytnutí jakýmkoliv způsobem a v jakékoliv formě bez souhlasu úřadu coby slovenského národního normalizačního orgánu.</w:t>
      </w:r>
    </w:p>
    <w:p w:rsidR="00E16F77" w:rsidRPr="00D06F2A"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Pr>
          <w:color w:val="000000"/>
        </w:rPr>
        <w:t>Za neoprávněné rozmnožení nebo neoprávněné šíření slovenské technické normy nebo technické normalizační informace se nepovažuje</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citace části slovenské technické normy nebo části technické normalizační informace, pokud s citací části slovenské technické normy nebo technické normalizační informace na základě žádosti vyjádřil souhlas úřad coby slovenský národní normalizační orgán;</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informace o slovenské technické normě a technické normalizační informaci, která byla oznámena ve věstníku nebo na internetových stránkách úřadu podle § 10 odst. 2.</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Úřad coby slovenský národní normalizační orgán udělí souhlas s úplatnou citací části slovenské technické normy nebo části technické normalizační informace neprodleně, nejpozději do 30 dnů ode dne doručení žádosti o souhlas. Žádost obsahuje zejména identifikaci žadatele, účel a rozsah citace části slovenské technické normy nebo části technické normalizační informace a název slovenské technické normy nebo název technické normalizační informace, kterou hodlá žadatel citovat.</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Úřad coby slovenský národní normalizační orgán udělí souhlas s bezplatnou citací části slovenské technické normy nebo technické normalizační informace neprodleně, nejpozději do deseti pracovních dnů ode dne doručení žádosti o souhlas, pro</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poskytování</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výchovy a vzdělávání podle zvláštního předpisu,</w:t>
      </w:r>
      <w:r>
        <w:rPr>
          <w:color w:val="000000"/>
          <w:vertAlign w:val="superscript"/>
        </w:rPr>
        <w:t>19)</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vzdělávání v rámci akreditovaného studijního programu na vysoké škole nebo</w:t>
      </w:r>
    </w:p>
    <w:p w:rsidR="00E16F77" w:rsidRPr="00D06F2A" w:rsidRDefault="00E16F77" w:rsidP="003E6A72">
      <w:pPr>
        <w:widowControl/>
        <w:numPr>
          <w:ilvl w:val="0"/>
          <w:numId w:val="9"/>
        </w:numPr>
        <w:shd w:val="clear" w:color="auto" w:fill="FFFFFF"/>
        <w:tabs>
          <w:tab w:val="left" w:pos="1134"/>
        </w:tabs>
        <w:spacing w:before="120"/>
        <w:ind w:left="1134" w:hanging="283"/>
        <w:jc w:val="both"/>
        <w:rPr>
          <w:color w:val="000000"/>
        </w:rPr>
      </w:pPr>
      <w:r>
        <w:rPr>
          <w:color w:val="000000"/>
        </w:rPr>
        <w:t>kontinuálního vzdělávání a atestace pedagogických pracovníků a odborných zaměstnanců</w:t>
      </w:r>
      <w:r>
        <w:rPr>
          <w:color w:val="000000"/>
          <w:vertAlign w:val="superscript"/>
        </w:rPr>
        <w:t>20)</w:t>
      </w:r>
      <w:r>
        <w:rPr>
          <w:color w:val="000000"/>
        </w:rPr>
        <w:t xml:space="preserve"> nekomerčního charakteru,</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lastRenderedPageBreak/>
        <w:t>vypracování a obhajobu</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komplexní odborné práce, projektu nebo soutěžní práce, absolventské písemné práce, písemné absolventské práce v rámci výchovy a vzdělávání,</w:t>
      </w:r>
      <w:r>
        <w:rPr>
          <w:color w:val="000000"/>
          <w:vertAlign w:val="superscript"/>
        </w:rPr>
        <w:t>21)</w:t>
      </w:r>
    </w:p>
    <w:p w:rsidR="00E16F77" w:rsidRPr="00D06F2A" w:rsidRDefault="00E16F77" w:rsidP="003E6A72">
      <w:pPr>
        <w:widowControl/>
        <w:numPr>
          <w:ilvl w:val="0"/>
          <w:numId w:val="10"/>
        </w:numPr>
        <w:shd w:val="clear" w:color="auto" w:fill="FFFFFF"/>
        <w:tabs>
          <w:tab w:val="left" w:pos="1134"/>
        </w:tabs>
        <w:spacing w:before="120"/>
        <w:ind w:left="1134" w:hanging="283"/>
        <w:rPr>
          <w:color w:val="000000"/>
        </w:rPr>
      </w:pPr>
      <w:r>
        <w:rPr>
          <w:color w:val="000000"/>
        </w:rPr>
        <w:t>závěrečné práce v rámci studia na vysoké škole</w:t>
      </w:r>
      <w:r>
        <w:rPr>
          <w:color w:val="000000"/>
          <w:vertAlign w:val="superscript"/>
        </w:rPr>
        <w:t>22)</w:t>
      </w:r>
      <w:r>
        <w:rPr>
          <w:color w:val="000000"/>
        </w:rPr>
        <w:t xml:space="preserve"> nebo</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závěrečné práce v rámci kontinuálního vzdělávání pedagogických pracovníků a odborných pracovníků nekomerčního charakteru a atestační práce pedagogického zaměstnance a odborného zaměstnance.</w:t>
      </w:r>
      <w:r>
        <w:rPr>
          <w:color w:val="000000"/>
          <w:vertAlign w:val="superscript"/>
        </w:rPr>
        <w:t>23)</w:t>
      </w:r>
    </w:p>
    <w:p w:rsidR="00B3535A" w:rsidRPr="00D06F2A" w:rsidRDefault="00E16F77" w:rsidP="00BB519B">
      <w:pPr>
        <w:keepNext/>
        <w:keepLines/>
        <w:widowControl/>
        <w:shd w:val="clear" w:color="auto" w:fill="FFFFFF"/>
        <w:spacing w:before="360"/>
        <w:jc w:val="center"/>
        <w:rPr>
          <w:b/>
          <w:bCs/>
          <w:color w:val="000000"/>
        </w:rPr>
      </w:pPr>
      <w:r>
        <w:rPr>
          <w:b/>
          <w:color w:val="000000"/>
        </w:rPr>
        <w:t>§ 15</w:t>
      </w:r>
    </w:p>
    <w:p w:rsidR="00E16F77" w:rsidRPr="008015BE" w:rsidRDefault="00E16F77" w:rsidP="00BB519B">
      <w:pPr>
        <w:keepNext/>
        <w:keepLines/>
        <w:widowControl/>
        <w:shd w:val="clear" w:color="auto" w:fill="FFFFFF"/>
        <w:jc w:val="center"/>
        <w:rPr>
          <w:b/>
          <w:bCs/>
          <w:color w:val="000000"/>
        </w:rPr>
      </w:pPr>
      <w:r>
        <w:rPr>
          <w:b/>
          <w:color w:val="000000"/>
        </w:rPr>
        <w:t>Poskytování slovenské technické normy, technické normalizační informace, jiné technické normy a věstníku</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Slovenská technická norma, technická normalizační informace, jiná technická norma a její změna a věstník se poskytuje za úhradu, jestliže odstavec 4 nestanoví jinak.</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Slovenská technická norma a technická normalizační informace a jejich oprava se poskytuje v listinné podobě, v elektronické podobě nebo prostřednictvím portálu. Jiná technická norma a její změna a oprava a jiná technická normalizační informace a její oprava se poskytuje v listinné podobě. Podrobnosti o portálu zveřejní úřad jako slovenský národní normalizační orgán na svých internetových stránkách.</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Úřad coby slovenský národní normalizační orgán poskytne bezplatně slovenskou technickou normu podle § 12 odst. 2 prostřednictvím portálu každému, kdo požádá o její poskytnutí, tímto není dotčena povinnost orgánu státní správy podle § 12 odst. 2.</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Zpracovatel původní slovenské technické normy nebo původní technické normalizační informace má nárok na bezplatné poskytnutí jednoho výtisku původní slovenské technické normy nebo původní technické normalizační informace v listinné podobě, na jejímž zpracování se podílel.</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Opravu slovenské technické normy, technické normalizační informace, jiné technické normy a jiné technické normalizační informace poskytuje úřad coby slovenský národní normalizační orgán bezplatně.</w:t>
      </w:r>
    </w:p>
    <w:p w:rsidR="00E16F77" w:rsidRPr="00D06F2A" w:rsidRDefault="00E16F77" w:rsidP="003E6A72">
      <w:pPr>
        <w:pStyle w:val="ListParagraph"/>
        <w:keepNext/>
        <w:keepLines/>
        <w:widowControl/>
        <w:numPr>
          <w:ilvl w:val="0"/>
          <w:numId w:val="27"/>
        </w:numPr>
        <w:shd w:val="clear" w:color="auto" w:fill="FFFFFF"/>
        <w:spacing w:before="120"/>
        <w:ind w:left="284" w:hanging="284"/>
        <w:contextualSpacing w:val="0"/>
        <w:jc w:val="both"/>
        <w:rPr>
          <w:color w:val="000000"/>
        </w:rPr>
      </w:pPr>
      <w:r>
        <w:rPr>
          <w:color w:val="000000"/>
        </w:rPr>
        <w:t xml:space="preserve">Nárok na vrácení úhrady za poskytnutí slovenské technické normy, technické normalizační informace nebo jiné technické normy a její změny v listinné podobě vzniká, pokud </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chybí jí text nebo strana, nebo</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 xml:space="preserve">je poškozena její vazba. </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Nárok na vrácení úhrady za poskytnutí slovenské technické normy nebo technické normalizační informace v elektronické podobě vzniká, pokud je poškozený záznamový nosič, na kterém je zapsána slovenská technická norma nebo technická normalizační informace.</w:t>
      </w:r>
    </w:p>
    <w:p w:rsidR="00E16F77" w:rsidRPr="00D06F2A" w:rsidRDefault="00E16F77" w:rsidP="003E6A72">
      <w:pPr>
        <w:pStyle w:val="ListParagraph"/>
        <w:widowControl/>
        <w:numPr>
          <w:ilvl w:val="0"/>
          <w:numId w:val="27"/>
        </w:numPr>
        <w:shd w:val="clear" w:color="auto" w:fill="FFFFFF"/>
        <w:spacing w:before="120"/>
        <w:ind w:left="284" w:hanging="284"/>
        <w:contextualSpacing w:val="0"/>
        <w:jc w:val="both"/>
        <w:rPr>
          <w:color w:val="000000"/>
        </w:rPr>
      </w:pPr>
      <w:r>
        <w:rPr>
          <w:color w:val="000000"/>
        </w:rPr>
        <w:t>Nárok na vrácení úhrady podle odstavce 6 nebo odstavce 7 lze uplatnit při převzetí slovenské technické normy, technické normalizační informace nebo jiné technické normy a její změny; úřad coby slovenský národní normalizační orgán může místo vrácení úhrady za poskytnutí slovenské technické normy, technické normalizační informace nebo jiné technické normy a její změny provést výměnu za úplnou nebo nepoškozenou slovenskou technickou normu, technickou normalizační informaci nebo jinou technickou normu a její změnu v listinné podobě nebo za nepoškozené záznamové zařízení, na kterém je zapsána slovenská technická norma nebo technická normalizační informace v elektronické podobě.</w:t>
      </w:r>
    </w:p>
    <w:p w:rsidR="00E16F77" w:rsidRPr="008015BE" w:rsidRDefault="00E16F77" w:rsidP="00BB519B">
      <w:pPr>
        <w:keepNext/>
        <w:keepLines/>
        <w:widowControl/>
        <w:shd w:val="clear" w:color="auto" w:fill="FFFFFF"/>
        <w:spacing w:before="360"/>
        <w:jc w:val="center"/>
        <w:rPr>
          <w:b/>
          <w:bCs/>
          <w:color w:val="000000"/>
        </w:rPr>
      </w:pPr>
      <w:r>
        <w:rPr>
          <w:b/>
          <w:color w:val="000000"/>
        </w:rPr>
        <w:t>Přestupky a jiné správní delikty</w:t>
      </w:r>
    </w:p>
    <w:p w:rsidR="00E16F77" w:rsidRPr="008015BE" w:rsidRDefault="00E16F77" w:rsidP="00BB519B">
      <w:pPr>
        <w:keepNext/>
        <w:keepLines/>
        <w:widowControl/>
        <w:shd w:val="clear" w:color="auto" w:fill="FFFFFF"/>
        <w:jc w:val="center"/>
        <w:rPr>
          <w:b/>
          <w:bCs/>
          <w:color w:val="000000"/>
        </w:rPr>
      </w:pPr>
      <w:r>
        <w:rPr>
          <w:b/>
          <w:color w:val="000000"/>
        </w:rPr>
        <w:t>§16</w:t>
      </w:r>
    </w:p>
    <w:p w:rsidR="00E16F77" w:rsidRPr="00D06F2A" w:rsidRDefault="00E16F77" w:rsidP="003E6A72">
      <w:pPr>
        <w:pStyle w:val="ListParagraph"/>
        <w:keepNext/>
        <w:keepLines/>
        <w:widowControl/>
        <w:numPr>
          <w:ilvl w:val="0"/>
          <w:numId w:val="30"/>
        </w:numPr>
        <w:shd w:val="clear" w:color="auto" w:fill="FFFFFF"/>
        <w:spacing w:before="120"/>
        <w:ind w:left="284" w:hanging="284"/>
        <w:contextualSpacing w:val="0"/>
        <w:jc w:val="both"/>
        <w:rPr>
          <w:color w:val="000000"/>
        </w:rPr>
      </w:pPr>
      <w:r>
        <w:rPr>
          <w:color w:val="000000"/>
        </w:rPr>
        <w:t>Přestupku se dopustí ten, kdo</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neoprávněně rozšíří předběžnou slovenskou technickou normu nebo technickou normalizační informaci nebo jejich část,</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neoprávněně označí dokument značkou „STN P“,</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neoprávněně bezúplatně rozšíří slovenskou technickou normu nebo její část,</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neoprávněně označí dokument značkou „STN“,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lastRenderedPageBreak/>
        <w:t>za úplatu rozšíří slovenskou technickou normu nebo její část.</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Úřad uloží za přestupek podle odstavce 1 písm. a) nebo písm. b) pokutu od 30 eur do 1 500 eur, za přestupek podle odstavce 1 písm. c) pokutu od 45 eur do 3 000 eur a za přestupek podle odstavce 1 písm. d) nebo písm. e) pokutu od 175 eur do 10 000 eur.</w:t>
      </w:r>
    </w:p>
    <w:p w:rsidR="00E16F77" w:rsidRPr="00D06F2A" w:rsidRDefault="00E16F77" w:rsidP="003E6A72">
      <w:pPr>
        <w:pStyle w:val="ListParagraph"/>
        <w:widowControl/>
        <w:numPr>
          <w:ilvl w:val="0"/>
          <w:numId w:val="30"/>
        </w:numPr>
        <w:shd w:val="clear" w:color="auto" w:fill="FFFFFF"/>
        <w:spacing w:before="120"/>
        <w:ind w:left="284" w:hanging="284"/>
        <w:contextualSpacing w:val="0"/>
        <w:jc w:val="both"/>
        <w:rPr>
          <w:color w:val="000000"/>
        </w:rPr>
      </w:pPr>
      <w:r>
        <w:rPr>
          <w:color w:val="000000"/>
        </w:rPr>
        <w:t>Na přestupky a jejich projednávání se vztahuje všeobecný předpis o přestupcích.</w:t>
      </w:r>
      <w:r>
        <w:rPr>
          <w:color w:val="000000"/>
          <w:vertAlign w:val="superscript"/>
        </w:rPr>
        <w:t>24)</w:t>
      </w:r>
    </w:p>
    <w:p w:rsidR="00E16F77" w:rsidRPr="00E35FA4" w:rsidRDefault="00E16F77" w:rsidP="00BB519B">
      <w:pPr>
        <w:keepNext/>
        <w:keepLines/>
        <w:widowControl/>
        <w:shd w:val="clear" w:color="auto" w:fill="FFFFFF"/>
        <w:spacing w:before="360"/>
        <w:jc w:val="center"/>
        <w:rPr>
          <w:b/>
          <w:bCs/>
          <w:color w:val="000000"/>
        </w:rPr>
      </w:pPr>
      <w:r>
        <w:rPr>
          <w:b/>
          <w:color w:val="000000"/>
        </w:rPr>
        <w:t>§ 17</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Úřad uloží pokutu od 30 eur do 500 eur fyzické osobě - ​​podnikateli nebo právnické osobě, která neoprávněně rozšíří předběžnou slovenskou technickou normu nebo technickou normalizační informaci nebo jejich část nebo která neoprávněně označí dokument značkou „STN P".</w:t>
      </w:r>
    </w:p>
    <w:p w:rsidR="00E16F77" w:rsidRPr="00D06F2A" w:rsidRDefault="00E16F77" w:rsidP="003E6A72">
      <w:pPr>
        <w:pStyle w:val="ListParagraph"/>
        <w:widowControl/>
        <w:numPr>
          <w:ilvl w:val="0"/>
          <w:numId w:val="29"/>
        </w:numPr>
        <w:shd w:val="clear" w:color="auto" w:fill="FFFFFF"/>
        <w:spacing w:before="120"/>
        <w:ind w:left="284" w:hanging="284"/>
        <w:contextualSpacing w:val="0"/>
        <w:jc w:val="both"/>
        <w:rPr>
          <w:color w:val="000000"/>
        </w:rPr>
      </w:pPr>
      <w:r>
        <w:rPr>
          <w:color w:val="000000"/>
        </w:rPr>
        <w:t>Úřad uloží pokutu od 50 eur do 5 000 eur fyzické osobě - ​​podnikateli nebo právnické osobě, která neoprávněně bezplatně rozšíří slovenskou technickou normu nebo její část.</w:t>
      </w:r>
    </w:p>
    <w:p w:rsidR="00E16F77" w:rsidRPr="00D06F2A" w:rsidRDefault="00E16F77" w:rsidP="003E6A72">
      <w:pPr>
        <w:pStyle w:val="ListParagraph"/>
        <w:keepNext/>
        <w:keepLines/>
        <w:widowControl/>
        <w:numPr>
          <w:ilvl w:val="0"/>
          <w:numId w:val="29"/>
        </w:numPr>
        <w:shd w:val="clear" w:color="auto" w:fill="FFFFFF"/>
        <w:spacing w:before="120"/>
        <w:ind w:left="284" w:hanging="284"/>
        <w:contextualSpacing w:val="0"/>
        <w:jc w:val="both"/>
        <w:rPr>
          <w:color w:val="000000"/>
        </w:rPr>
      </w:pPr>
      <w:r>
        <w:rPr>
          <w:color w:val="000000"/>
        </w:rPr>
        <w:t>Úřad uloží pokutu od 350 eur do 35 000 eur fyzické osobě podnikateli nebo právnické osobě, která neoprávněně</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označí dokument značkou „STN" nebo</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za úplatu rozšíří slovenskou technickou normu nebo její část.</w:t>
      </w:r>
    </w:p>
    <w:p w:rsidR="00E16F77" w:rsidRPr="00E35FA4" w:rsidRDefault="00E16F77" w:rsidP="00BB519B">
      <w:pPr>
        <w:keepNext/>
        <w:keepLines/>
        <w:widowControl/>
        <w:shd w:val="clear" w:color="auto" w:fill="FFFFFF"/>
        <w:spacing w:before="360"/>
        <w:jc w:val="center"/>
        <w:rPr>
          <w:b/>
          <w:bCs/>
          <w:color w:val="000000"/>
        </w:rPr>
      </w:pPr>
      <w:r>
        <w:rPr>
          <w:b/>
          <w:color w:val="000000"/>
        </w:rPr>
        <w:t>§ 18</w:t>
      </w:r>
    </w:p>
    <w:p w:rsidR="000D1A6C"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Řízení o uložení pokuty lze zahájit do tří let ode dne, kdy došlo k protiprávnímu jednání.</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Při ukládání pokuty se přihlíží k závažnosti, způsobu, době trvání a následkům protiprávního jednání.</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Pokuty jsou příjmem státního rozpočtu.</w:t>
      </w:r>
    </w:p>
    <w:p w:rsidR="00E16F77" w:rsidRPr="00D06F2A" w:rsidRDefault="00E16F77" w:rsidP="003E6A72">
      <w:pPr>
        <w:pStyle w:val="ListParagraph"/>
        <w:widowControl/>
        <w:numPr>
          <w:ilvl w:val="0"/>
          <w:numId w:val="28"/>
        </w:numPr>
        <w:shd w:val="clear" w:color="auto" w:fill="FFFFFF"/>
        <w:spacing w:before="120"/>
        <w:ind w:left="284" w:hanging="284"/>
        <w:contextualSpacing w:val="0"/>
        <w:jc w:val="both"/>
        <w:rPr>
          <w:color w:val="000000"/>
        </w:rPr>
      </w:pPr>
      <w:r>
        <w:rPr>
          <w:color w:val="000000"/>
        </w:rPr>
        <w:t>Pokud do jednoho roku od právní moci rozhodnutí o uložení pokuty dojde k opakovanému protiprávnímu jednání, úřad uloží pokutu do výše dvojnásobku sazby uložené pokuty.</w:t>
      </w:r>
    </w:p>
    <w:p w:rsidR="00BB519B" w:rsidRPr="00D06F2A" w:rsidRDefault="00E16F77" w:rsidP="00BB519B">
      <w:pPr>
        <w:keepNext/>
        <w:keepLines/>
        <w:widowControl/>
        <w:shd w:val="clear" w:color="auto" w:fill="FFFFFF"/>
        <w:spacing w:before="360"/>
        <w:jc w:val="center"/>
        <w:rPr>
          <w:b/>
          <w:bCs/>
          <w:color w:val="000000"/>
        </w:rPr>
      </w:pPr>
      <w:r>
        <w:rPr>
          <w:b/>
          <w:color w:val="000000"/>
        </w:rPr>
        <w:t>§ 19</w:t>
      </w:r>
    </w:p>
    <w:p w:rsidR="00E16F77" w:rsidRPr="008015BE" w:rsidRDefault="00E16F77" w:rsidP="00BB519B">
      <w:pPr>
        <w:keepNext/>
        <w:keepLines/>
        <w:widowControl/>
        <w:shd w:val="clear" w:color="auto" w:fill="FFFFFF"/>
        <w:jc w:val="center"/>
        <w:rPr>
          <w:b/>
          <w:bCs/>
          <w:color w:val="000000"/>
        </w:rPr>
      </w:pPr>
      <w:r>
        <w:rPr>
          <w:b/>
          <w:color w:val="000000"/>
        </w:rPr>
        <w:t>Zmocňovací ustanovení</w:t>
      </w:r>
    </w:p>
    <w:p w:rsidR="00E16F77" w:rsidRPr="00D06F2A" w:rsidRDefault="00E16F77" w:rsidP="00D65D8D">
      <w:pPr>
        <w:keepNext/>
        <w:keepLines/>
        <w:widowControl/>
        <w:shd w:val="clear" w:color="auto" w:fill="FFFFFF"/>
        <w:spacing w:before="120"/>
        <w:rPr>
          <w:color w:val="000000"/>
        </w:rPr>
      </w:pPr>
      <w:r>
        <w:rPr>
          <w:color w:val="000000"/>
        </w:rPr>
        <w:t>Úřad vydá všeobecně závazný právní předpis, ve kterém stanoví</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výši úhrady pro použivatele za poskytování slovenské technické normy, technické normalizační informace, jiné technické normy a její změny a věstník, za udělení souhlasu k citování části slovenské technické normy nebo technické normalizační informace,</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výši úhrady pro použivatele za činnosti související s poskytováním slovenské technické normy, technické normalizační informace a jiné technické normy a její změny,</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minimální výši úhrady za poskytnutí služby STN-online prostřednictvím portálu a výši úhrady pro použivatele za poskytování služby STN-online prostřednictvím portálu,</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způsob poskytování slovenské technické normy, technické normalizační informace a jiné technické normy a její změny,</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podrobnosti o udělení souhlasu k citaci části slovenské technické normy nebo části technické normalizační informace, vzor žádosti o udělení souhlasu k citace části slovenské technické normy nebo části technické normalizační informace a vzor souhlasu k citaci části slovenské technické normy nebo části technické normalizační informace,</w:t>
      </w:r>
    </w:p>
    <w:p w:rsidR="00E16F77" w:rsidRPr="00D06F2A" w:rsidRDefault="00E16F77" w:rsidP="003E6A72">
      <w:pPr>
        <w:widowControl/>
        <w:numPr>
          <w:ilvl w:val="0"/>
          <w:numId w:val="14"/>
        </w:numPr>
        <w:shd w:val="clear" w:color="auto" w:fill="FFFFFF"/>
        <w:tabs>
          <w:tab w:val="left" w:pos="567"/>
        </w:tabs>
        <w:spacing w:before="120"/>
        <w:ind w:left="567" w:hanging="283"/>
        <w:rPr>
          <w:color w:val="000000"/>
        </w:rPr>
      </w:pPr>
      <w:r>
        <w:rPr>
          <w:color w:val="000000"/>
        </w:rPr>
        <w:t>slevu z úhrady podle písmene a) a b).</w:t>
      </w:r>
    </w:p>
    <w:p w:rsidR="00BB519B" w:rsidRPr="00D06F2A" w:rsidRDefault="00E16F77" w:rsidP="00BB519B">
      <w:pPr>
        <w:keepNext/>
        <w:keepLines/>
        <w:widowControl/>
        <w:shd w:val="clear" w:color="auto" w:fill="FFFFFF"/>
        <w:spacing w:before="360"/>
        <w:jc w:val="center"/>
        <w:rPr>
          <w:b/>
          <w:bCs/>
          <w:color w:val="000000"/>
        </w:rPr>
      </w:pPr>
      <w:r>
        <w:rPr>
          <w:b/>
          <w:color w:val="000000"/>
        </w:rPr>
        <w:t>§ 20</w:t>
      </w:r>
    </w:p>
    <w:p w:rsidR="00E16F77" w:rsidRPr="008015BE" w:rsidRDefault="00E16F77" w:rsidP="00BB519B">
      <w:pPr>
        <w:keepNext/>
        <w:keepLines/>
        <w:widowControl/>
        <w:shd w:val="clear" w:color="auto" w:fill="FFFFFF"/>
        <w:jc w:val="center"/>
        <w:rPr>
          <w:b/>
          <w:bCs/>
          <w:color w:val="000000"/>
        </w:rPr>
      </w:pPr>
      <w:r>
        <w:rPr>
          <w:b/>
          <w:color w:val="000000"/>
        </w:rPr>
        <w:t>Přechodná ustanovení</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Řízení zahájená před 1. dubnem 2018 se dokončí podle právních předpisů účinných do 31. března 2018.</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Úřad sladí právní vztahy související s poskytováním slovenských technických norem a jiných technických norem poskytnutých před 1. dubnem 2018 s právními předpisy účinnými od 1. dubna 2018, nejpozději do 31. března 2019.</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lastRenderedPageBreak/>
        <w:t>Slovenské technické normy, předběžné slovenské technické normy a technické normalizační informace přijaté do soustavy slovenských technických norem před 1. dubnem 2018 se považují za slovenské technické normy, předběžné slovenské technické normy a technické normalizační informace podle tohoto zákona.</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Dosavadní technické komise se považují za technické komise podle tohoto zákona.</w:t>
      </w:r>
    </w:p>
    <w:p w:rsidR="00E16F77" w:rsidRPr="00D06F2A" w:rsidRDefault="00E16F77" w:rsidP="003E6A72">
      <w:pPr>
        <w:pStyle w:val="ListParagraph"/>
        <w:widowControl/>
        <w:numPr>
          <w:ilvl w:val="0"/>
          <w:numId w:val="31"/>
        </w:numPr>
        <w:shd w:val="clear" w:color="auto" w:fill="FFFFFF"/>
        <w:spacing w:before="120"/>
        <w:ind w:left="284" w:hanging="284"/>
        <w:contextualSpacing w:val="0"/>
        <w:jc w:val="both"/>
        <w:rPr>
          <w:color w:val="000000"/>
        </w:rPr>
      </w:pPr>
      <w:r>
        <w:rPr>
          <w:color w:val="000000"/>
        </w:rPr>
        <w:t>Prováděcí právní předpis vydaný na základě zmocnění podle dosavadního zákona je prováděcím právním předpisem podle tohoto zákona do vydání prováděcího právního předpisu podle § 19, nejpozději však do 1. dubna 2019.</w:t>
      </w:r>
    </w:p>
    <w:p w:rsidR="00BB519B" w:rsidRPr="00D06F2A" w:rsidRDefault="00E16F77" w:rsidP="00BB519B">
      <w:pPr>
        <w:keepNext/>
        <w:keepLines/>
        <w:widowControl/>
        <w:shd w:val="clear" w:color="auto" w:fill="FFFFFF"/>
        <w:spacing w:before="360"/>
        <w:jc w:val="center"/>
        <w:rPr>
          <w:b/>
          <w:bCs/>
          <w:color w:val="000000"/>
        </w:rPr>
      </w:pPr>
      <w:r>
        <w:rPr>
          <w:b/>
          <w:color w:val="000000"/>
        </w:rPr>
        <w:t>§ 21</w:t>
      </w:r>
    </w:p>
    <w:p w:rsidR="00E16F77" w:rsidRPr="008015BE" w:rsidRDefault="00E16F77" w:rsidP="00BB519B">
      <w:pPr>
        <w:keepNext/>
        <w:keepLines/>
        <w:widowControl/>
        <w:shd w:val="clear" w:color="auto" w:fill="FFFFFF"/>
        <w:jc w:val="center"/>
        <w:rPr>
          <w:b/>
          <w:bCs/>
          <w:color w:val="000000"/>
        </w:rPr>
      </w:pPr>
      <w:r>
        <w:rPr>
          <w:b/>
          <w:color w:val="000000"/>
        </w:rPr>
        <w:t>Účinnost</w:t>
      </w:r>
    </w:p>
    <w:p w:rsidR="00E16F77" w:rsidRPr="00D06F2A" w:rsidRDefault="00E16F77" w:rsidP="00B3535A">
      <w:pPr>
        <w:widowControl/>
        <w:shd w:val="clear" w:color="auto" w:fill="FFFFFF"/>
        <w:spacing w:before="120"/>
        <w:jc w:val="both"/>
        <w:rPr>
          <w:color w:val="000000"/>
        </w:rPr>
      </w:pPr>
      <w:r>
        <w:rPr>
          <w:color w:val="000000"/>
        </w:rPr>
        <w:t>Tento zákon nabývá účinnosti 1. dubna 2018, kromě § 14 odst. 4 písm. a) věty za středníkem, která nabývá účinnosti 1. dubna 2020.</w:t>
      </w:r>
    </w:p>
    <w:p w:rsidR="00E16F77" w:rsidRPr="00D06F2A" w:rsidRDefault="00E16F77" w:rsidP="00B3535A">
      <w:pPr>
        <w:widowControl/>
        <w:shd w:val="clear" w:color="auto" w:fill="FFFFFF"/>
        <w:spacing w:before="360"/>
        <w:jc w:val="center"/>
        <w:rPr>
          <w:color w:val="000000"/>
        </w:rPr>
      </w:pPr>
      <w:r>
        <w:rPr>
          <w:b/>
          <w:color w:val="000000"/>
        </w:rPr>
        <w:t>Andrej Kiska v. r.</w:t>
      </w:r>
    </w:p>
    <w:p w:rsidR="00E16F77" w:rsidRPr="00D06F2A" w:rsidRDefault="00E16F77" w:rsidP="00B3535A">
      <w:pPr>
        <w:widowControl/>
        <w:shd w:val="clear" w:color="auto" w:fill="FFFFFF"/>
        <w:spacing w:before="360"/>
        <w:jc w:val="center"/>
        <w:rPr>
          <w:b/>
          <w:bCs/>
          <w:color w:val="000000"/>
        </w:rPr>
      </w:pPr>
      <w:r>
        <w:rPr>
          <w:b/>
          <w:color w:val="000000"/>
        </w:rPr>
        <w:t>Andrej Danko v. r.</w:t>
      </w:r>
    </w:p>
    <w:p w:rsidR="00E16F77" w:rsidRPr="00D06F2A" w:rsidRDefault="00E16F77" w:rsidP="00B3535A">
      <w:pPr>
        <w:widowControl/>
        <w:shd w:val="clear" w:color="auto" w:fill="FFFFFF"/>
        <w:spacing w:before="360"/>
        <w:jc w:val="center"/>
        <w:rPr>
          <w:b/>
          <w:bCs/>
          <w:color w:val="000000"/>
        </w:rPr>
      </w:pPr>
      <w:r>
        <w:rPr>
          <w:b/>
          <w:color w:val="000000"/>
        </w:rPr>
        <w:t>Robert Fico v. r.</w:t>
      </w:r>
    </w:p>
    <w:p w:rsidR="00F6126B" w:rsidRPr="00D06F2A" w:rsidRDefault="00F6126B" w:rsidP="00BB519B">
      <w:pPr>
        <w:pageBreakBefore/>
        <w:widowControl/>
        <w:autoSpaceDE/>
        <w:autoSpaceDN/>
        <w:adjustRightInd/>
        <w:spacing w:before="120"/>
        <w:jc w:val="both"/>
        <w:rPr>
          <w:color w:val="000000"/>
        </w:rPr>
      </w:pPr>
      <w:r>
        <w:rPr>
          <w:color w:val="000000"/>
        </w:rPr>
        <w:lastRenderedPageBreak/>
        <w:t>1) Čl. 2 odst. 1 písm. a) a d) nařízení Evropského parlamentu a Rady (EU) č. 1025/2012 ze dne 25. října 2012 o evropské normalizaci, kterým se mění směrnice Rady 89/686/EHS a 93/15/EHS a směrnice Evropského parlamentu a Rady 94/9/ES, 94/25/ES, 95/16/ES, 97/23/ES, 98/34/ES, 2004/22/ES, 2007/23/ES, 2009/23/ES a 2009/105/ES a kterým se zrušuje rozhodnutí Rady 87/95/EHS a rozhodnutí Evropského parlamentu a Rady č. 1673/2006/ES (Úř. věst. L 316, 14. 11. 2012) v platném znění.</w:t>
      </w:r>
    </w:p>
    <w:p w:rsidR="00F6126B" w:rsidRPr="00D06F2A" w:rsidRDefault="00F6126B" w:rsidP="00B3535A">
      <w:pPr>
        <w:widowControl/>
        <w:autoSpaceDE/>
        <w:autoSpaceDN/>
        <w:adjustRightInd/>
        <w:spacing w:before="120"/>
        <w:jc w:val="both"/>
        <w:rPr>
          <w:color w:val="000000"/>
        </w:rPr>
      </w:pPr>
      <w:r>
        <w:rPr>
          <w:color w:val="000000"/>
        </w:rPr>
        <w:t>2) Čl. 2 odst. 1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3) § 2 písm. i) zákona č. 55/2018 Z. z. o poskytovaní informací o technickém předpisu a o překážkách volního pohybu zboží.</w:t>
      </w:r>
    </w:p>
    <w:p w:rsidR="00F6126B" w:rsidRPr="00D06F2A" w:rsidRDefault="00F6126B" w:rsidP="00B3535A">
      <w:pPr>
        <w:widowControl/>
        <w:autoSpaceDE/>
        <w:autoSpaceDN/>
        <w:adjustRightInd/>
        <w:spacing w:before="120"/>
        <w:jc w:val="both"/>
        <w:rPr>
          <w:color w:val="000000"/>
        </w:rPr>
      </w:pPr>
      <w:r>
        <w:rPr>
          <w:color w:val="000000"/>
        </w:rPr>
        <w:t>4) Čl. 2 odst. 1 písm. b)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5) Čl. 2 odst. 1 písm. a)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6) Příloha 1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7) Čl. 2 odst. 9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8) Zákon č. 211/2000 Z. z. o svobodném přístupu k informacím a o změně některých zákonů (zákon o svobodě informací) ve znění pozdějších předpisů.</w:t>
      </w:r>
    </w:p>
    <w:p w:rsidR="00F6126B" w:rsidRPr="00D06F2A" w:rsidRDefault="00F6126B" w:rsidP="00B3535A">
      <w:pPr>
        <w:widowControl/>
        <w:autoSpaceDE/>
        <w:autoSpaceDN/>
        <w:adjustRightInd/>
        <w:spacing w:before="120"/>
        <w:jc w:val="both"/>
        <w:rPr>
          <w:color w:val="000000"/>
        </w:rPr>
      </w:pPr>
      <w:r>
        <w:rPr>
          <w:color w:val="000000"/>
        </w:rPr>
        <w:t>9) § 4 odst. 1 písm. c) druhý bod zákona č. 55/2018 Z. z.</w:t>
      </w:r>
    </w:p>
    <w:p w:rsidR="00F6126B" w:rsidRPr="00D06F2A" w:rsidRDefault="00F6126B" w:rsidP="00B3535A">
      <w:pPr>
        <w:widowControl/>
        <w:autoSpaceDE/>
        <w:autoSpaceDN/>
        <w:adjustRightInd/>
        <w:spacing w:before="120"/>
        <w:jc w:val="both"/>
        <w:rPr>
          <w:color w:val="000000"/>
        </w:rPr>
      </w:pPr>
      <w:r>
        <w:rPr>
          <w:color w:val="000000"/>
        </w:rPr>
        <w:t>10) Čl. 27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11) Čl. 2 odst. 10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12) Čl. 2 odst. 2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13) Čl. 5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14) Čl. 2 odst. 2 přílohy I nařízení (EU) č. 651/2014 ze dne 17. června 2014 o vyhlášení určitých kategorií pomoci za slučitelné s vnitřním trhem podle článků 107 a 108 smlouvy.</w:t>
      </w:r>
    </w:p>
    <w:p w:rsidR="00F6126B" w:rsidRPr="00D06F2A" w:rsidRDefault="00F6126B" w:rsidP="00B3535A">
      <w:pPr>
        <w:widowControl/>
        <w:autoSpaceDE/>
        <w:autoSpaceDN/>
        <w:adjustRightInd/>
        <w:spacing w:before="120"/>
        <w:jc w:val="both"/>
        <w:rPr>
          <w:color w:val="000000"/>
        </w:rPr>
      </w:pPr>
      <w:r>
        <w:rPr>
          <w:color w:val="000000"/>
        </w:rPr>
        <w:t>15) Čl. 2 přílohy I nařízení (EU) č. 651/2014.</w:t>
      </w:r>
    </w:p>
    <w:p w:rsidR="00F6126B" w:rsidRPr="00D06F2A" w:rsidRDefault="00F6126B" w:rsidP="00B3535A">
      <w:pPr>
        <w:widowControl/>
        <w:autoSpaceDE/>
        <w:autoSpaceDN/>
        <w:adjustRightInd/>
        <w:spacing w:before="120"/>
        <w:jc w:val="both"/>
        <w:rPr>
          <w:color w:val="000000"/>
        </w:rPr>
      </w:pPr>
      <w:r>
        <w:rPr>
          <w:color w:val="000000"/>
        </w:rPr>
        <w:t>16) Zákon č. 343/2015 Z. z. o veřejných zakázkách a o změně některých zákonů, ve znění pozdějších předpisů.</w:t>
      </w:r>
    </w:p>
    <w:p w:rsidR="00F6126B" w:rsidRPr="00D06F2A" w:rsidRDefault="00F6126B" w:rsidP="00B3535A">
      <w:pPr>
        <w:widowControl/>
        <w:autoSpaceDE/>
        <w:autoSpaceDN/>
        <w:adjustRightInd/>
        <w:spacing w:before="120"/>
        <w:jc w:val="both"/>
        <w:rPr>
          <w:color w:val="000000"/>
        </w:rPr>
      </w:pPr>
      <w:r>
        <w:rPr>
          <w:color w:val="000000"/>
        </w:rPr>
        <w:t>17) Čl. 2 odst. 1 písm. c)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18) Čl. 11 nařízení (EU) č. 1025/2012 v platném znění.</w:t>
      </w:r>
    </w:p>
    <w:p w:rsidR="00F6126B" w:rsidRPr="00D06F2A" w:rsidRDefault="00F6126B" w:rsidP="00B3535A">
      <w:pPr>
        <w:widowControl/>
        <w:autoSpaceDE/>
        <w:autoSpaceDN/>
        <w:adjustRightInd/>
        <w:spacing w:before="120"/>
        <w:jc w:val="both"/>
        <w:rPr>
          <w:color w:val="000000"/>
        </w:rPr>
      </w:pPr>
      <w:r>
        <w:rPr>
          <w:color w:val="000000"/>
        </w:rPr>
        <w:t>19) Zákon č. 245/2008 Z. z. o výchově a vzdělávání (školský zákon) a o změně některých zákonů, ve znění pozdějších předpisů.</w:t>
      </w:r>
    </w:p>
    <w:p w:rsidR="00F6126B" w:rsidRPr="00D06F2A" w:rsidRDefault="00F6126B" w:rsidP="00B3535A">
      <w:pPr>
        <w:widowControl/>
        <w:autoSpaceDE/>
        <w:autoSpaceDN/>
        <w:adjustRightInd/>
        <w:spacing w:before="120"/>
        <w:jc w:val="both"/>
        <w:rPr>
          <w:color w:val="000000"/>
        </w:rPr>
      </w:pPr>
      <w:r>
        <w:rPr>
          <w:color w:val="000000"/>
        </w:rPr>
        <w:t>20) Zákon č. 317/2009 Z. z. o pedagogických zaměstnancích a odborných zaměstnancích a o změně některých zákonů, ve znění pozdějších předpisů.</w:t>
      </w:r>
    </w:p>
    <w:p w:rsidR="00F6126B" w:rsidRPr="00D06F2A" w:rsidRDefault="00F6126B" w:rsidP="00B3535A">
      <w:pPr>
        <w:widowControl/>
        <w:autoSpaceDE/>
        <w:autoSpaceDN/>
        <w:adjustRightInd/>
        <w:spacing w:before="120"/>
        <w:jc w:val="both"/>
        <w:rPr>
          <w:color w:val="000000"/>
        </w:rPr>
      </w:pPr>
      <w:r>
        <w:rPr>
          <w:color w:val="000000"/>
        </w:rPr>
        <w:t>21) § 73, 76 a 79 zákona č. 245/2008 Z. z. ve znění pozdějších předpisů.</w:t>
      </w:r>
    </w:p>
    <w:p w:rsidR="00F6126B" w:rsidRPr="00D06F2A" w:rsidRDefault="00F6126B" w:rsidP="00B3535A">
      <w:pPr>
        <w:widowControl/>
        <w:autoSpaceDE/>
        <w:autoSpaceDN/>
        <w:adjustRightInd/>
        <w:spacing w:before="120"/>
        <w:jc w:val="both"/>
        <w:rPr>
          <w:color w:val="000000"/>
        </w:rPr>
      </w:pPr>
      <w:r>
        <w:rPr>
          <w:color w:val="000000"/>
        </w:rPr>
        <w:t>22) § 51 zákona č. 131/2002 Z. z. o vysokých školách a o změně některých zákonů znění pozdějších předpisů.</w:t>
      </w:r>
    </w:p>
    <w:p w:rsidR="00F6126B" w:rsidRPr="00D06F2A" w:rsidRDefault="00F6126B" w:rsidP="00B3535A">
      <w:pPr>
        <w:widowControl/>
        <w:autoSpaceDE/>
        <w:autoSpaceDN/>
        <w:adjustRightInd/>
        <w:spacing w:before="120"/>
        <w:jc w:val="both"/>
        <w:rPr>
          <w:color w:val="000000"/>
        </w:rPr>
      </w:pPr>
      <w:r>
        <w:rPr>
          <w:color w:val="000000"/>
        </w:rPr>
        <w:t>23) § 49 odst. 6 zákona č. 317/2009 Z. z. ve znění zákona č. 390/2011 Z. z.</w:t>
      </w:r>
    </w:p>
    <w:p w:rsidR="00F6126B" w:rsidRPr="00D06F2A" w:rsidRDefault="00F6126B" w:rsidP="00B3535A">
      <w:pPr>
        <w:widowControl/>
        <w:autoSpaceDE/>
        <w:autoSpaceDN/>
        <w:adjustRightInd/>
        <w:spacing w:before="120"/>
        <w:jc w:val="both"/>
        <w:rPr>
          <w:color w:val="000000"/>
        </w:rPr>
      </w:pPr>
      <w:r>
        <w:rPr>
          <w:color w:val="000000"/>
        </w:rPr>
        <w:t>24) Zákon Slovenské národní rady č. 372/1990 Sb. o přestupcích ve znění pozdějších předpisů.</w:t>
      </w:r>
    </w:p>
    <w:p w:rsidR="00E16F77" w:rsidRPr="00D06F2A" w:rsidRDefault="00E16F77" w:rsidP="00BB519B">
      <w:pPr>
        <w:pageBreakBefore/>
        <w:widowControl/>
        <w:autoSpaceDE/>
        <w:autoSpaceDN/>
        <w:adjustRightInd/>
        <w:spacing w:before="120"/>
        <w:jc w:val="right"/>
        <w:rPr>
          <w:b/>
          <w:bCs/>
          <w:color w:val="000000"/>
        </w:rPr>
      </w:pPr>
      <w:r>
        <w:rPr>
          <w:b/>
          <w:color w:val="000000"/>
        </w:rPr>
        <w:lastRenderedPageBreak/>
        <w:t>Příloha k zákonu č. 60/2018 Z. z.</w:t>
      </w:r>
    </w:p>
    <w:p w:rsidR="00BB519B" w:rsidRPr="00D06F2A" w:rsidRDefault="00BB519B" w:rsidP="00BB519B">
      <w:pPr>
        <w:spacing w:before="120" w:after="120"/>
        <w:rPr>
          <w:sz w:val="24"/>
          <w:szCs w:val="24"/>
        </w:rPr>
      </w:pPr>
      <w:r>
        <w:rPr>
          <w:sz w:val="24"/>
        </w:rPr>
        <w:t>1. Značka „STN“:</w:t>
      </w:r>
    </w:p>
    <w:p w:rsidR="00BB519B" w:rsidRPr="00D06F2A" w:rsidRDefault="00585429" w:rsidP="00BB519B">
      <w:pPr>
        <w:rPr>
          <w:rFonts w:ascii="Calibri" w:hAnsi="Calibri" w:cs="Calibri"/>
          <w:sz w:val="22"/>
          <w:szCs w:val="22"/>
        </w:rPr>
      </w:pPr>
      <w:r>
        <w:rPr>
          <w:noProof/>
        </w:rPr>
        <w:pict>
          <v:shape id="Obrázok 3" o:spid="_x0000_i1026" type="#_x0000_t75" alt="01" style="width:193.5pt;height:85.5pt;visibility:visible">
            <v:imagedata r:id="rId9" o:title="01"/>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2. Značka „STN P“:</w:t>
      </w:r>
    </w:p>
    <w:p w:rsidR="00BB519B" w:rsidRPr="00D06F2A" w:rsidRDefault="00585429" w:rsidP="00BB519B">
      <w:pPr>
        <w:rPr>
          <w:rFonts w:ascii="Calibri" w:hAnsi="Calibri" w:cs="Calibri"/>
          <w:sz w:val="22"/>
          <w:szCs w:val="22"/>
        </w:rPr>
      </w:pPr>
      <w:r>
        <w:rPr>
          <w:noProof/>
        </w:rPr>
        <w:pict>
          <v:shape id="Obrázok 2" o:spid="_x0000_i1027" type="#_x0000_t75" alt="04" style="width:262.5pt;height:169.5pt;visibility:visible">
            <v:imagedata r:id="rId10" o:title="04"/>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3. Značka „TNI“:</w:t>
      </w:r>
    </w:p>
    <w:p w:rsidR="00BB519B" w:rsidRPr="00D06F2A" w:rsidRDefault="00585429" w:rsidP="00BB519B">
      <w:pPr>
        <w:rPr>
          <w:rFonts w:ascii="Calibri" w:hAnsi="Calibri" w:cs="Calibri"/>
          <w:sz w:val="22"/>
          <w:szCs w:val="22"/>
        </w:rPr>
      </w:pPr>
      <w:r>
        <w:rPr>
          <w:noProof/>
        </w:rPr>
        <w:pict>
          <v:shape id="Obrázok 1" o:spid="_x0000_i1028" type="#_x0000_t75" alt="03" style="width:193.5pt;height:85.5pt;visibility:visible">
            <v:imagedata r:id="rId11" o:title="03"/>
          </v:shape>
        </w:pict>
      </w: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C45F85" w:rsidRPr="00D06F2A" w:rsidRDefault="00C45F85" w:rsidP="00B3535A">
      <w:pPr>
        <w:widowControl/>
        <w:autoSpaceDE/>
        <w:autoSpaceDN/>
        <w:adjustRightInd/>
        <w:spacing w:before="12000"/>
        <w:jc w:val="center"/>
        <w:rPr>
          <w:color w:val="000000"/>
          <w:sz w:val="2"/>
          <w:szCs w:val="2"/>
        </w:rPr>
      </w:pPr>
    </w:p>
    <w:p w:rsidR="00E16F77" w:rsidRPr="005F3632" w:rsidRDefault="009C1721" w:rsidP="00B3535A">
      <w:pPr>
        <w:widowControl/>
        <w:autoSpaceDE/>
        <w:autoSpaceDN/>
        <w:adjustRightInd/>
        <w:spacing w:before="13320"/>
        <w:jc w:val="center"/>
        <w:rPr>
          <w:color w:val="000000"/>
          <w:sz w:val="18"/>
        </w:rPr>
      </w:pPr>
      <w:r>
        <w:rPr>
          <w:color w:val="000000"/>
          <w:sz w:val="18"/>
        </w:rPr>
        <w:pict>
          <v:line id="Rovná spojnica 3" o:spid="_x0000_s1027" style="position:absolute;left:0;text-align:left;z-index:1;visibility:visibl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" strokeweight="1pt"/>
        </w:pict>
      </w:r>
      <w:r w:rsidR="00810B76">
        <w:rPr>
          <w:color w:val="000000"/>
          <w:sz w:val="18"/>
        </w:rPr>
        <w:t xml:space="preserve">Vydavatelem Sbírky zákonů Slovenské republiky, správcem obsahu a provozovatelem právního </w:t>
      </w:r>
      <w:r w:rsidR="00810B76">
        <w:rPr>
          <w:color w:val="000000"/>
          <w:sz w:val="18"/>
        </w:rPr>
        <w:br/>
        <w:t xml:space="preserve">a informačního portálu Slov-Lex dostupného na internetových stránkách </w:t>
      </w:r>
      <w:hyperlink r:id="rId12">
        <w:r w:rsidR="00810B76">
          <w:rPr>
            <w:color w:val="000000"/>
            <w:sz w:val="18"/>
          </w:rPr>
          <w:t>www.slov-lex.sk</w:t>
        </w:r>
      </w:hyperlink>
      <w:r w:rsidR="00810B76">
        <w:rPr>
          <w:color w:val="000000"/>
          <w:sz w:val="18"/>
        </w:rPr>
        <w:t xml:space="preserve"> je Ministerstvo spravedlivosti Slovenské republiky, Župné námestie 13, 813 11 Bratislava,</w:t>
      </w:r>
      <w:r w:rsidR="00810B76">
        <w:rPr>
          <w:color w:val="000000"/>
          <w:sz w:val="18"/>
        </w:rPr>
        <w:br/>
        <w:t xml:space="preserve">tel.: 02 888 91 137, fax: 02/52442853, e-mail: </w:t>
      </w:r>
      <w:hyperlink r:id="rId13">
        <w:r w:rsidR="00810B76">
          <w:rPr>
            <w:color w:val="000000"/>
            <w:sz w:val="18"/>
          </w:rPr>
          <w:t>helpdesk@slov-lex.sk</w:t>
        </w:r>
      </w:hyperlink>
      <w:r w:rsidR="00810B76">
        <w:rPr>
          <w:color w:val="000000"/>
          <w:sz w:val="18"/>
        </w:rPr>
        <w:t>.</w:t>
      </w:r>
    </w:p>
    <w:sectPr w:rsidR="00E16F77" w:rsidRPr="005F3632" w:rsidSect="007C4BCF">
      <w:headerReference w:type="even" r:id="rId14"/>
      <w:headerReference w:type="defaul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21" w:rsidRDefault="009C1721" w:rsidP="00411B8D">
      <w:r>
        <w:separator/>
      </w:r>
    </w:p>
  </w:endnote>
  <w:endnote w:type="continuationSeparator" w:id="0">
    <w:p w:rsidR="009C1721" w:rsidRDefault="009C1721"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Regular">
    <w:altName w:val="Times New Roman"/>
    <w:panose1 w:val="00000000000000000000"/>
    <w:charset w:val="EE"/>
    <w:family w:val="auto"/>
    <w:notTrueType/>
    <w:pitch w:val="default"/>
    <w:sig w:usb0="00000005" w:usb1="00000000" w:usb2="00000000" w:usb3="00000000" w:csb0="00000002"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21" w:rsidRDefault="009C1721" w:rsidP="00411B8D">
      <w:r>
        <w:separator/>
      </w:r>
    </w:p>
  </w:footnote>
  <w:footnote w:type="continuationSeparator" w:id="0">
    <w:p w:rsidR="009C1721" w:rsidRDefault="009C1721"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Strana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585429">
      <w:rPr>
        <w:rStyle w:val="PageNumber"/>
        <w:rFonts w:cs="Arial"/>
        <w:noProof/>
      </w:rPr>
      <w:t>8</w:t>
    </w:r>
    <w:r>
      <w:rPr>
        <w:rStyle w:val="PageNumber"/>
        <w:rFonts w:cs="Arial"/>
      </w:rPr>
      <w:fldChar w:fldCharType="end"/>
    </w:r>
    <w:r>
      <w:tab/>
      <w:t xml:space="preserve">Sbírka zákonů </w:t>
    </w:r>
    <w:r>
      <w:rPr>
        <w:rFonts w:ascii="TeXGyreBonumRegular" w:hAnsi="TeXGyreBonumRegular"/>
      </w:rPr>
      <w:t>Slovenské republiky</w:t>
    </w:r>
    <w:r>
      <w:tab/>
    </w:r>
    <w:r>
      <w:rPr>
        <w:rFonts w:ascii="TeXGyreBonumBold" w:hAnsi="TeXGyreBonumBold"/>
        <w:b/>
      </w:rPr>
      <w:t>60/2018 Z.z.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 Z.z.</w:t>
    </w:r>
    <w:r>
      <w:tab/>
      <w:t xml:space="preserve">Sbírka zákonů </w:t>
    </w:r>
    <w:r>
      <w:rPr>
        <w:rFonts w:ascii="TeXGyreBonumRegular" w:hAnsi="TeXGyreBonumRegular"/>
      </w:rPr>
      <w:t>Slovenské republiky</w:t>
    </w:r>
    <w:r>
      <w:tab/>
      <w:t xml:space="preserve">Strana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585429">
      <w:rPr>
        <w:rStyle w:val="PageNumber"/>
        <w:rFonts w:cs="Arial"/>
        <w:noProof/>
      </w:rPr>
      <w:t>7</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6BB9"/>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 w15:restartNumberingAfterBreak="0">
    <w:nsid w:val="0CDE5E9A"/>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3" w15:restartNumberingAfterBreak="0">
    <w:nsid w:val="0FFA2E2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5" w15:restartNumberingAfterBreak="0">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6"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15:restartNumberingAfterBreak="0">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15:restartNumberingAfterBreak="0">
    <w:nsid w:val="18E95A6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14E5AF6"/>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6F35F7"/>
    <w:multiLevelType w:val="hybridMultilevel"/>
    <w:tmpl w:val="0C2EC026"/>
    <w:lvl w:ilvl="0" w:tplc="36EEBB7C">
      <w:start w:val="1"/>
      <w:numFmt w:val="decimal"/>
      <w:lvlText w:val="(%1)"/>
      <w:lvlJc w:val="left"/>
      <w:pPr>
        <w:ind w:left="900" w:hanging="54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D6A10"/>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5" w15:restartNumberingAfterBreak="0">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2A346B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39DF67AB"/>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C2B1062"/>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1B9173E"/>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3" w15:restartNumberingAfterBreak="0">
    <w:nsid w:val="4E654431"/>
    <w:multiLevelType w:val="hybridMultilevel"/>
    <w:tmpl w:val="6EBEF56C"/>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7E0732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5" w15:restartNumberingAfterBreak="0">
    <w:nsid w:val="6486354F"/>
    <w:multiLevelType w:val="hybridMultilevel"/>
    <w:tmpl w:val="CF046E76"/>
    <w:lvl w:ilvl="0" w:tplc="2484442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7" w15:restartNumberingAfterBreak="0">
    <w:nsid w:val="6A423535"/>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F334233"/>
    <w:multiLevelType w:val="singleLevel"/>
    <w:tmpl w:val="D4901FF6"/>
    <w:lvl w:ilvl="0">
      <w:start w:val="1"/>
      <w:numFmt w:val="decimal"/>
      <w:lvlText w:val="%1."/>
      <w:legacy w:legacy="1" w:legacySpace="0" w:legacyIndent="283"/>
      <w:lvlJc w:val="left"/>
      <w:rPr>
        <w:rFonts w:ascii="Arial" w:hAnsi="Arial" w:cs="Arial" w:hint="default"/>
      </w:rPr>
    </w:lvl>
  </w:abstractNum>
  <w:abstractNum w:abstractNumId="29" w15:restartNumberingAfterBreak="0">
    <w:nsid w:val="71911203"/>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4C87711"/>
    <w:multiLevelType w:val="hybridMultilevel"/>
    <w:tmpl w:val="265272B4"/>
    <w:lvl w:ilvl="0" w:tplc="169E2420">
      <w:start w:val="1"/>
      <w:numFmt w:val="decimal"/>
      <w:lvlText w:val="(%1)"/>
      <w:lvlJc w:val="left"/>
      <w:pPr>
        <w:ind w:left="720" w:hanging="360"/>
      </w:pPr>
      <w:rPr>
        <w:rFonts w:cs="Times New Roman"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8"/>
  </w:num>
  <w:num w:numId="3">
    <w:abstractNumId w:val="28"/>
  </w:num>
  <w:num w:numId="4">
    <w:abstractNumId w:val="15"/>
  </w:num>
  <w:num w:numId="5">
    <w:abstractNumId w:val="4"/>
  </w:num>
  <w:num w:numId="6">
    <w:abstractNumId w:val="5"/>
  </w:num>
  <w:num w:numId="7">
    <w:abstractNumId w:val="1"/>
  </w:num>
  <w:num w:numId="8">
    <w:abstractNumId w:val="14"/>
  </w:num>
  <w:num w:numId="9">
    <w:abstractNumId w:val="24"/>
  </w:num>
  <w:num w:numId="10">
    <w:abstractNumId w:val="2"/>
  </w:num>
  <w:num w:numId="11">
    <w:abstractNumId w:val="6"/>
  </w:num>
  <w:num w:numId="12">
    <w:abstractNumId w:val="26"/>
  </w:num>
  <w:num w:numId="13">
    <w:abstractNumId w:val="9"/>
  </w:num>
  <w:num w:numId="14">
    <w:abstractNumId w:val="8"/>
  </w:num>
  <w:num w:numId="15">
    <w:abstractNumId w:val="23"/>
  </w:num>
  <w:num w:numId="16">
    <w:abstractNumId w:val="25"/>
  </w:num>
  <w:num w:numId="17">
    <w:abstractNumId w:val="12"/>
  </w:num>
  <w:num w:numId="18">
    <w:abstractNumId w:val="11"/>
  </w:num>
  <w:num w:numId="19">
    <w:abstractNumId w:val="17"/>
  </w:num>
  <w:num w:numId="20">
    <w:abstractNumId w:val="7"/>
  </w:num>
  <w:num w:numId="21">
    <w:abstractNumId w:val="13"/>
  </w:num>
  <w:num w:numId="22">
    <w:abstractNumId w:val="19"/>
  </w:num>
  <w:num w:numId="23">
    <w:abstractNumId w:val="27"/>
  </w:num>
  <w:num w:numId="24">
    <w:abstractNumId w:val="21"/>
  </w:num>
  <w:num w:numId="25">
    <w:abstractNumId w:val="30"/>
  </w:num>
  <w:num w:numId="26">
    <w:abstractNumId w:val="16"/>
  </w:num>
  <w:num w:numId="27">
    <w:abstractNumId w:val="3"/>
  </w:num>
  <w:num w:numId="28">
    <w:abstractNumId w:val="29"/>
  </w:num>
  <w:num w:numId="29">
    <w:abstractNumId w:val="10"/>
  </w:num>
  <w:num w:numId="30">
    <w:abstractNumId w:val="0"/>
  </w:num>
  <w:num w:numId="31">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8615D"/>
    <w:rsid w:val="000A1D69"/>
    <w:rsid w:val="000B0C18"/>
    <w:rsid w:val="000D1A6C"/>
    <w:rsid w:val="000E78D9"/>
    <w:rsid w:val="00187AF6"/>
    <w:rsid w:val="001950C5"/>
    <w:rsid w:val="001C0958"/>
    <w:rsid w:val="0020707C"/>
    <w:rsid w:val="00221369"/>
    <w:rsid w:val="00283DC6"/>
    <w:rsid w:val="002974B0"/>
    <w:rsid w:val="002B596E"/>
    <w:rsid w:val="002D3069"/>
    <w:rsid w:val="002E2281"/>
    <w:rsid w:val="0031555C"/>
    <w:rsid w:val="00352E4D"/>
    <w:rsid w:val="00365BC6"/>
    <w:rsid w:val="003E6A72"/>
    <w:rsid w:val="00411B8D"/>
    <w:rsid w:val="00484CD4"/>
    <w:rsid w:val="004857B3"/>
    <w:rsid w:val="004B5C4F"/>
    <w:rsid w:val="005472A7"/>
    <w:rsid w:val="00585429"/>
    <w:rsid w:val="00586A14"/>
    <w:rsid w:val="005F0279"/>
    <w:rsid w:val="005F3632"/>
    <w:rsid w:val="00623B7F"/>
    <w:rsid w:val="006F6A4A"/>
    <w:rsid w:val="00717BE1"/>
    <w:rsid w:val="007C4BCF"/>
    <w:rsid w:val="007C5599"/>
    <w:rsid w:val="007C5CFC"/>
    <w:rsid w:val="008015BE"/>
    <w:rsid w:val="00810B76"/>
    <w:rsid w:val="00846B3D"/>
    <w:rsid w:val="00863E0E"/>
    <w:rsid w:val="008678D7"/>
    <w:rsid w:val="008862F9"/>
    <w:rsid w:val="0090665E"/>
    <w:rsid w:val="00911626"/>
    <w:rsid w:val="009767AA"/>
    <w:rsid w:val="009C1721"/>
    <w:rsid w:val="00A811B2"/>
    <w:rsid w:val="00A92352"/>
    <w:rsid w:val="00AE24F0"/>
    <w:rsid w:val="00B3535A"/>
    <w:rsid w:val="00BB519B"/>
    <w:rsid w:val="00BF4EB4"/>
    <w:rsid w:val="00C303E7"/>
    <w:rsid w:val="00C32D3E"/>
    <w:rsid w:val="00C45F85"/>
    <w:rsid w:val="00C75B04"/>
    <w:rsid w:val="00D0380A"/>
    <w:rsid w:val="00D06F2A"/>
    <w:rsid w:val="00D12949"/>
    <w:rsid w:val="00D65D8D"/>
    <w:rsid w:val="00D96D5D"/>
    <w:rsid w:val="00DB4E17"/>
    <w:rsid w:val="00DD0AFD"/>
    <w:rsid w:val="00E16F77"/>
    <w:rsid w:val="00E26D97"/>
    <w:rsid w:val="00E274B8"/>
    <w:rsid w:val="00E35FA4"/>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lang w:val="cs-CZ" w:eastAsia="cs-CZ" w:bidi="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elpdesk@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ov-lex.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93B59-DAE6-4E82-97ED-A6D495AA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13</Pages>
  <Words>4965</Words>
  <Characters>28303</Characters>
  <Application>Microsoft Office Word</Application>
  <DocSecurity>0</DocSecurity>
  <Lines>235</Lines>
  <Paragraphs>66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33202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Ke, Tingting</cp:lastModifiedBy>
  <cp:revision>7</cp:revision>
  <cp:lastPrinted>2018-11-09T07:19:00Z</cp:lastPrinted>
  <dcterms:created xsi:type="dcterms:W3CDTF">2018-04-05T12:44:00Z</dcterms:created>
  <dcterms:modified xsi:type="dcterms:W3CDTF">2019-04-17T14:21:00Z</dcterms:modified>
</cp:coreProperties>
</file>