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9"/>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Издател: Mинистерски съвет</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Формуляр: наредба</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Номер: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Прието: 13.11.2018 г.</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Влизане в сила: 16.11.2018 г.</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Публикувано на:</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[Държавен вестник на Република Латвия],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 г.</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OP номер: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rPr>
      </w:pPr>
      <w:r>
        <w:rPr>
          <w:rFonts w:ascii="Courier New" w:hAnsi="Courier New"/>
          <w:sz w:val="20"/>
        </w:rPr>
        <w:t>1. ------IND- 2018 0211 LV-- BG-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Наредба № 682 на министерски съвет</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Рига, 13 ноември 2018 г. (реф. № 52 34. параграф)</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Процедура, съгласно която спира да се прилага статутът на отпадъка на каучукови материали, получени от излезли от употреба автомобилни гуми</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szCs w:val="18"/>
        </w:rPr>
        <w:t xml:space="preserve">Издадено в съответствие с </w:t>
      </w:r>
      <w:r>
        <w:rPr>
          <w:rFonts w:ascii="Arial" w:hAnsi="Arial"/>
          <w:i/>
          <w:sz w:val="18"/>
        </w:rPr>
        <w:br/>
        <w:t>член 6, параграф 1, точка 1</w:t>
      </w:r>
      <w:r>
        <w:rPr>
          <w:rFonts w:ascii="Arial" w:hAnsi="Arial"/>
          <w:i/>
          <w:sz w:val="18"/>
        </w:rPr>
        <w:br/>
        <w:t>от Закона за управление на отпадъците</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С настоящата наредба се определя процедура, съгласно която спира да се прилага статутът на отпадъка на каучукови материали, получени от излезли от употреба автомобилни гуми.</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По смисъла на настоящата наредба, като вторична суровина се счита каучук, получен от излезли от употреба гуми чрез начупване, натрошаване, раздробяване, нарязване или пелетизиране, ако след обработката на гумите този материал е предназначен за продажба на пазара за допълнителна употреба, със или без свързващи вещества, и отговаря на всички критерии, упоменати в приложение 1 към настоящата наредба.</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Следните суровини могат да бъдат получени от излезли от употреба гуми:</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каучуков прах: каучук, получен от натрошаването на излезли от употреба гуми на частици от до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каучукови топчета: каучук, получен от пелетизиране на излезли от употреба гуми на частици с размер 0,9—20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каучуков мулч: каучук, получен от натрошаване, раздробяване или нарязване на излезли от употреба гуми на неправилно оформени частици с размер 10—50 mm. Позволено е примесване с текстилни изделия;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раздробен каучук: каучук, получен от натрошаване, раздробяване или нарязване на излезли от употреба гуми на неправилно оформени частици с размер основно между 50 и 300 mm. Позволено е примесване с метални жици и текстилни изделия;</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каучукови изрезки: каучук, получен от натрошаване, раздробяване или нарязване на излезли от употреба гуми на неправилно оформени частици с размер основно между 300 до 500 mm. Позволено е примесване с метални жици и текстилни изделия.</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Каучукът няма да бъде считан за вторична суровина, а като отпадък, ако се използва за следните цели:</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изгаряне с или без оползотворяването на енергия;</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пиролиза, плазмолиза, газификация и подобни технологични процеси, при които се променят физичните или химични свойства на каучука;</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депониране в депа за отпадъци или съхранение за повече от 1 година.</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Лицето, което обработва излезли от употреба гуми, трябва да гарантира следното:</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за всяка партида вторични суровини се попълва декларация, която показва, че вторичните суровини отговарят на критериите, приложими за край на отпадъка, определени в приложение 1 към настоящата наредба, в съответствие с приложение 2 към нея (наричана по-нататък „декларация за съответствие“);</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lastRenderedPageBreak/>
        <w:t xml:space="preserve">воденето на документация за рециклируеми излезли от употреба автомобилни гуми се извършва съгласно правилата и наредбите в официалните формуляри за статистика в областта на околната среда;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t>по време на транспортирането, всяка партида вторични суровини се придружава от копие на твърд носител на декларацията за съответствие, което позволява на Държавната служба по околната среда на Република Латвия да изисква от лицето, което обработва излезли от употреба гуми, да представи оригиналното копие на декларацията за съответствие.</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Декларацията за съответствие трябва да бъде изготвена в електронен формат съгласно правилата и наредбите относно електронните документи.</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Лицето, което обработва излезли от употреба гуми, трябва да съхранява декларацията за съответствие 5 години след датата на нейното издаване и да я представи при поискване на компетентните органи, отговорни за управлението на отпадъци, в рамките на 10 работни дни.</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Лицето, което обработва излезли от употреба гуми, трябва да приложи към всяка партида вторични суровини техническите спецификации на продукта.</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Лицето, което отговаря за вноса на вторични суровини в Латвия, трябва да гарантира, че лицето, което обработва излезли от употреба автомобилни гуми, е приложило към всяка партида вторични суровини декларация с информация относно физичните и химични свойства на пратката, и данни за лицето, което обработва излезли от употреба автомобилни гуми.</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Лицето, което отговаря за вноса на вторични суровини в Латвия, трябва да съхранява декларацията, упомената в параграф 9 от настоящата наредба, 5 години след датата на нейното изготвяне и трябва да я представи при поискване на компетентните органи, отговорни за управлението на отпадъци, в рамките на 10 дни.</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Лицето, което обработва излезли от употреба автомобилни гуми, трябва да въведе система за управление на качеството, за да гарантира проследимост на обработката на отпадъчни гуми. Лицето, което обработва излезли от употреба гуми, трябва да спазва изискванията на купувача на вторични суровини по отношение на качеството, и физичните и химични свойства на вторичните суровини.</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Системата за управление на качеството трябва да включва подробно описание на обработката на излезли от употреба гуми, което трябва да включва следната информация:</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описание на мониторинга за качество на обработката на излезли от употреба гуми, в съответствие с приложение 1 към настоящата наредба;</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използвани методи за вземане на проби, физични и химични тестове на пробите, етикетиране на вторични суровини, описание на процесите по опаковане и съхранение;</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критерии за съответствие за излезли от употреба гуми, типове контролни мерки за оценка на излезли от употреба гуми за съответствие и начини, по които се документират резултатите;</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описание на целия цикъл на обработка на излезли от употреба гуми, включително последващото управление и съхранение на отпадъци, получени в процеса на производство, и информация относно потенциалната продажба на вторичните суровини;</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критерии за съответствие на качеството на вторичните суровини и критерии за самоконтрол, в съответствие с приложение 1 към настоящата наредба;</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служителите на лицето, обработващо отпадъчни гуми, които са отговорни за всеки етап от обработката на излезли от употреба гуми;</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потенциален обем на обработката на излезли от употреба гуми.</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Лицето, което обработва излезли от употреба гуми, трябва да съхранява информацията, определена в параграф 12 от настоящата наредба, 5 години след приемането на съответната партида вторични суровини.</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Лицето, което обработва излезли от употреба гуми, трябва да преразгледа системата за управление на качеството всяка година, а също така и когато са направени значителни промени по технологичните процеси за получаване на вторичните суровини, или когато физичните и химични свойства на вторичните суровини са модифицирани.</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След писмена заявка от компетентните органи, отговарящи за управлението на отпадъците, лицето, което обработва излезли от употреба гуми или лицето, което отговаря за вноса на вторични суровини в Латвия, трябва да предостави достъп до всички зони, помещения и документи, свързани с обработката и съхранението на излезли от употреба гуми, за да бъдат оценени за съответствие с изискванията, определени в настоящата наредба.</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Лицето, което обработва излезли от употреба гуми, трябва да информира купувача на вторични суровини, че излезлите от употреба гуми са обработени съгласно система за управление на качеството.</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lastRenderedPageBreak/>
        <w:t>Ако каучуков материал, който е получен от излезли от употреба гуми бъде внесен от други държави и компетентните органи на държавата на изпращане и държавата по местоназначение не могат да се споразумеят относно неговата класификация, ще се прилага член 28, параграф 1 от Регламент (ЕО) № 1013/2006 на Европейския парламент и на Съвета от 14 юни 2006 г. относно превози на отпадъци.</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Позоваване на директиви на Европейския съюз</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Правните разпоредби следва да се съгласуват с Комисията и с държавите — членки на Европейския съюз, в съответствие с Директива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Министър–председател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Министър на</w:t>
      </w:r>
      <w:r>
        <w:rPr>
          <w:rFonts w:ascii="Arial" w:hAnsi="Arial"/>
          <w:i/>
          <w:sz w:val="18"/>
          <w:szCs w:val="18"/>
        </w:rPr>
        <w:br/>
        <w:t>околната среда и регионалното развитие</w:t>
      </w:r>
      <w:r>
        <w:rPr>
          <w:rFonts w:ascii="Arial" w:hAnsi="Arial"/>
          <w:i/>
          <w:sz w:val="18"/>
        </w:rPr>
        <w:t xml:space="preserve">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t>Приложение 1</w:t>
      </w:r>
      <w:r>
        <w:rPr>
          <w:rFonts w:ascii="Arial" w:hAnsi="Arial"/>
          <w:sz w:val="18"/>
        </w:rPr>
        <w:br/>
        <w:t>към Наредба № 682</w:t>
      </w:r>
      <w:r>
        <w:rPr>
          <w:rFonts w:ascii="Arial" w:hAnsi="Arial"/>
          <w:sz w:val="18"/>
        </w:rPr>
        <w:br/>
        <w:t>на министерски съвет</w:t>
      </w:r>
      <w:r>
        <w:rPr>
          <w:rFonts w:ascii="Arial" w:hAnsi="Arial"/>
          <w:sz w:val="18"/>
        </w:rPr>
        <w:br/>
        <w:t>от 13 ноември 2018 г.</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Критерии за край на отпадъка за каучук, получен от излезли от употреба гуми</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Сериен номер</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Критерии за край на отпадъка</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Критерии за самоконтрол</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Изисквания за качество за каучук, получен от излезли от употреба гуми чрез механична обработка:</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Качеството на каучука трябва да бъде оценено:</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визуално;</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по отношение на техните физични и химични свойства, които са получени от лабораторни тестове, включително тези, обхванати от техническите спецификации на купувачите на вторични суровини. При молба от купувача на вторичните суровини могат да бъдат извършени други лабораторни тестове, в съответствие с допълнителните спецификации на купувача на вторичните суровини.</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За всеки тип вторична суровина, получена от излезли от употреба гуми, следва да бъде извършено тестване на представителни проби.</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Представителните проби трябва да бъдат получени според процедурата по вземане на проби, обхваната от и описана подробно като част от системата за управление на качеството (например използвани методи за вземане на проби, честота на вземането на проби, размер, типове и брой проби, статистически анализ и др.). Физичните и химични свойства ще бъдат тествани в лаборатория.</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sz w:val="18"/>
              </w:rPr>
              <w:t>Критериите за съответствие на вторичните суровини, определени в параграф 1 на настоящото приложение, ще бъдат представени и описани в рамките на оперативната система за управление на качеството.</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21A36FD9" w:rsidR="0092066C" w:rsidRPr="00EE4F56" w:rsidRDefault="0092066C" w:rsidP="00B7715F">
            <w:pPr>
              <w:spacing w:after="0" w:line="240" w:lineRule="auto"/>
              <w:rPr>
                <w:rFonts w:ascii="Arial" w:hAnsi="Arial" w:cs="Arial"/>
                <w:sz w:val="18"/>
                <w:szCs w:val="18"/>
              </w:rPr>
            </w:pPr>
            <w:r>
              <w:rPr>
                <w:rFonts w:ascii="Arial" w:hAnsi="Arial"/>
                <w:sz w:val="18"/>
              </w:rPr>
              <w:t>не съдържат опасните свойства, упоменати в Регламент (ЕС) № 1357/2014 на Комисията от 18 декември 2014 г. за замяна на приложение III към Директива 2008/98/ЕО на Европейския парламент и на Съвета относно отпадъците и за отмяна на определени директиви, и не надвишават границите на концентрация, определени в прило</w:t>
            </w:r>
            <w:r w:rsidR="00377014">
              <w:rPr>
                <w:rFonts w:ascii="Arial" w:hAnsi="Arial"/>
                <w:sz w:val="18"/>
              </w:rPr>
              <w:t>жение IV към Регламент (ЕО) № 850</w:t>
            </w:r>
            <w:bookmarkStart w:id="0" w:name="_GoBack"/>
            <w:bookmarkEnd w:id="0"/>
            <w:r>
              <w:rPr>
                <w:rFonts w:ascii="Arial" w:hAnsi="Arial"/>
                <w:sz w:val="18"/>
              </w:rPr>
              <w:t>/2004 на Европейския парламент и на Съвета от 29 април 2004 г. относно устойчивите органични замърсители и за изменение на Директива 79/117/ЕИО;</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отговарят на ограниченията на член 50 от приложение XVII към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химикалите,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не съдържат значително количество масла и смазки;</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фракционирането и количественото определяне са извършени според тип/размер.</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Изисквания за рециклиране на отпадъци във вторични суровини:</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 xml:space="preserve">Качеството на каучука трябва да бъде оценено визуално. Воденето на документация относно количеството на получени и рециклирани излезли от употреба автомобилни гуми се извършва съгласно правилата и </w:t>
            </w:r>
            <w:r>
              <w:rPr>
                <w:rFonts w:ascii="Arial" w:hAnsi="Arial"/>
                <w:sz w:val="18"/>
              </w:rPr>
              <w:lastRenderedPageBreak/>
              <w:t>наредбите в официалните формуляри за статистика в областта на околната среда;</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могат да бъдат използвани единствено излезли от употреба гуми, съответстващи на класификацията за отпадъци и свойствата на опасни отпадъци, както е определено в правилата и наредбите;</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lastRenderedPageBreak/>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не могат да се използват излезли от употреба гуми, замърсени с опасни вещества или опасни отпадъци.</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lastRenderedPageBreak/>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Излезлите от употреба гуми трябва да бъдат обработени, както следва:</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гумите трябва да се почистват машинно или ръчно;</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чужди обекти (като камъни, метални частици и отломки) трябва да се премахват;</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използваните методи и процеси не бива да имат вредно въздействие върху околната среда;</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правилата и наредбите, регулиращи управлението и обработката на отпадъците, трябва да бъдат спазвани.</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Министър на</w:t>
      </w:r>
      <w:r>
        <w:rPr>
          <w:rFonts w:ascii="Arial" w:hAnsi="Arial"/>
          <w:sz w:val="18"/>
          <w:szCs w:val="18"/>
        </w:rPr>
        <w:br/>
        <w:t>околната среда и регионалното развитие</w:t>
      </w:r>
      <w:r>
        <w:rPr>
          <w:rFonts w:ascii="Arial" w:hAnsi="Arial"/>
          <w:sz w:val="18"/>
        </w:rPr>
        <w:t xml:space="preserve"> Kaspars Gerhards</w:t>
      </w:r>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Приложение 2</w:t>
      </w:r>
      <w:r>
        <w:rPr>
          <w:rFonts w:ascii="Arial" w:hAnsi="Arial"/>
          <w:sz w:val="18"/>
        </w:rPr>
        <w:br/>
        <w:t>към Наредба № 682</w:t>
      </w:r>
      <w:r>
        <w:rPr>
          <w:rFonts w:ascii="Arial" w:hAnsi="Arial"/>
          <w:sz w:val="18"/>
        </w:rPr>
        <w:br/>
        <w:t>на министерски съвет</w:t>
      </w:r>
      <w:r>
        <w:rPr>
          <w:rFonts w:ascii="Arial" w:hAnsi="Arial"/>
          <w:sz w:val="18"/>
        </w:rPr>
        <w:br/>
        <w:t>от 13 ноември 2018 г.</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Декларация за удостоверяване, че вторичните суровини отговарят на критериите за край на отпадъка</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1. Данни за лицето, което обработва излезли от употреба гуми:</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Име на юридическото лице</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Регистрационен номер</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Физически адрес</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Седалище и адрес</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Лице за контакт.</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Телефонен номер</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Електронна поща</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Техническите изисквания, определени в техническата спецификация на купувача на вторичните суровини, включително състав, размер, примеси, физични и химични свойства (моля, посочете техническите изисквания).</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Вторичните суровини, получени от излезли от употреба гуми, отговарят на изискванията, определени в техническите спецификации.</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Размер на пратката в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Вторичните суровини, получени от излезли от употреба гуми, отговарят на критериите за край на отпадъка.*</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Лицето, което обработва излезли от употреба гуми, работи в съответствие със системата за управление на качеството.</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6. Вторичните суровини, включени в пратката, са предназначени само да директна употреба (моля, укажете предвидената употреба)</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Друга информация</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С настоящото потвърждавам, че информацията в декларацията е пълна и точна.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lastRenderedPageBreak/>
              <w:t>Представител на икономическия оператор</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(собствено име, фамилно име)</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(длъжност)</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(подпис)</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Дата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Бележка: * Критерии, определени в приложение 1 към Наредба № 682 от 13 ноември 2018 г., със заглавие: „Процедура, съгласно която спира да се прилага статутът на отпадъка на каучукови материали, получени от излезли от употреба автомобилни гуми“ и включени в системата за управление на качеството на лицето, което обработва излезли от употреба автомобилни гуми.</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Министър на</w:t>
      </w:r>
      <w:r>
        <w:rPr>
          <w:rFonts w:ascii="Arial" w:hAnsi="Arial"/>
          <w:sz w:val="18"/>
          <w:szCs w:val="18"/>
        </w:rPr>
        <w:br/>
        <w:t>околната среда и регионалното развитие</w:t>
      </w:r>
      <w:r>
        <w:rPr>
          <w:rFonts w:ascii="Arial" w:hAnsi="Arial"/>
          <w:sz w:val="18"/>
        </w:rPr>
        <w:t xml:space="preserve"> Kaspars Gerhards</w:t>
      </w:r>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b/>
          <w:color w:val="A6A6A6"/>
          <w:sz w:val="18"/>
        </w:rPr>
        <w:t>© Oficiālais izdevējs „Latvijas Vēstnesis“</w:t>
      </w:r>
    </w:p>
    <w:sectPr w:rsidR="00B7715F" w:rsidRPr="00EE4F56" w:rsidSect="000027DE">
      <w:footerReference w:type="default" r:id="rId8"/>
      <w:footerReference w:type="first" r:id="rId9"/>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6FE5" w14:textId="77777777" w:rsidR="00716463" w:rsidRDefault="00716463">
      <w:pPr>
        <w:spacing w:after="0" w:line="240" w:lineRule="auto"/>
      </w:pPr>
      <w:r>
        <w:separator/>
      </w:r>
    </w:p>
  </w:endnote>
  <w:endnote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377014">
          <w:rPr>
            <w:rFonts w:ascii="Arial" w:hAnsi="Arial" w:cs="Arial"/>
            <w:noProof/>
            <w:sz w:val="18"/>
            <w:szCs w:val="18"/>
          </w:rPr>
          <w:t>5</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377014">
              <w:rPr>
                <w:rFonts w:ascii="Arial" w:hAnsi="Arial" w:cs="Arial"/>
                <w:noProof/>
                <w:sz w:val="18"/>
                <w:szCs w:val="18"/>
              </w:rPr>
              <w:t>5</w:t>
            </w:r>
            <w:r w:rsidRPr="001919C1">
              <w:rPr>
                <w:rFonts w:ascii="Arial" w:hAnsi="Arial" w:cs="Arial"/>
                <w:sz w:val="18"/>
                <w:szCs w:val="18"/>
              </w:rPr>
              <w:fldChar w:fldCharType="end"/>
            </w:r>
          </w:sdtContent>
        </w:sdt>
      </w:p>
      <w:p w14:paraId="73533EAC" w14:textId="340B73F3" w:rsidR="00C77626" w:rsidRDefault="00377014">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377014"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5</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093D" w14:textId="77777777" w:rsidR="00716463" w:rsidRDefault="00716463">
      <w:pPr>
        <w:spacing w:after="0" w:line="240" w:lineRule="auto"/>
      </w:pPr>
      <w:r>
        <w:separator/>
      </w:r>
    </w:p>
  </w:footnote>
  <w:footnote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7701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bg-BG"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bg-BG"/>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bg-BG"/>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bg-BG"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bg-BG"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bg-BG"/>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bg-BG"/>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bg-BG"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bg-BG"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807E-05CA-46B8-911F-E9A6B0BB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Varga, Eszter</cp:lastModifiedBy>
  <cp:revision>22</cp:revision>
  <cp:lastPrinted>2018-03-14T09:38:00Z</cp:lastPrinted>
  <dcterms:created xsi:type="dcterms:W3CDTF">2018-05-16T10:48:00Z</dcterms:created>
  <dcterms:modified xsi:type="dcterms:W3CDTF">2019-12-18T16:28:00Z</dcterms:modified>
</cp:coreProperties>
</file>