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>7 ianuarie 2021</w:t>
      </w:r>
      <w:r>
        <w:tab/>
        <w:t>Regulamentul nr. 19</w:t>
      </w:r>
    </w:p>
    <w:p w14:paraId="1C495F9E" w14:textId="3C7F2203" w:rsidR="00AF1E99" w:rsidRPr="003342A9" w:rsidRDefault="00AF1E99" w:rsidP="00316D07">
      <w:pPr>
        <w:tabs>
          <w:tab w:val="left" w:pos="5040"/>
          <w:tab w:val="left" w:pos="6210"/>
        </w:tabs>
        <w:rPr>
          <w:szCs w:val="28"/>
        </w:rPr>
      </w:pPr>
      <w:r>
        <w:t>Riga</w:t>
      </w:r>
      <w:r>
        <w:tab/>
        <w:t>(Procesul verbal nr. 2, articolul 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Regulament privind plantele și părți ale plantelor interzise pentru utilizarea în produsele alimentare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Emis în conformitate cu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Articolul 4 alineatul (18) din Legea privind</w:t>
      </w:r>
      <w:r>
        <w:rPr>
          <w:color w:val="000000" w:themeColor="text1"/>
        </w:rPr>
        <w:br/>
        <w:t>supravegherea manipulării produselor alimentare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Legea privind supravegherea manipulării produselor alimentare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>1. </w:t>
      </w:r>
      <w:r>
        <w:t xml:space="preserve">Regulamentul stabilește plantele și părțile plantelor interzise pentru utilizarea în produsele alimentare, astfel cum sunt prezentate în anexa la prezentul regulament.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color w:val="000000" w:themeColor="text1"/>
          <w:shd w:val="clear" w:color="auto" w:fill="FFFFFF"/>
        </w:rPr>
        <w:t xml:space="preserve">Alimente comercializate legal în alt </w:t>
      </w:r>
      <w:r>
        <w:rPr>
          <w:rStyle w:val="highlight"/>
          <w:color w:val="000000" w:themeColor="text1"/>
        </w:rPr>
        <w:t>stat membru al Uniunii Europene sau în Turcia</w:t>
      </w:r>
      <w:r>
        <w:rPr>
          <w:color w:val="000000" w:themeColor="text1"/>
          <w:shd w:val="clear" w:color="auto" w:fill="FFFFFF"/>
        </w:rPr>
        <w:t xml:space="preserve"> sau care provin și sunt comercializate în mod legal în una din țările Asociației Europene a Liberului Schimb care este parte contractantă la Acordul privind Spațiul Economic European pot fi distribuite pe piața letonă sub rezerva legislației direct aplicabile a Uniunii Europene privind recunoașterea reciprocă a mărfurilor.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>Trimiteri la Directiva Uniunii Europene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>Dispozițiile legale se stabilesc împreună cu Comisia Europeană și statele membre ale Uniunii Europene, în conformitate cu Directiva (UE) 2015/1535 a Parlamentului European și a Consiliului din 9 septembrie 2015 referitoare la procedura de furnizare de informații în domeniul reglementărilor tehnice și al normelor privind serviciile societății informaționale.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Prim-ministru</w:t>
      </w:r>
      <w:r>
        <w:rPr>
          <w:rFonts w:ascii="Times New Roman" w:hAnsi="Times New Roman"/>
          <w:sz w:val="28"/>
        </w:rPr>
        <w:tab/>
        <w:t>A. K. Kariņš</w:t>
      </w:r>
    </w:p>
    <w:p w14:paraId="229806FC" w14:textId="77777777" w:rsidR="00AF1E99" w:rsidRPr="00316D0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it-IT"/>
        </w:rPr>
      </w:pPr>
    </w:p>
    <w:p w14:paraId="3D50C5C4" w14:textId="77777777" w:rsidR="00AF1E99" w:rsidRPr="00316D0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it-IT"/>
        </w:rPr>
      </w:pPr>
    </w:p>
    <w:p w14:paraId="5EBFD056" w14:textId="77777777" w:rsidR="00AF1E99" w:rsidRPr="00316D07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it-IT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Ministrului agriculturii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Anexă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la Regulamentul Cabinetului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Nr. 19 din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7 ianuarie 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>Plante și părți ale plantelor interzise pentru utilizarea în produsele alimentare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Denumirea plantei în limba română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Denumirea botanică a plantei în limba latină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Plantă sau parte a plantei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Adonis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Areca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Întreaga plantă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Aristolochia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Arnica montană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Întreaga plantă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chamissonis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Talpa gâștei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</w:rPr>
              <w:t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Baptisia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Lăsnicior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Mătrăgună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Atropa </w:t>
            </w:r>
            <w:r>
              <w:rPr>
                <w:i/>
                <w:sz w:val="24"/>
              </w:rPr>
              <w:t>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Întreaga plantă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Brebenel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Dalac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Alior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Dieffenbachia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Măselariță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Ephedra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Brugmansia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Ferigă de câmp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Phytolacca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Fritillaria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Iasomie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Ochiul șarpelui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Carapichea ipecacuanha, Psychotria acuminata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 Kuntze, </w:t>
            </w:r>
            <w:r>
              <w:rPr>
                <w:i/>
                <w:color w:val="000000" w:themeColor="text1"/>
                <w:sz w:val="24"/>
              </w:rPr>
              <w:t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Rădăcina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Cephaelis ipecacuanha, Uragoga ipecacuanha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ipecacuanha</w:t>
            </w:r>
            <w:r>
              <w:rPr>
                <w:color w:val="000000" w:themeColor="text1"/>
                <w:sz w:val="24"/>
              </w:rPr>
              <w:t xml:space="preserve"> (Brot.) A. Rich. syn. </w:t>
            </w:r>
            <w:r>
              <w:rPr>
                <w:i/>
                <w:color w:val="000000" w:themeColor="text1"/>
                <w:sz w:val="24"/>
              </w:rPr>
              <w:t>Uragoga ipecacuanha</w:t>
            </w:r>
            <w:r>
              <w:rPr>
                <w:color w:val="000000" w:themeColor="text1"/>
                <w:sz w:val="24"/>
              </w:rPr>
              <w:t xml:space="preserve"> (Brot.) Baill., Psychotria ipecacuanha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Rădăcina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Ilex</w:t>
            </w:r>
            <w:r>
              <w:rPr>
                <w:color w:val="000000" w:themeColor="text1"/>
                <w:sz w:val="24"/>
              </w:rPr>
              <w:br/>
              <w:t>comun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Ilex aquifolium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Frunze, fruct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Pausinystalia yohimbe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Scoarță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Saschiu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Întreaga plantă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Brebenocul de Madagascar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Lăcrămioară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Lăcrămioara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Ghimbir sălbatic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Pochivnic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Lobelia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Mandragoră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Menispermum canadense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Fruct, rădăcină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Pecetea lui Solomon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Fasole de mătase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Zarnă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Oleandru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Căldărușă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Întreaga plantă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Feriga comună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Pilocarpus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Piscidia erythrina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Sassafras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Întreaga plantă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Bryonia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Arborele de stricnină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Strophanthus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Cohosh albastru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Cucută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Tătăneasă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Tuia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Ceapă de mare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Bulbi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Degețel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Datura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Veratrum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Brândușă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Anemonă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Tulichină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Salcâm galben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Întreaga plantă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Ministrului agriculturii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BD8F" w14:textId="77777777" w:rsidR="00E052D8" w:rsidRDefault="00E052D8" w:rsidP="004B3C2F">
      <w:r>
        <w:separator/>
      </w:r>
    </w:p>
  </w:endnote>
  <w:endnote w:type="continuationSeparator" w:id="0">
    <w:p w14:paraId="424DD2E5" w14:textId="77777777" w:rsidR="00E052D8" w:rsidRDefault="00E052D8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D4AF" w14:textId="77777777" w:rsidR="00E052D8" w:rsidRDefault="00E052D8" w:rsidP="004B3C2F">
      <w:r>
        <w:separator/>
      </w:r>
    </w:p>
  </w:footnote>
  <w:footnote w:type="continuationSeparator" w:id="0">
    <w:p w14:paraId="56F2A9BB" w14:textId="77777777" w:rsidR="00E052D8" w:rsidRDefault="00E052D8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16D07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052D8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8</cp:revision>
  <cp:lastPrinted>2020-12-17T08:29:00Z</cp:lastPrinted>
  <dcterms:created xsi:type="dcterms:W3CDTF">2021-01-28T10:51:00Z</dcterms:created>
  <dcterms:modified xsi:type="dcterms:W3CDTF">2021-10-20T11:37:00Z</dcterms:modified>
  <cp:category/>
</cp:coreProperties>
</file>