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rPr>
      </w:pPr>
    </w:p>
    <w:p w:rsidR="007D2CBC" w:rsidRPr="00B00403" w:rsidRDefault="007D2CBC" w:rsidP="007D2CBC">
      <w:pPr>
        <w:pStyle w:val="PlainText"/>
        <w:rPr>
          <w:sz w:val="20"/>
          <w:szCs w:val="20"/>
          <w:rFonts w:ascii="Courier New"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------IND- 2017 0525 E-- SK-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lang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lang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 xml:space="preserve">I. VŠEOBECNÉ USTANOVENIA</w:t>
      </w:r>
    </w:p>
    <w:p w:rsidR="001B208E" w:rsidRDefault="001B208E" w:rsidP="007D7D7B">
      <w:pPr>
        <w:pStyle w:val="Pa3"/>
        <w:widowControl/>
        <w:spacing w:before="120" w:after="120" w:line="360" w:lineRule="auto"/>
        <w:jc w:val="center"/>
        <w:rPr>
          <w:color w:val="000000"/>
          <w:sz w:val="39"/>
          <w:szCs w:val="39"/>
        </w:rPr>
      </w:pPr>
      <w:r>
        <w:rPr>
          <w:color w:val="000000"/>
          <w:sz w:val="39"/>
        </w:rPr>
        <w:t xml:space="preserve">MINISTERSTVO POĽNOHOSPODÁRSTVA, RYBOLOVU, POTRAVINÁRSTVA A ŽIVOTNÉHO PROSTREDIA</w:t>
      </w:r>
    </w:p>
    <w:p w:rsidR="00694AFB" w:rsidRPr="00C1192B" w:rsidRDefault="00694AFB" w:rsidP="007D7D7B">
      <w:pPr>
        <w:pStyle w:val="Default"/>
        <w:widowControl/>
        <w:rPr>
          <w:b/>
          <w:bCs/>
          <w:color w:val="004378"/>
          <w:sz w:val="20"/>
          <w:szCs w:val="20"/>
        </w:rPr>
      </w:pPr>
      <w:r>
        <w:rPr>
          <w:b/>
          <w:color w:val="004378"/>
          <w:sz w:val="20"/>
        </w:rPr>
        <w:t xml:space="preserve">Č. 122</w:t>
      </w:r>
      <w:r>
        <w:tab/>
      </w:r>
      <w:r>
        <w:rPr>
          <w:b/>
          <w:color w:val="004378"/>
          <w:sz w:val="20"/>
        </w:rPr>
        <w:t xml:space="preserve">Sobota 19. mája 2018   Sek.</w:t>
      </w:r>
      <w:r>
        <w:rPr>
          <w:b/>
          <w:color w:val="004378"/>
          <w:sz w:val="20"/>
        </w:rPr>
        <w:t xml:space="preserve"> </w:t>
      </w:r>
      <w:r>
        <w:rPr>
          <w:b/>
          <w:color w:val="004378"/>
          <w:sz w:val="20"/>
        </w:rPr>
        <w:t xml:space="preserve">I.   Strana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 xml:space="preserve">Kráľovský dekrét 293/2018 z 18. mája 2018 o znížení spotreby plastových tašiek a vytvorení registra výrobcov.</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I</w:t>
      </w:r>
    </w:p>
    <w:p w:rsidR="001B208E" w:rsidRDefault="001B208E" w:rsidP="007D7D7B">
      <w:pPr>
        <w:pStyle w:val="Default"/>
        <w:widowControl/>
        <w:spacing w:before="120" w:after="120"/>
        <w:ind w:firstLine="720"/>
        <w:rPr>
          <w:sz w:val="20"/>
          <w:szCs w:val="20"/>
        </w:rPr>
      </w:pPr>
      <w:r>
        <w:rPr>
          <w:sz w:val="20"/>
        </w:rPr>
        <w:t xml:space="preserve">Smernica Európskeho Parlamentu a Rady 94/62/ES z 20. decembra 1994 o obaloch a odpadoch z obalov bola prijatá s cieľom minimalizovať environmentálny vplyv obalov a odpadov z obalov.</w:t>
      </w:r>
      <w:r>
        <w:rPr>
          <w:sz w:val="20"/>
        </w:rPr>
        <w:t xml:space="preserve"> </w:t>
      </w:r>
      <w:r>
        <w:rPr>
          <w:sz w:val="20"/>
        </w:rPr>
        <w:t xml:space="preserve">Táto smernica bola transponovaná do španielskeho práva španielskym zákonom 11/1997 z 24. apríla 1997 o obaloch a odpadoch z obalov a kráľovským dekrétom 782/1998 z 30. apríla 1998, ktorým sa prijalo jej nariadenie, ktorým sa vykonáva zákon č. 11/1997 z 24. apríla 1997 o obaloch a odpadoch z obalov.</w:t>
      </w:r>
      <w:r>
        <w:rPr>
          <w:sz w:val="20"/>
        </w:rPr>
        <w:t xml:space="preserve"> </w:t>
      </w:r>
      <w:r>
        <w:rPr>
          <w:sz w:val="20"/>
        </w:rPr>
        <w:t xml:space="preserve">Hoci sa plastové tašky v zmysle smernice Európskeho parlamentu a Rady 94/62/ES z 20. decembra 1994 považujú za obaly, pôvodná verzia tejto smernice neobsahuje osobitné ustanovenia o spotrebe tohto typu obalu.</w:t>
      </w:r>
    </w:p>
    <w:p w:rsidR="001B208E" w:rsidRDefault="001B208E" w:rsidP="007D7D7B">
      <w:pPr>
        <w:pStyle w:val="Default"/>
        <w:widowControl/>
        <w:spacing w:before="120" w:after="120"/>
        <w:ind w:firstLine="720"/>
        <w:rPr>
          <w:sz w:val="20"/>
          <w:szCs w:val="20"/>
        </w:rPr>
      </w:pPr>
      <w:r>
        <w:rPr>
          <w:sz w:val="20"/>
        </w:rPr>
        <w:t xml:space="preserve">Súčasné miery spotreby plastových tašiek spôsobujú vysoké miery odpadu a neefektívneho využívania zdrojov, pričom sa odhaduje, že budú rásť, pokiaľ sa neprijmú príslušné opatrenia.</w:t>
      </w:r>
      <w:r>
        <w:rPr>
          <w:sz w:val="20"/>
        </w:rPr>
        <w:t xml:space="preserve"> </w:t>
      </w:r>
      <w:r>
        <w:rPr>
          <w:sz w:val="20"/>
        </w:rPr>
        <w:t xml:space="preserve">Odpad vo forme plastových tašiek znečisťuje životné prostredie a prehlbuje všeobecný problém odpadu vo vodných útvaroch, čo predstavuje hrozbu pre globálne vodné ekosystémy.</w:t>
      </w:r>
      <w:r>
        <w:rPr>
          <w:sz w:val="20"/>
        </w:rPr>
        <w:t xml:space="preserve"> </w:t>
      </w:r>
      <w:r>
        <w:rPr>
          <w:sz w:val="20"/>
        </w:rPr>
        <w:t xml:space="preserve">Plastové tašky s hrúbkou steny menej ako 50 mikrónov („ľahké plastové tašky“), ktoré sú zodpovedné za veľkú väčšinu celkového počtu plastových tašiek spotrebúvaných v EÚ, sa opätovne využívajú menej ako hrubšie plastové tašky.</w:t>
      </w:r>
      <w:r>
        <w:rPr>
          <w:sz w:val="20"/>
        </w:rPr>
        <w:t xml:space="preserve"> </w:t>
      </w:r>
      <w:r>
        <w:rPr>
          <w:sz w:val="20"/>
        </w:rPr>
        <w:t xml:space="preserve">Preto sa ľahké plastové tašky rýchlejšie menia na odpad a z dôvodu ich ľahšej hmotnosti majú sklon stať sa odpadkami.</w:t>
      </w:r>
      <w:r>
        <w:rPr>
          <w:sz w:val="20"/>
        </w:rPr>
        <w:t xml:space="preserve"> </w:t>
      </w:r>
      <w:r>
        <w:rPr>
          <w:sz w:val="20"/>
        </w:rPr>
        <w:t xml:space="preserve">Súčasná miera recyklovania ľahkých plastových tašiek je veľmi nízka a v dôsledku niekoľkých praktických a ekonomických prekážok je málo pravdepodobné, že by v blízkej budúcnosti dosiahla značné úrovne.</w:t>
      </w:r>
    </w:p>
    <w:p w:rsidR="001B208E" w:rsidRDefault="001B208E" w:rsidP="007D7D7B">
      <w:pPr>
        <w:pStyle w:val="Default"/>
        <w:widowControl/>
        <w:spacing w:before="120" w:after="120"/>
        <w:ind w:firstLine="720"/>
        <w:rPr>
          <w:sz w:val="20"/>
          <w:szCs w:val="20"/>
        </w:rPr>
      </w:pPr>
      <w:r>
        <w:rPr>
          <w:sz w:val="20"/>
        </w:rPr>
        <w:t xml:space="preserve">S cieľom riešiť tento problém prijala Európska únia smernicu Európskeho parlamentu a Rady (EÚ) 2015/720 z 29. apríla 2015, ktorou sa mení smernica 94/62/ES, pokiaľ ide o zníženie spotreby ľahkých plastových tašiek.</w:t>
      </w:r>
      <w:r>
        <w:rPr>
          <w:sz w:val="20"/>
        </w:rPr>
        <w:t xml:space="preserve"> </w:t>
      </w:r>
      <w:r>
        <w:rPr>
          <w:sz w:val="20"/>
        </w:rPr>
        <w:t xml:space="preserve">Cieľom tohto kráľovského dekrétu je transponovať smernicu Európskeho parlamentu a Rady (EÚ) 2015/720 z 29. apríla 2015 do španielskeho práva.</w:t>
      </w:r>
    </w:p>
    <w:p w:rsidR="001B208E" w:rsidRDefault="001B208E" w:rsidP="007D7D7B">
      <w:pPr>
        <w:pStyle w:val="Default"/>
        <w:widowControl/>
        <w:spacing w:before="120" w:after="120"/>
        <w:ind w:firstLine="720"/>
        <w:rPr>
          <w:sz w:val="20"/>
          <w:szCs w:val="20"/>
        </w:rPr>
      </w:pPr>
      <w:r>
        <w:rPr>
          <w:sz w:val="20"/>
        </w:rPr>
        <w:t xml:space="preserve">V tejto smernici Spoločenstva sa ustanovuje, že členské štáty prijmú opatrenia na dosiahnutie udržateľného zníženia spotreby ľahkých plastových tašiek na svojich územiach.</w:t>
      </w:r>
      <w:r>
        <w:rPr>
          <w:sz w:val="20"/>
        </w:rPr>
        <w:t xml:space="preserve"> </w:t>
      </w:r>
      <w:r>
        <w:rPr>
          <w:sz w:val="20"/>
        </w:rPr>
        <w:t xml:space="preserve">Táto smernica ponúka členským štátom rôzne možnosti, ako to dosiahnuť, vrátane stanovenia národných cieľov zníženia, zavedenia hospodárskych nástrojov a v prípade potreby aj obmedzení uvádzania na trh, a to za predpokladu, že sú tieto obmedzenia primerané a nediskriminačné.</w:t>
      </w:r>
      <w:r>
        <w:rPr>
          <w:sz w:val="20"/>
        </w:rPr>
        <w:t xml:space="preserve"> </w:t>
      </w:r>
      <w:r>
        <w:rPr>
          <w:sz w:val="20"/>
        </w:rPr>
        <w:t xml:space="preserve">Podobne sa v nej uvádza, že tieto opatrenia sa môžu meniť v závislosti od vplyvu ľahkých plastových tašiek na životné prostredie, keď sú zhodnotené alebo zneškodnené, ich kompostovateľnosti, trvanlivosti alebo osobitného zamýšľaného použitia.</w:t>
      </w:r>
    </w:p>
    <w:p w:rsidR="00694AFB" w:rsidRDefault="001B208E" w:rsidP="007D7D7B">
      <w:pPr>
        <w:pStyle w:val="Default"/>
        <w:widowControl/>
        <w:spacing w:before="120" w:after="120"/>
        <w:ind w:firstLine="720"/>
        <w:rPr>
          <w:sz w:val="20"/>
          <w:szCs w:val="20"/>
        </w:rPr>
      </w:pPr>
      <w:r>
        <w:rPr>
          <w:sz w:val="20"/>
        </w:rPr>
        <w:t xml:space="preserve">V každom prípade členské štáty prijmú aspoň jedno z týchto opatrení: a) prijmú opatrenia, ktorými sa zabezpečí, aby ročná úroveň spotreby neprekročila 90 ľahkých plastových tašiek na osobu do 31. decembra 2019 a 40 ľahkých plastových tašiek na osobu do 31. decembra 2025 alebo ekvivalentné ciele stanovené podľa hmotnosti; b) prijmú nástroje, ktorými sa zabezpečí, aby sa od 31. decembra 2018 ľahké plastové tašky neposkytovali bezplatne v miestach predaja tovarov alebo výrobkov, pokiaľ sa nebudú vykonávať rovnako účinné nástroje.</w:t>
      </w:r>
      <w:r>
        <w:rPr>
          <w:sz w:val="20"/>
        </w:rPr>
        <w:t xml:space="preserve"> </w:t>
      </w:r>
      <w:r>
        <w:rPr>
          <w:sz w:val="20"/>
        </w:rPr>
        <w:t xml:space="preserve">Smernica umožňuje členským štátom z týchto opatrení vyňať plastové tašky s hrúbkou steny menšou ako 15 mikrónov, ktoré sa používajú na hygienické účely alebo na zníženie potravinových strát.</w:t>
      </w:r>
      <w:r>
        <w:rPr>
          <w:sz w:val="20"/>
        </w:rPr>
        <w:t xml:space="preserve"> </w:t>
      </w:r>
      <w:r>
        <w:rPr>
          <w:sz w:val="20"/>
        </w:rPr>
        <w:t xml:space="preserve">V smernici sa rovnako uvádza, že od 27. mája 2018 podávajú členské štáty správy o ročnej spotrebe ľahkých plastových tašiek pri poskytovaní údajov o obaloch a odpadoch z obalov Komisii v súlade s platnými právnymi predpismi.</w:t>
      </w:r>
      <w:r>
        <w:rPr>
          <w:sz w:val="20"/>
        </w:rPr>
        <w:t xml:space="preserve"> </w:t>
      </w:r>
      <w:r>
        <w:rPr>
          <w:sz w:val="20"/>
        </w:rPr>
        <w:t xml:space="preserve">Pre ostatné plastové tašky (s hrúbkou steny väčšou alebo rovnajúcou sa 50 mikrónom) sa v smernici ustanovuje, že členské štáty môžu prijať opatrenia, ako sú hospodárske nástroje a vnútroštátne ciele znižovania.</w:t>
      </w:r>
      <w:r>
        <w:rPr>
          <w:sz w:val="20"/>
        </w:rPr>
        <w:t xml:space="preserve"> </w:t>
      </w:r>
      <w:r>
        <w:rPr>
          <w:sz w:val="20"/>
        </w:rPr>
        <w:t xml:space="preserve">Na druhej strane sa v smernici osobitná pozornosť venuje kampaniam zameraným na informovanie verejnosti a na zvyšovanie povedomia o nepriaznivom vplyve nadmernej spotreby ľahkých plastových tašiek na životné prostredie, ktoré majú zabezpečovať členské štáty.</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II</w:t>
      </w:r>
    </w:p>
    <w:p w:rsidR="001B208E" w:rsidRDefault="001B208E" w:rsidP="007D7D7B">
      <w:pPr>
        <w:pStyle w:val="Default"/>
        <w:widowControl/>
        <w:spacing w:before="120" w:after="120"/>
        <w:ind w:firstLine="720"/>
        <w:rPr>
          <w:sz w:val="20"/>
          <w:szCs w:val="20"/>
        </w:rPr>
      </w:pPr>
      <w:r>
        <w:rPr>
          <w:sz w:val="20"/>
        </w:rPr>
        <w:t xml:space="preserve">Pokiaľ ide o spotrebu plastových tašiek, v národnom integrovanom pláne nakladania s odpadom na roky 2008 – 2015 sa stanovili rozličné opatrenia na postupné vyraďovanie plastových tašiek na jedno použitie.</w:t>
      </w:r>
      <w:r>
        <w:rPr>
          <w:sz w:val="20"/>
        </w:rPr>
        <w:t xml:space="preserve"> </w:t>
      </w:r>
      <w:r>
        <w:rPr>
          <w:sz w:val="20"/>
        </w:rPr>
        <w:t xml:space="preserve">Medzi týmito opatreniami sa poukázalo na 50 % zníženie počtu plastových tašiek na jedno použitie v roku 2010, ako aj na stanovenie časového harmonogramu na odstránenie biologicky nerozložiteľných plastov alebo na podporu dohôd s distribučnými odvetviami s cieľom znížiť výrobu plastových tašiek na jedno použitie a podporiť opakovane použiteľné plastové tašky v obchodoch a supermarketoch a nahradiť plastové tašky na jedno použitie biologicky rozložiteľnými plastovými taškami.</w:t>
      </w:r>
      <w:r>
        <w:rPr>
          <w:sz w:val="20"/>
        </w:rPr>
        <w:t xml:space="preserve"> </w:t>
      </w:r>
      <w:r>
        <w:rPr>
          <w:sz w:val="20"/>
        </w:rPr>
        <w:t xml:space="preserve">Treba poznamenať, že výraz „biologicky rozložiteľný“ by sa mal chápať ako kompostovateľný v súlade s ustanoveniami smernice Európskeho parlamentu a Rady (EÚ) 2015/720 z 29. apríla 2015.</w:t>
      </w:r>
    </w:p>
    <w:p w:rsidR="001B208E" w:rsidRDefault="001B208E" w:rsidP="007D7D7B">
      <w:pPr>
        <w:pStyle w:val="Default"/>
        <w:widowControl/>
        <w:spacing w:before="120" w:after="120"/>
        <w:ind w:firstLine="720"/>
        <w:rPr>
          <w:sz w:val="20"/>
          <w:szCs w:val="20"/>
        </w:rPr>
      </w:pPr>
      <w:r>
        <w:rPr>
          <w:sz w:val="20"/>
        </w:rPr>
        <w:t xml:space="preserve">V druhom doplňujúcom ustanovení zákona č. 22/2011 z 28. júla 2011 o kontaminovanej pôde a odpade sa požadovalo, aby vláda prijala potrebné opatrenia na podporu udržateľnejších systémov na predchádzanie, zníženie a riadenie odpadu z komerčných biologicky nerozložiteľných plastových tašiek na jedno použitie a ich alternatív vrátane opatrení súvisiacich s úlohou vlády ako spotrebiteľa, a to prostredníctvom verejného obstarávania.</w:t>
      </w:r>
    </w:p>
    <w:p w:rsidR="001B208E" w:rsidRDefault="001B208E" w:rsidP="007D7D7B">
      <w:pPr>
        <w:pStyle w:val="Default"/>
        <w:widowControl/>
        <w:spacing w:before="120" w:after="120"/>
        <w:ind w:firstLine="720"/>
        <w:rPr>
          <w:sz w:val="20"/>
          <w:szCs w:val="20"/>
        </w:rPr>
      </w:pPr>
      <w:r>
        <w:rPr>
          <w:sz w:val="20"/>
        </w:rPr>
        <w:t xml:space="preserve">Národný program prevencie odpadov na roky 2014 - 2020, ktorý bol prijatý uznesením Rady ministrov z 13. decembra 2013, sa vzťahuje na prioritnú oblasť obalov s dôrazom na špecifické opatrenia na zníženie spotreby plastových tašiek.</w:t>
      </w:r>
      <w:r>
        <w:rPr>
          <w:sz w:val="20"/>
        </w:rPr>
        <w:t xml:space="preserve"> </w:t>
      </w:r>
      <w:r>
        <w:rPr>
          <w:sz w:val="20"/>
        </w:rPr>
        <w:t xml:space="preserve">Podobne aj Národný rámec pre nakladanie s odpadom na roky 2016 - 2022, ktorý bol prijatý uznesením Rady ministrov zo 6. novembra 2015, obsahuje aj informácie a ciele týkajúce sa plastových vreciek v kapitole o obaloch a odpadoch z obalov.</w:t>
      </w:r>
    </w:p>
    <w:p w:rsidR="001B208E" w:rsidRDefault="001B208E" w:rsidP="007D7D7B">
      <w:pPr>
        <w:pStyle w:val="Default"/>
        <w:widowControl/>
        <w:spacing w:before="120" w:after="120"/>
        <w:ind w:firstLine="720"/>
        <w:rPr>
          <w:sz w:val="20"/>
          <w:szCs w:val="20"/>
        </w:rPr>
      </w:pPr>
      <w:r>
        <w:rPr>
          <w:sz w:val="20"/>
        </w:rPr>
        <w:t xml:space="preserve">Nakoniec, od prijatia a vykonávania Národného integrovaného plánu nakladania s odpadom na roky 2008 - 2015, zákona 22/2011 z 28. júla 2011 a následných nástrojov programovania a plánovania pre sektor odpadov vláda a distribučný sektor prijali viaceré opatrenia na zníženie spotreby tohto typu obalu: dobrovoľné dohody s distribučným sektorom, kampane na zvyšovanie povedomia, zdaňovanie, podporovanie používania opakovane použiteľných tašiek, ukladanie poplatkov atď. V dôsledku týchto opatrení a podľa odvetvových údajov sa spotreba v týchto rokoch znížila o takmer polovicu z 317 tašiek na obyvateľa v roku 2007 na 144 tašiek na obyvateľa v roku 2014, a to v zásade v dôsledku zmeny spotrebiteľských zvyklostí, pokiaľ ide o tento typ obalu.</w:t>
      </w:r>
    </w:p>
    <w:p w:rsidR="001B208E" w:rsidRDefault="001B208E" w:rsidP="007D7D7B">
      <w:pPr>
        <w:pStyle w:val="Default"/>
        <w:widowControl/>
        <w:spacing w:before="120" w:after="120"/>
        <w:ind w:firstLine="720"/>
        <w:rPr>
          <w:sz w:val="20"/>
          <w:szCs w:val="20"/>
        </w:rPr>
      </w:pPr>
      <w:r>
        <w:rPr>
          <w:sz w:val="20"/>
        </w:rPr>
        <w:t xml:space="preserve">Podľa údajov poskytnutých odvetvím bolo v Španielsku v roku 2014 umiestnených na trh približne 62 560 ton plastových tašiek s hrúbkou steny menšou ako 50 mikrónov (6230 miliónov kusov), z čoho 23 % boli plastové tašky s menej ako 15 mikrónmi a približne 4 670 ton plastových tašiek s viac ako 50 mikrónmi (158 miliónov kusov). Z tohto dôvodu je potrebné pokračovať v podporovaní týchto zmien v spotrebiteľských návykoch týkajúcich sa plastových tašiek, najmä v odvetviach, ako sú malé podniky, a upraviť španielsky právny rámec v súlade s novou európskou smernicou o používaní plastových tašiek.</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III</w:t>
      </w:r>
    </w:p>
    <w:p w:rsidR="001B208E" w:rsidRDefault="001B208E" w:rsidP="007D7D7B">
      <w:pPr>
        <w:pStyle w:val="Default"/>
        <w:widowControl/>
        <w:spacing w:before="120" w:after="120"/>
        <w:ind w:firstLine="720"/>
        <w:rPr>
          <w:sz w:val="20"/>
          <w:szCs w:val="20"/>
        </w:rPr>
      </w:pPr>
      <w:r>
        <w:rPr>
          <w:sz w:val="20"/>
        </w:rPr>
        <w:t xml:space="preserve">Spomedzi možností, ktoré smernica uvádza v prípade ľahkých plastových tašiek, sa za najvhodnejšie považujú nasledovné.</w:t>
      </w:r>
      <w:r>
        <w:rPr>
          <w:sz w:val="20"/>
        </w:rPr>
        <w:t xml:space="preserve"> </w:t>
      </w:r>
      <w:r>
        <w:rPr>
          <w:sz w:val="20"/>
        </w:rPr>
        <w:t xml:space="preserve">Po prvé, od 1. júla 2018 bude zakázané bezplatne poskytovať takéto tašky zákazníkom v miestach predaja.</w:t>
      </w:r>
      <w:r>
        <w:rPr>
          <w:sz w:val="20"/>
        </w:rPr>
        <w:t xml:space="preserve"> </w:t>
      </w:r>
      <w:r>
        <w:rPr>
          <w:sz w:val="20"/>
        </w:rPr>
        <w:t xml:space="preserve">Inými slovami, od tohto dátumu budú dodávatelia musieť účtovať poplatok za každú ľahkú plastovú tašku, ktorú dajú zákazníkom.</w:t>
      </w:r>
      <w:r>
        <w:rPr>
          <w:sz w:val="20"/>
        </w:rPr>
        <w:t xml:space="preserve"> </w:t>
      </w:r>
      <w:r>
        <w:rPr>
          <w:sz w:val="20"/>
        </w:rPr>
        <w:t xml:space="preserve">Z tohto opatrenia sú vyňaté veľmi ľahké plastové tašky, t.j. plastové vrecká s hrúbkou steny menšou ako 15 mikrónov, ktoré sú nevyhnutné z hygienických dôvodov alebo ktoré sú primárnym obalom pre voľne uložené potraviny.</w:t>
      </w:r>
      <w:r>
        <w:rPr>
          <w:sz w:val="20"/>
        </w:rPr>
        <w:t xml:space="preserve"> </w:t>
      </w:r>
      <w:r>
        <w:rPr>
          <w:sz w:val="20"/>
        </w:rPr>
        <w:t xml:space="preserve">Po druhé, od 1. januára 2021 sa zákazníkom v miestach predaja nesmú poskytovať kompostovateľné ľahké a veľmi ľahké plastové tašky, či už bezplatne alebo za poplatok.</w:t>
      </w:r>
      <w:r>
        <w:rPr>
          <w:sz w:val="20"/>
        </w:rPr>
        <w:t xml:space="preserve"> </w:t>
      </w:r>
      <w:r>
        <w:rPr>
          <w:sz w:val="20"/>
        </w:rPr>
        <w:t xml:space="preserve">Cieľom tejto lehoty je zosúladiť povinnosť, aby všetky ľahké a veľmi ľahké plastové tašky boli kompostovateľné s úplným zavedením osobitných zbierok biologického odpadu, ktoré sú potrebné na splnenie cieľov EÚ týkajúcich sa spracovania komunálneho odpadu na opätovné použitie a recykláciu. ktoré sú uvedené v zákone 22/2011 z 28. júla 2011 a v nových smerniciach EÚ o odpadoch.</w:t>
      </w:r>
      <w:r>
        <w:rPr>
          <w:sz w:val="20"/>
        </w:rPr>
        <w:t xml:space="preserve"> </w:t>
      </w:r>
      <w:r>
        <w:rPr>
          <w:sz w:val="20"/>
        </w:rPr>
        <w:t xml:space="preserve">Výsledkom je, že s kompostovateľnými taškami, ktoré sa najlepšie spracujú pomocou biologických procesov, sa nakladá spolu s biologickým odpadom, ktorý sa nachádza v komunálnom odpade.</w:t>
      </w:r>
      <w:r>
        <w:rPr>
          <w:sz w:val="20"/>
        </w:rPr>
        <w:t xml:space="preserve"> </w:t>
      </w:r>
      <w:r>
        <w:rPr>
          <w:sz w:val="20"/>
        </w:rPr>
        <w:t xml:space="preserve">Týmto spôsobom sa zabráni zmiešaniu takéhoto odpadu s inými odpadovými tokmi, ako sú plastové obaly, ktoré by znemožnilo mechanickú recykláciu nekompostovateľných plastov.</w:t>
      </w:r>
    </w:p>
    <w:p w:rsidR="001B208E" w:rsidRDefault="001B208E" w:rsidP="007D7D7B">
      <w:pPr>
        <w:pStyle w:val="Default"/>
        <w:widowControl/>
        <w:spacing w:before="120" w:after="120"/>
        <w:ind w:firstLine="720"/>
        <w:rPr>
          <w:sz w:val="20"/>
          <w:szCs w:val="20"/>
        </w:rPr>
      </w:pPr>
      <w:r>
        <w:rPr>
          <w:sz w:val="20"/>
        </w:rPr>
        <w:t xml:space="preserve">Treba mať na pamäti, že cieľom smernice Európskeho parlamentu a Rady (EÚ) 2015/720 z 29. apríla 2015, a teda aj tohto kráľovského dekrétu, je znížiť spotrebu ľahkých plastových nosičov.</w:t>
      </w:r>
      <w:r>
        <w:rPr>
          <w:sz w:val="20"/>
        </w:rPr>
        <w:t xml:space="preserve"> </w:t>
      </w:r>
      <w:r>
        <w:rPr>
          <w:sz w:val="20"/>
        </w:rPr>
        <w:t xml:space="preserve">Použitie kompostovateľných plastových tašiek je jednou z možností, no existujú aj iné.</w:t>
      </w:r>
      <w:r>
        <w:rPr>
          <w:sz w:val="20"/>
        </w:rPr>
        <w:t xml:space="preserve"> </w:t>
      </w:r>
      <w:r>
        <w:rPr>
          <w:sz w:val="20"/>
        </w:rPr>
        <w:t xml:space="preserve">Dodávatelia nebudú nútení nahradiť nekompostovateľné plastové tašky kompostovateľnými - môžu tiež použiť akékoľvek iné riešenie za predpokladu, že nimi zvolená možnosť nebude mať za následok zvýšenie množstva odpadu z obalov.</w:t>
      </w:r>
    </w:p>
    <w:p w:rsidR="001B208E" w:rsidRDefault="001B208E" w:rsidP="007D7D7B">
      <w:pPr>
        <w:pStyle w:val="Default"/>
        <w:widowControl/>
        <w:spacing w:before="120" w:after="120"/>
        <w:ind w:firstLine="720"/>
        <w:rPr>
          <w:sz w:val="20"/>
          <w:szCs w:val="20"/>
        </w:rPr>
      </w:pPr>
      <w:r>
        <w:rPr>
          <w:sz w:val="20"/>
        </w:rPr>
        <w:t xml:space="preserve">V posledných rokoch sa na trh dostali plastové tašky označené ako „oxobiodegradovateľné“ alebo „oxodegradovateľné“.</w:t>
      </w:r>
      <w:r>
        <w:rPr>
          <w:sz w:val="20"/>
        </w:rPr>
        <w:t xml:space="preserve"> </w:t>
      </w:r>
      <w:r>
        <w:rPr>
          <w:sz w:val="20"/>
        </w:rPr>
        <w:t xml:space="preserve">Tieto plastové tašky obsahujú okrem bežných plastov aj prídavné látky, ktoré časom rozložia plast na malé častice, ktoré zostávajú v životnom prostredí.</w:t>
      </w:r>
      <w:r>
        <w:rPr>
          <w:sz w:val="20"/>
        </w:rPr>
        <w:t xml:space="preserve"> </w:t>
      </w:r>
      <w:r>
        <w:rPr>
          <w:sz w:val="20"/>
        </w:rPr>
        <w:t xml:space="preserve">Mohlo by byť zavádzajúce označiť tieto plastové tašky ako „biodegradovateľné“, keďže nepredstavujú riešenie problémov znečisťovania súvisiacich s ich zneškodňovaním, ale skôr ich ešte zhoršujú.</w:t>
      </w:r>
      <w:r>
        <w:rPr>
          <w:sz w:val="20"/>
        </w:rPr>
        <w:t xml:space="preserve"> </w:t>
      </w:r>
      <w:r>
        <w:rPr>
          <w:sz w:val="20"/>
        </w:rPr>
        <w:t xml:space="preserve">Keďže plastové tašky vyrobené z fotofragmentovateľných, termofragmentovateľných a hydrofragmentovateľných plastov vykazujú správanie podobné tým, ktoré sa vyrábajú z oxodegradovateľných plastov, termín „fragmentovateľná“ plastová taška sa ukázal ako užitočný.</w:t>
      </w:r>
      <w:r>
        <w:rPr>
          <w:sz w:val="20"/>
        </w:rPr>
        <w:t xml:space="preserve"> </w:t>
      </w:r>
      <w:r>
        <w:rPr>
          <w:sz w:val="20"/>
        </w:rPr>
        <w:t xml:space="preserve">S cieľom zabrániť poškodeniu pôdy, vody a organizmov v dôsledku pretrvávania plastov v životnom prostredí, najmä tých, ktoré majú malú veľkosť, sa takisto rozhodlo o zákaze poskytovania fragmentovateľných plastových tašiek z 1. januára 2020, t.j. plastových tašiek vyrobených z plastových materiálov, ktoré zahŕňajú prídavné látky na katalyzáciu fragmentácie plastového materiálu na mikročastice.</w:t>
      </w:r>
    </w:p>
    <w:p w:rsidR="00694AFB" w:rsidRDefault="001B208E" w:rsidP="007D7D7B">
      <w:pPr>
        <w:pStyle w:val="Default"/>
        <w:widowControl/>
        <w:spacing w:before="120" w:after="120"/>
        <w:ind w:firstLine="720"/>
        <w:rPr>
          <w:sz w:val="20"/>
          <w:szCs w:val="20"/>
        </w:rPr>
      </w:pPr>
      <w:r>
        <w:rPr>
          <w:sz w:val="20"/>
        </w:rPr>
        <w:t xml:space="preserve">Vzhľadom na to, že smernica Európskeho parlamentu a Rady (EÚ) 2015/720 z 29. apríla 2015 ponúka členským štátom možnosť prijať opatrenia na zníženie spotreby akéhokoľvek typu plastových tašiek, bez ohľadu na hrúbku steny, považuje sa za vhodné, aby prijali opatrenia pre tašky s hrúbkou steny väčšou alebo rovnou 50 mikrónov.</w:t>
      </w:r>
      <w:r>
        <w:rPr>
          <w:sz w:val="20"/>
        </w:rPr>
        <w:t xml:space="preserve"> </w:t>
      </w:r>
      <w:r>
        <w:rPr>
          <w:sz w:val="20"/>
        </w:rPr>
        <w:t xml:space="preserve">Po prvé, za každú takúto tašku bude od 1. júla 2018 potrebné uhradiť poplatok, s výnimkou tých, ktoré sú vyrobené z najmenej 70% recyklovaného plastu.</w:t>
      </w:r>
      <w:r>
        <w:rPr>
          <w:sz w:val="20"/>
        </w:rPr>
        <w:t xml:space="preserve"> </w:t>
      </w:r>
      <w:r>
        <w:rPr>
          <w:sz w:val="20"/>
        </w:rPr>
        <w:t xml:space="preserve">Po druhé, aby sa vykonal posun smerom ku kruhovému hospodárstvu a podporilo sa opätovné využívanie recyklovaného odpadu pri výrobe nových výrobkov, od 1. januára 2020 musia tieto tašky obsahovať minimálne 50 % recyklovaného plastu a na tieto tašky sa navrhne nižšia orientačná cena tašky.</w:t>
      </w:r>
      <w:r>
        <w:rPr>
          <w:sz w:val="20"/>
        </w:rPr>
        <w:t xml:space="preserve"> </w:t>
      </w:r>
      <w:r>
        <w:rPr>
          <w:sz w:val="20"/>
        </w:rPr>
        <w:t xml:space="preserve">Aby bolo možné monitorovať a kontrolovať oslobodenie od poplatku tašiek obsahujúcich viac ako 70 % recyklovaného plastu, predajcovia musia mať k dispozícii potrebnú dokumentáciu, ktorá toto percento potvrdzuje.</w:t>
      </w:r>
    </w:p>
    <w:p w:rsidR="001B208E" w:rsidRDefault="001B208E" w:rsidP="007D7D7B">
      <w:pPr>
        <w:pStyle w:val="Default"/>
        <w:widowControl/>
        <w:spacing w:before="120" w:after="120"/>
        <w:ind w:firstLine="720"/>
        <w:rPr>
          <w:sz w:val="20"/>
          <w:szCs w:val="20"/>
        </w:rPr>
      </w:pPr>
      <w:r>
        <w:rPr>
          <w:sz w:val="20"/>
        </w:rPr>
        <w:t xml:space="preserve">Nakoniec je potrebné zdôrazniť, že všetky tieto opatrenia sa budú vzťahovať aj na tašky určené na online nákupy a domáce dodávky.</w:t>
      </w:r>
      <w:r>
        <w:rPr>
          <w:sz w:val="20"/>
        </w:rPr>
        <w:t xml:space="preserve"> </w:t>
      </w:r>
      <w:r>
        <w:rPr>
          <w:sz w:val="20"/>
        </w:rPr>
        <w:t xml:space="preserve">To sa nevzťahuje na plastové obaly používané na diaľkový predaj, hoci sa tieto budú považovať za obaly, ak budú spĺňať definíciu obalov stanovenú v zákone 11/1997 z 24. apríla 1997.</w:t>
      </w:r>
    </w:p>
    <w:p w:rsidR="001B208E" w:rsidRDefault="001B208E" w:rsidP="007D7D7B">
      <w:pPr>
        <w:pStyle w:val="Default"/>
        <w:widowControl/>
        <w:spacing w:before="120" w:after="120"/>
        <w:ind w:firstLine="720"/>
        <w:rPr>
          <w:sz w:val="20"/>
          <w:szCs w:val="20"/>
        </w:rPr>
      </w:pPr>
      <w:r>
        <w:rPr>
          <w:sz w:val="20"/>
        </w:rPr>
        <w:t xml:space="preserve">S cieľom vzdelávať a zvyšovať povedomie širokej verejnosti o opatreniach prijatých v tomto kráľovskom dekréte a o vplyve nadmernej spotreby ľahkých plastových tašiek a ich zneškodňovania na životné prostredie a podporovať uplatňovanie zásady hierarchie odpadu Ministerstvo poľnohospodárstva, rybolovu, potravinárstva a životného prostredia a príslušné orgány v autonómnych oblastiach uskutočnia kampane na zvyšovanie povedomia v prvom roku po nadobudnutí účinnosti tohto kráľovského dekrétu.</w:t>
      </w:r>
      <w:r>
        <w:rPr>
          <w:sz w:val="20"/>
        </w:rPr>
        <w:t xml:space="preserve"> </w:t>
      </w:r>
      <w:r>
        <w:rPr>
          <w:sz w:val="20"/>
        </w:rPr>
        <w:t xml:space="preserve">Okrem toho tieto kampane informujú verejnosť o tom, ktoré nádoby by mali používať na likvidáciu kompostovateľných a nekompostovateľných plastových tašiek.</w:t>
      </w:r>
      <w:r>
        <w:rPr>
          <w:sz w:val="20"/>
        </w:rPr>
        <w:t xml:space="preserve"> </w:t>
      </w:r>
      <w:r>
        <w:rPr>
          <w:sz w:val="20"/>
        </w:rPr>
        <w:t xml:space="preserve">V tomto zmysle môžu miestne komunity a súkromný sektor takisto organizovať kampane na zvyšovanie povedomia.</w:t>
      </w:r>
      <w:r>
        <w:rPr>
          <w:sz w:val="20"/>
        </w:rPr>
        <w:t xml:space="preserve"> </w:t>
      </w:r>
      <w:r>
        <w:rPr>
          <w:sz w:val="20"/>
        </w:rPr>
        <w:t xml:space="preserve">Vzhľadom na to, že plastové tašky sú obalmi, kampane uskutočňované vládou môžu byť financované prostredníctvom kolektívnych systémov rozšírenej zodpovednosti (predtým známych ako integrované systémy riadenia) v rámci dohôd o financovaní medzi týmito systémami a autonómnymi oblasťami, prípadne miestnymi komunitami.</w:t>
      </w:r>
    </w:p>
    <w:p w:rsidR="001B208E" w:rsidRDefault="001B208E" w:rsidP="007D7D7B">
      <w:pPr>
        <w:pStyle w:val="Default"/>
        <w:widowControl/>
        <w:spacing w:before="120" w:after="120"/>
        <w:ind w:firstLine="720"/>
        <w:rPr>
          <w:sz w:val="20"/>
          <w:szCs w:val="20"/>
        </w:rPr>
      </w:pPr>
      <w:r>
        <w:rPr>
          <w:sz w:val="20"/>
        </w:rPr>
        <w:t xml:space="preserve">V ustanoveniach európskeho práva sa zavádza povinnosť označovania kompostovateľných plastových tašiek v lehote 18 mesiacov odo dňa, keď Európska komisia prijme zákon ustanovujúci špecifikácie štítkov alebo značiek s cieľom zabezpečiť uznanie týchto plastových tašiek v celej Európskej únii a poskytovať spotrebiteľom správne informácie o vlastnostiach týchto tašiek.</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IV</w:t>
      </w:r>
    </w:p>
    <w:p w:rsidR="001B208E" w:rsidRDefault="001B208E" w:rsidP="007D7D7B">
      <w:pPr>
        <w:pStyle w:val="Default"/>
        <w:widowControl/>
        <w:spacing w:before="120" w:after="120"/>
        <w:ind w:firstLine="720"/>
        <w:rPr>
          <w:sz w:val="20"/>
          <w:szCs w:val="20"/>
        </w:rPr>
      </w:pPr>
      <w:r>
        <w:rPr>
          <w:sz w:val="20"/>
        </w:rPr>
        <w:t xml:space="preserve">V zákone č. 22/2011 z 28. júla 2011 sa podporuje vykonávanie opatrení na zníženie, opätovné použitie a recykláciu odpadu v súlade s ustanoveniami smernice Európskeho parlamentu a Rady 2008/98/ES z 19. novembra 2008 o odpade a o zrušení určitých smerníc (Rámcová smernica o odpadoch).</w:t>
      </w:r>
      <w:r>
        <w:rPr>
          <w:sz w:val="20"/>
        </w:rPr>
        <w:t xml:space="preserve"> </w:t>
      </w:r>
      <w:r>
        <w:rPr>
          <w:sz w:val="20"/>
        </w:rPr>
        <w:t xml:space="preserve">Pre plánovacie nástroje sa v zákone ustanovujú plány a programy nakladania s odpadom a programy na zníženie odpadu a stanovujú sa ciele na znižovanie odpadu a separovaný zber.</w:t>
      </w:r>
      <w:r>
        <w:rPr>
          <w:sz w:val="20"/>
        </w:rPr>
        <w:t xml:space="preserve"> </w:t>
      </w:r>
      <w:r>
        <w:rPr>
          <w:sz w:val="20"/>
        </w:rPr>
        <w:t xml:space="preserve">Tieto ciele znižovania a separovaného zberu sú prepojené s faktormi, ako sú dostupné informácie o množstve a druhu výrobkov uvádzaných na trh, ktoré sa po použití stávajú odpadom.</w:t>
      </w:r>
    </w:p>
    <w:p w:rsidR="001B208E" w:rsidRDefault="001B208E" w:rsidP="007D7D7B">
      <w:pPr>
        <w:pStyle w:val="Default"/>
        <w:widowControl/>
        <w:spacing w:before="120" w:after="120"/>
        <w:ind w:firstLine="720"/>
        <w:rPr>
          <w:sz w:val="20"/>
          <w:szCs w:val="20"/>
        </w:rPr>
      </w:pPr>
      <w:r>
        <w:rPr>
          <w:sz w:val="20"/>
        </w:rPr>
        <w:t xml:space="preserve">Vzhľadom na rastúcu naliehavosť pokračovať v znižovaní produkcie určitých druhov odpadu, zlepšovaní metódy zberu, zvyšovaní miery recyklácie a prípadne prijať finančné opatrenia vyžadujú orgány životného prostredia veľké množstvo informácií o množstve a typoch výrobkov uvedených na trh, ktoré sa po ich použití stali odpadom.</w:t>
      </w:r>
    </w:p>
    <w:p w:rsidR="00694AFB" w:rsidRDefault="001B208E" w:rsidP="007D7D7B">
      <w:pPr>
        <w:pStyle w:val="Default"/>
        <w:widowControl/>
        <w:spacing w:before="120" w:after="120"/>
        <w:ind w:firstLine="720"/>
        <w:rPr>
          <w:sz w:val="20"/>
          <w:szCs w:val="20"/>
        </w:rPr>
      </w:pPr>
      <w:r>
        <w:rPr>
          <w:sz w:val="20"/>
        </w:rPr>
        <w:t xml:space="preserve">Povinnosť zhromažďovať informácie o množstve výrobkov uvádzaných na trh, ktoré tvoria určitý druh odpadu, sa stanovuje vo forme registrov v mnohých európskych smerniciach o nakladaní s odpadom, najmä v nariadeniach, ktoré uplatňujú zásadu rozšírenej zodpovednosti výrobcu.</w:t>
      </w:r>
      <w:r>
        <w:rPr>
          <w:sz w:val="20"/>
        </w:rPr>
        <w:t xml:space="preserve"> </w:t>
      </w:r>
      <w:r>
        <w:rPr>
          <w:sz w:val="20"/>
        </w:rPr>
        <w:t xml:space="preserve">V takýchto prípadoch musí byť hospodársky príspevok každého výrobcu k financovaniu nakladania s odpadom úmerný množstvu a typu výrobkov, ktoré každý výrobca umiestňuje na trh.</w:t>
      </w:r>
    </w:p>
    <w:p w:rsidR="001B208E" w:rsidRDefault="001B208E" w:rsidP="007D7D7B">
      <w:pPr>
        <w:pStyle w:val="Default"/>
        <w:widowControl/>
        <w:spacing w:before="120" w:after="120"/>
        <w:ind w:firstLine="720"/>
        <w:rPr>
          <w:sz w:val="20"/>
          <w:szCs w:val="20"/>
        </w:rPr>
      </w:pPr>
      <w:r>
        <w:rPr>
          <w:sz w:val="20"/>
        </w:rPr>
        <w:t xml:space="preserve">Prístup k informáciám o umiestňovaní druhov obalov na trh, ako sú plastové tašky, je nevyhnutný s cieľom posúdiť súlad s európskymi cieľmi v oblasti znižovania spotreby, ako aj splniť výročné ohlasovacie povinnosti voči Európskej komisii.</w:t>
      </w:r>
      <w:r>
        <w:rPr>
          <w:sz w:val="20"/>
        </w:rPr>
        <w:t xml:space="preserve"> </w:t>
      </w:r>
      <w:r>
        <w:rPr>
          <w:sz w:val="20"/>
        </w:rPr>
        <w:t xml:space="preserve">Z týchto dôvodov je potrebné od výrobcov vyžadovať, aby každoročne predkladali informácie o umiestnení plastových tašiek na trh.</w:t>
      </w:r>
      <w:r>
        <w:rPr>
          <w:sz w:val="20"/>
        </w:rPr>
        <w:t xml:space="preserve"> </w:t>
      </w:r>
      <w:r>
        <w:rPr>
          <w:sz w:val="20"/>
        </w:rPr>
        <w:t xml:space="preserve">To podnietilo vytvorenie Registra výrobcov výrobkov.</w:t>
      </w:r>
      <w:r>
        <w:rPr>
          <w:sz w:val="20"/>
        </w:rPr>
        <w:t xml:space="preserve"> </w:t>
      </w:r>
      <w:r>
        <w:rPr>
          <w:sz w:val="20"/>
        </w:rPr>
        <w:t xml:space="preserve">Register bude mať správny deklaratívny charakter a bude zodpovednosťou generálneho riaditeľstva pre kvalitu a hodnotenie životného prostredia a prírodné prostredie v rámci ministerstva poľnohospodárstva, rybolovu, potravinárstva a životného prostredia.</w:t>
      </w:r>
    </w:p>
    <w:p w:rsidR="001B208E" w:rsidRDefault="001B208E" w:rsidP="007D7D7B">
      <w:pPr>
        <w:pStyle w:val="Default"/>
        <w:widowControl/>
        <w:spacing w:before="120" w:after="120"/>
        <w:ind w:firstLine="720"/>
        <w:rPr>
          <w:sz w:val="20"/>
          <w:szCs w:val="20"/>
        </w:rPr>
      </w:pPr>
      <w:r>
        <w:rPr>
          <w:sz w:val="20"/>
        </w:rPr>
        <w:t xml:space="preserve">V rámci Registra výrobcov výrobkov sa vytvorí oddiel pre výrobcov plastových tašiek, pričom nové sekcie registra sa môžu vytvoriť prostredníctvom iných nariadení, ktorými sa upravujú osobitné toky odpadov.</w:t>
      </w:r>
    </w:p>
    <w:p w:rsidR="001B208E" w:rsidRDefault="001B208E" w:rsidP="007D7D7B">
      <w:pPr>
        <w:pStyle w:val="Default"/>
        <w:widowControl/>
        <w:spacing w:before="120" w:after="120"/>
        <w:ind w:firstLine="720"/>
        <w:rPr>
          <w:sz w:val="20"/>
          <w:szCs w:val="20"/>
        </w:rPr>
      </w:pPr>
      <w:r>
        <w:rPr>
          <w:sz w:val="20"/>
        </w:rPr>
        <w:t xml:space="preserve">Tento kráľovský dekrét stanovuje povinnosť výrobcov a dovozcov plastových tašiek zaregistrovať sa v časti plastové tašky v rámci Registra výrobcov výrobkov v lehote do troch mesiacov od nadobudnutia účinnosti tohto kráľovského dekrétu, ako aj povinnosť výrobcov a dovozcov plastových tašiek poskytovať informácie o umiestnení plastových tašiek na trhu s cieľom splniť ročné ohlasovacie povinnosti voči Európskej komisii o ročnej spotrebe plastových tašiek.</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V</w:t>
      </w:r>
    </w:p>
    <w:p w:rsidR="001B208E" w:rsidRDefault="001B208E" w:rsidP="007D7D7B">
      <w:pPr>
        <w:pStyle w:val="Default"/>
        <w:widowControl/>
        <w:spacing w:before="120" w:after="120"/>
        <w:ind w:firstLine="720"/>
        <w:rPr>
          <w:sz w:val="20"/>
          <w:szCs w:val="20"/>
        </w:rPr>
      </w:pPr>
      <w:r>
        <w:rPr>
          <w:sz w:val="20"/>
        </w:rPr>
        <w:t xml:space="preserve">Tento kráľovský dekrét sa prijíma podľa článku 149 ods. 1 body 13 a 23 španielskej ústavy, ktorým sa štátu udeľuje výlučná právomoc nad základnými pravidlami a koordináciou všeobecného hospodárskeho plánovania a právnymi predpismi o ochrane životného prostredia.</w:t>
      </w:r>
      <w:r>
        <w:rPr>
          <w:sz w:val="20"/>
        </w:rPr>
        <w:t xml:space="preserve"> </w:t>
      </w:r>
      <w:r>
        <w:rPr>
          <w:sz w:val="20"/>
        </w:rPr>
        <w:t xml:space="preserve">Právomoc prijímať túto regulačnú zmenu sa udeľuje podľa tretieho záverečného ustanovenia zákona č. 22/2011 z 28. júla 2011, ktorý oprávňuje národnú vládu rozhodnúť v rámci svojich právomocí o regulačných ustanoveniach potrebných na vykonávanie a uplatňovanie tohto zákona, a najmä prijať normy pre rozličné druhy odpadu a stanoviť osobitné ustanovenia o ich výrobe a nakladaní s nimi, ako aj v ôsmom doplňujúcom ustanovení tohto zákona, v ktorom sa ustanovuje zmena ustanovení vykonávacieho zákona o odpadoch.</w:t>
      </w:r>
    </w:p>
    <w:p w:rsidR="001B208E" w:rsidRDefault="001B208E" w:rsidP="007D7D7B">
      <w:pPr>
        <w:pStyle w:val="Default"/>
        <w:widowControl/>
        <w:spacing w:before="120" w:after="120"/>
        <w:ind w:firstLine="720"/>
        <w:rPr>
          <w:sz w:val="20"/>
          <w:szCs w:val="20"/>
        </w:rPr>
      </w:pPr>
      <w:r>
        <w:rPr>
          <w:sz w:val="20"/>
        </w:rPr>
        <w:t xml:space="preserve">Povaha opatrení prijatých v tomto kráľovskom dekréte takisto vychádza z ustanovení článku 16 ods. 1 zákona č. 22/2011 z 28. júla 2011, v ktorom sa uvádza, že príslušné orgány môžu prijať hospodárske, finančné a daňové opatrenia na podporu znižovania produkcie odpadov, zavádzanie separovaného zberu, zlepšovanie nakladania s odpadmi, podporu a posilňovanie trhy v oblasti recyklácie a zabezpečenie, aby sektor odpadového hospodárstva prispieval k znižovaniu emisií skleníkových plynov.</w:t>
      </w:r>
    </w:p>
    <w:p w:rsidR="001B208E" w:rsidRDefault="001B208E" w:rsidP="007D7D7B">
      <w:pPr>
        <w:pStyle w:val="Default"/>
        <w:widowControl/>
        <w:spacing w:before="120" w:after="120"/>
        <w:ind w:firstLine="720"/>
        <w:rPr>
          <w:sz w:val="20"/>
          <w:szCs w:val="20"/>
        </w:rPr>
      </w:pPr>
      <w:r>
        <w:rPr>
          <w:sz w:val="20"/>
        </w:rPr>
        <w:t xml:space="preserve">Pred vypracovaním znenia tohto kráľovského dekrétu sa viedla predbežná verejná konzultácia podľa článku 133 zákona č. 39/2015 z 1. októbra 2015 o riadnom správnom konaní verejných orgánov so zreteľom na článok 26 ods. 2 zákona o štátnej správe 50/1997 z 27. novembra 1997 prostredníctvom webového portálu Ministerstva poľnohospodárstva, rybolovu, potravinárstva a životného prostredia.</w:t>
      </w:r>
    </w:p>
    <w:p w:rsidR="00694AFB" w:rsidRDefault="001B208E" w:rsidP="007D7D7B">
      <w:pPr>
        <w:pStyle w:val="Default"/>
        <w:widowControl/>
        <w:spacing w:before="120" w:after="120"/>
        <w:ind w:firstLine="720"/>
        <w:rPr>
          <w:sz w:val="20"/>
          <w:szCs w:val="20"/>
        </w:rPr>
      </w:pPr>
      <w:r>
        <w:rPr>
          <w:sz w:val="20"/>
        </w:rPr>
        <w:t xml:space="preserve">Pri príprave tohto kráľovského dekrétu sa uskutočnili konzultácie s hospodárskymi a sociálnymi partnermi, autonómnymi oblasťami a autonómnymi mestami Ceuta a Melilla, ako aj s miestnymi komunitami a najreprezentatívnejšími odvetviami, ktoré môže tento dekrét potenciálne ovplyvniť.</w:t>
      </w:r>
      <w:r>
        <w:rPr>
          <w:sz w:val="20"/>
        </w:rPr>
        <w:t xml:space="preserve"> </w:t>
      </w:r>
      <w:r>
        <w:rPr>
          <w:sz w:val="20"/>
        </w:rPr>
        <w:t xml:space="preserve">Okrem toho návrh predložený na konzultáciu Národnej rade pre životné prostredie a na postup účasti verejnosti v súlade s ustanoveniami zákona 27/2006 z 18. júla 2006 upravujúceho práva na prístup k informáciám, účasť verejnosti a prístup k spravodlivosti v záležitostiach životného prostredia (transpozícia smerníc 2003/4/ES a 2003/35/ES) a ustanoveniami vládneho zákona 50/1997 z 27. novembra 1997.</w:t>
      </w:r>
    </w:p>
    <w:p w:rsidR="001B208E" w:rsidRDefault="001B208E" w:rsidP="007D7D7B">
      <w:pPr>
        <w:pStyle w:val="Default"/>
        <w:widowControl/>
        <w:spacing w:before="120" w:after="120"/>
        <w:ind w:firstLine="720"/>
        <w:rPr>
          <w:sz w:val="20"/>
          <w:szCs w:val="20"/>
        </w:rPr>
      </w:pPr>
      <w:r>
        <w:rPr>
          <w:sz w:val="20"/>
        </w:rPr>
        <w:t xml:space="preserve">Tento kráľovský dekrét sa podobne vopred oznámil Európskej komisii podľa článku 16 smernice Európskeho parlamentu a Rady 94/62/ES z 20. decembra 1994 o obaloch a odpadoch z obalov prostredníctvom postupu ustanoveného v smernici Európskeho parlamentu a Rady (EÚ) 2015/1535 z 9. septembra 2015, ktorou sa stanovuje postup pri poskytovaní informácií v oblasti technických predpisov a pravidiel vzťahujúcich sa na služby informačnej spoločnosti, a kráľovského dekrétu 1337/1999 z 31. júla 1999 o poskytovaní informácií v oblasti technických predpisov a pravidiel o službách informačnej spoločnosti.</w:t>
      </w:r>
    </w:p>
    <w:p w:rsidR="001B208E" w:rsidRDefault="001B208E" w:rsidP="007D7D7B">
      <w:pPr>
        <w:pStyle w:val="Default"/>
        <w:widowControl/>
        <w:spacing w:before="120" w:after="120"/>
        <w:ind w:firstLine="720"/>
        <w:rPr>
          <w:sz w:val="20"/>
          <w:szCs w:val="20"/>
        </w:rPr>
      </w:pPr>
      <w:r>
        <w:rPr>
          <w:sz w:val="20"/>
        </w:rPr>
        <w:t xml:space="preserve">Vzhľadom na vyššie uvedené okolnosti bol tento kráľovský dekrét vydaný v súlade so zásadami potreby, účinnosti, proporcionality, právnej istoty, transparentnosti a efektívnosti podľa ustanovení článku 129 zákona č. 39/2015 z 1. októbra 2015.</w:t>
      </w:r>
    </w:p>
    <w:p w:rsidR="001B208E" w:rsidRDefault="001B208E" w:rsidP="007D7D7B">
      <w:pPr>
        <w:pStyle w:val="Default"/>
        <w:widowControl/>
        <w:spacing w:before="120" w:after="120"/>
        <w:ind w:firstLine="720"/>
        <w:rPr>
          <w:sz w:val="20"/>
          <w:szCs w:val="20"/>
        </w:rPr>
      </w:pPr>
      <w:r>
        <w:rPr>
          <w:sz w:val="20"/>
        </w:rPr>
        <w:t xml:space="preserve">Tento kráľovský dekrét je okrem toho súčasťou oficiálnej ročnej politickej agendy 2018 v súlade s článkom 25 zákona 50/1997 z 27. novembra 1997.</w:t>
      </w:r>
    </w:p>
    <w:p w:rsidR="001B208E" w:rsidRDefault="001B208E" w:rsidP="007D7D7B">
      <w:pPr>
        <w:pStyle w:val="Default"/>
        <w:widowControl/>
        <w:spacing w:before="120" w:after="120"/>
        <w:ind w:firstLine="720"/>
        <w:rPr>
          <w:sz w:val="20"/>
          <w:szCs w:val="20"/>
        </w:rPr>
      </w:pPr>
      <w:r>
        <w:rPr>
          <w:sz w:val="20"/>
        </w:rPr>
        <w:t xml:space="preserve">Na základe tohto na návrh ministra poľnohospodárstva, rybolovu, potravinárstva a životného prostredia a s predchádzajúcim súhlasom ministra financií a štátnej správy v súlade so Štátnou radou a následným rokovaním Rady ministrov na zasadnutí dňa 18. mája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TÝMTO NARIAĎUJEM:</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KAPITOLA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Všeobecné ustanovenia</w:t>
      </w:r>
    </w:p>
    <w:p w:rsidR="001B208E" w:rsidRDefault="001B208E" w:rsidP="007D7D7B">
      <w:pPr>
        <w:pStyle w:val="Default"/>
        <w:keepNext/>
        <w:keepLines/>
        <w:widowControl/>
        <w:spacing w:before="120" w:after="120"/>
        <w:ind w:firstLine="720"/>
        <w:rPr>
          <w:sz w:val="20"/>
          <w:szCs w:val="20"/>
        </w:rPr>
      </w:pPr>
      <w:r>
        <w:rPr>
          <w:sz w:val="20"/>
        </w:rPr>
        <w:t xml:space="preserve">Článok 1</w:t>
      </w:r>
      <w:r>
        <w:rPr>
          <w:sz w:val="20"/>
        </w:rPr>
        <w:t xml:space="preserve"> </w:t>
      </w:r>
      <w:r>
        <w:rPr>
          <w:sz w:val="20"/>
          <w:i/>
        </w:rPr>
        <w:t xml:space="preserve">Cieľ</w:t>
      </w:r>
    </w:p>
    <w:p w:rsidR="001B208E" w:rsidRDefault="001B208E" w:rsidP="007D7D7B">
      <w:pPr>
        <w:pStyle w:val="Default"/>
        <w:widowControl/>
        <w:spacing w:before="120" w:after="120"/>
        <w:ind w:firstLine="720"/>
        <w:rPr>
          <w:sz w:val="20"/>
          <w:szCs w:val="20"/>
        </w:rPr>
      </w:pPr>
      <w:r>
        <w:rPr>
          <w:sz w:val="20"/>
        </w:rPr>
        <w:t xml:space="preserve">1.</w:t>
      </w:r>
      <w:r>
        <w:rPr>
          <w:sz w:val="20"/>
        </w:rPr>
        <w:t xml:space="preserve"> </w:t>
      </w:r>
      <w:r>
        <w:rPr>
          <w:sz w:val="20"/>
        </w:rPr>
        <w:t xml:space="preserve">Cieľom tohto kráľovského dekrétu je prijať opatrenia na zníženie spotreby plastových tašiek s cieľom minimalizovať nepriaznivý vplyv odpadu z týchto plastových tašiek na životné prostredie s osobitnou pozornosťou na škody spôsobené vodným ekosystémom a na určité hospodárske činnosti, ako je rybolov a cestovný ruch.</w:t>
      </w:r>
      <w:r>
        <w:rPr>
          <w:sz w:val="20"/>
        </w:rPr>
        <w:t xml:space="preserve"> </w:t>
      </w:r>
      <w:r>
        <w:rPr>
          <w:sz w:val="20"/>
        </w:rPr>
        <w:t xml:space="preserve">Má sa ním takisto predchádzať strate materiálnych a hospodárskych zdrojov spojených s likvidáciou plastových tašiek a ich rozptýlením do životného prostredia.</w:t>
      </w:r>
    </w:p>
    <w:p w:rsidR="001B208E" w:rsidRDefault="001B208E" w:rsidP="007D7D7B">
      <w:pPr>
        <w:pStyle w:val="Default"/>
        <w:widowControl/>
        <w:spacing w:before="120" w:after="120"/>
        <w:ind w:firstLine="720"/>
        <w:rPr>
          <w:sz w:val="20"/>
          <w:szCs w:val="20"/>
        </w:rPr>
      </w:pPr>
      <w:r>
        <w:rPr>
          <w:sz w:val="20"/>
        </w:rPr>
        <w:t xml:space="preserve">2.</w:t>
      </w:r>
      <w:r>
        <w:rPr>
          <w:sz w:val="20"/>
        </w:rPr>
        <w:t xml:space="preserve"> </w:t>
      </w:r>
      <w:r>
        <w:rPr>
          <w:sz w:val="20"/>
        </w:rPr>
        <w:t xml:space="preserve">Ďalším cieľom tohto kráľovského dekrétu je vytvoriť Register výrobcov výrobkov.</w:t>
      </w:r>
      <w:r>
        <w:rPr>
          <w:sz w:val="20"/>
        </w:rPr>
        <w:t xml:space="preserve"> </w:t>
      </w:r>
      <w:r>
        <w:rPr>
          <w:sz w:val="20"/>
        </w:rPr>
        <w:t xml:space="preserve">Tento register bude mať správny a deklaratívny charakter a bude zodpovednosťou generálneho riaditeľstva pre kvalitu a hodnotenie životného prostredia a prírodné prostredie v rámci ministerstva poľnohospodárstva, rybolovu, potravinárstva a životného prostredia.</w:t>
      </w:r>
    </w:p>
    <w:p w:rsidR="001B208E" w:rsidRDefault="001B208E" w:rsidP="007D7D7B">
      <w:pPr>
        <w:pStyle w:val="Default"/>
        <w:keepNext/>
        <w:keepLines/>
        <w:widowControl/>
        <w:spacing w:before="120" w:after="120"/>
        <w:ind w:firstLine="720"/>
        <w:rPr>
          <w:sz w:val="20"/>
          <w:szCs w:val="20"/>
        </w:rPr>
      </w:pPr>
      <w:r>
        <w:rPr>
          <w:sz w:val="20"/>
        </w:rPr>
        <w:t xml:space="preserve">Článok 2</w:t>
      </w:r>
      <w:r>
        <w:rPr>
          <w:sz w:val="20"/>
          <w:i/>
        </w:rPr>
        <w:t xml:space="preserve"> </w:t>
      </w:r>
      <w:r>
        <w:rPr>
          <w:sz w:val="20"/>
          <w:i/>
        </w:rPr>
        <w:t xml:space="preserve">Rozsah pôsobnosti.</w:t>
      </w:r>
    </w:p>
    <w:p w:rsidR="001B208E" w:rsidRDefault="001B208E" w:rsidP="007D7D7B">
      <w:pPr>
        <w:pStyle w:val="Default"/>
        <w:widowControl/>
        <w:spacing w:before="120" w:after="120"/>
        <w:ind w:firstLine="720"/>
        <w:rPr>
          <w:sz w:val="20"/>
          <w:szCs w:val="20"/>
        </w:rPr>
      </w:pPr>
      <w:r>
        <w:rPr>
          <w:sz w:val="20"/>
        </w:rPr>
        <w:t xml:space="preserve">Tento kráľovský dekrét sa vzťahuje na všetky plastové tašky umiestňované na trh na vnútroštátnom území, ako aj na odpad vyprodukovanými týmito plastovými taškami.</w:t>
      </w:r>
    </w:p>
    <w:p w:rsidR="001B208E" w:rsidRDefault="001B208E" w:rsidP="007D7D7B">
      <w:pPr>
        <w:pStyle w:val="Default"/>
        <w:keepNext/>
        <w:keepLines/>
        <w:widowControl/>
        <w:spacing w:before="120" w:after="120"/>
        <w:ind w:firstLine="720"/>
        <w:rPr>
          <w:sz w:val="20"/>
          <w:szCs w:val="20"/>
        </w:rPr>
      </w:pPr>
      <w:r>
        <w:rPr>
          <w:sz w:val="20"/>
        </w:rPr>
        <w:t xml:space="preserve">Článok 3</w:t>
      </w:r>
      <w:r>
        <w:rPr>
          <w:sz w:val="20"/>
        </w:rPr>
        <w:t xml:space="preserve"> </w:t>
      </w:r>
      <w:r>
        <w:rPr>
          <w:sz w:val="20"/>
          <w:i/>
        </w:rPr>
        <w:t xml:space="preserve">Vymedzenie pojmov.</w:t>
      </w:r>
    </w:p>
    <w:p w:rsidR="001B208E" w:rsidRDefault="001B208E" w:rsidP="007D7D7B">
      <w:pPr>
        <w:pStyle w:val="Default"/>
        <w:widowControl/>
        <w:spacing w:before="120" w:after="120"/>
        <w:ind w:firstLine="720"/>
        <w:rPr>
          <w:sz w:val="20"/>
          <w:szCs w:val="20"/>
        </w:rPr>
      </w:pPr>
      <w:r>
        <w:rPr>
          <w:sz w:val="20"/>
        </w:rPr>
        <w:t xml:space="preserve">Okrem vymedzení uvedených v zákone 22/2011 z 28. júla 2011 o kontaminovaných pôdach a odpadoch, zákone 11/1997 z 24. apríla 1997 o obaloch a odpadoch z obalov a kráľovskom dekréte 782/1998 z 30. apríla 1998, ktorým sa prijíma vykonávací právny predpis zákona 11/1997 z 24. apríla 1997, majú na účely tohto kráľovského dekrétu nasledujúce výrazy nižšie uvedený význam:</w:t>
      </w:r>
    </w:p>
    <w:p w:rsidR="00694AFB" w:rsidRDefault="001B208E" w:rsidP="007D7D7B">
      <w:pPr>
        <w:pStyle w:val="Default"/>
        <w:widowControl/>
        <w:spacing w:before="120" w:after="120"/>
        <w:ind w:firstLine="720"/>
        <w:rPr>
          <w:sz w:val="20"/>
          <w:szCs w:val="20"/>
        </w:rPr>
      </w:pPr>
      <w:r>
        <w:rPr>
          <w:sz w:val="20"/>
        </w:rPr>
        <w:t xml:space="preserve">(a) „plast“: polymér v zmysle článku 3 ods. 5 nariadenia Európskeho parlamentu a Rady (ES) č. 1907/2006 z 18. decembra 2006, do ktorého možno pridať prídavné látky alebo iné látky a ktorý môže slúžiť ako hlavný štruktúrny prvok tašiek;</w:t>
      </w:r>
    </w:p>
    <w:p w:rsidR="001B208E" w:rsidRDefault="001B208E" w:rsidP="007D7D7B">
      <w:pPr>
        <w:pStyle w:val="Default"/>
        <w:widowControl/>
        <w:spacing w:before="120" w:after="120"/>
        <w:ind w:firstLine="720"/>
        <w:rPr>
          <w:sz w:val="20"/>
          <w:szCs w:val="20"/>
        </w:rPr>
      </w:pPr>
      <w:r>
        <w:rPr>
          <w:sz w:val="20"/>
        </w:rPr>
        <w:t xml:space="preserve">(b) „plastové tašky“: tašky s ušami alebo bez nich, vyrobené z plastu, ktoré sa poskytujú spotrebiteľom v mieste predaja tovaru alebo výrobkov, vrátane online nákupov a dodávok domov;</w:t>
      </w:r>
    </w:p>
    <w:p w:rsidR="001B208E" w:rsidRDefault="001B208E" w:rsidP="007D7D7B">
      <w:pPr>
        <w:pStyle w:val="Default"/>
        <w:widowControl/>
        <w:spacing w:before="120" w:after="120"/>
        <w:ind w:firstLine="720"/>
        <w:rPr>
          <w:sz w:val="20"/>
          <w:szCs w:val="20"/>
        </w:rPr>
      </w:pPr>
      <w:r>
        <w:rPr>
          <w:sz w:val="20"/>
        </w:rPr>
        <w:t xml:space="preserve">(c) „ľahké plastové tašky“: plastové tašky s hrúbkou steny menšou ako 50 mikrónov;</w:t>
      </w:r>
    </w:p>
    <w:p w:rsidR="001B208E" w:rsidRDefault="001B208E" w:rsidP="007D7D7B">
      <w:pPr>
        <w:pStyle w:val="Default"/>
        <w:widowControl/>
        <w:spacing w:before="120" w:after="120"/>
        <w:ind w:firstLine="720"/>
        <w:rPr>
          <w:sz w:val="20"/>
          <w:szCs w:val="20"/>
        </w:rPr>
      </w:pPr>
      <w:r>
        <w:rPr>
          <w:sz w:val="20"/>
        </w:rPr>
        <w:t xml:space="preserve">(d) „veľmi ľahké plastové tašky“: plastové tašky s hrúbkou steny menšou ako 15 mikrónov, ktoré sú potrebné na hygienické účely alebo ktoré sa poskytujú ako primárne obaly pre voľne uložené potraviny, ako sú ovocie, zelenina, mäso, ryby atď., ak ich použitie prispieva k zníženiu množstva potravinového odpadu;</w:t>
      </w:r>
    </w:p>
    <w:p w:rsidR="001B208E" w:rsidRDefault="001B208E" w:rsidP="007D7D7B">
      <w:pPr>
        <w:pStyle w:val="Default"/>
        <w:widowControl/>
        <w:spacing w:before="120" w:after="120"/>
        <w:ind w:firstLine="720"/>
        <w:rPr>
          <w:sz w:val="20"/>
          <w:szCs w:val="20"/>
        </w:rPr>
      </w:pPr>
      <w:r>
        <w:rPr>
          <w:sz w:val="20"/>
        </w:rPr>
        <w:t xml:space="preserve">(e) „fragmentovateľné plastové tašky“: plastové tašky vyrobené z plastových materiálov, ktoré obsahujú prídavné látky na katalyzáciu fragmentácie plastového materiálu na mikrofragmenty.</w:t>
      </w:r>
      <w:r>
        <w:rPr>
          <w:sz w:val="20"/>
        </w:rPr>
        <w:t xml:space="preserve"> </w:t>
      </w:r>
      <w:r>
        <w:rPr>
          <w:sz w:val="20"/>
        </w:rPr>
        <w:t xml:space="preserve">Význam „fragmentovateľné plastové tašky“ zahŕňa oxofragmentovateľné plastové tašky, ako aj fotofragmentovateľné, termofragmentovateľné a hydrofragmentovateľné plastové tašky;</w:t>
      </w:r>
    </w:p>
    <w:p w:rsidR="001B208E" w:rsidRDefault="001B208E" w:rsidP="007D7D7B">
      <w:pPr>
        <w:pStyle w:val="Default"/>
        <w:widowControl/>
        <w:spacing w:before="120" w:after="120"/>
        <w:ind w:firstLine="720"/>
        <w:rPr>
          <w:sz w:val="20"/>
          <w:szCs w:val="20"/>
        </w:rPr>
      </w:pPr>
      <w:r>
        <w:rPr>
          <w:sz w:val="20"/>
        </w:rPr>
        <w:t xml:space="preserve">(f) „kompostovateľné plastové tašky“: plastové tašky, ktoré spĺňajú požiadavky platnej európskej normy EN 13432:2000 v oblasti Obaly.</w:t>
      </w:r>
      <w:r>
        <w:rPr>
          <w:sz w:val="20"/>
        </w:rPr>
        <w:t xml:space="preserve"> </w:t>
      </w:r>
      <w:r>
        <w:rPr>
          <w:sz w:val="20"/>
        </w:rPr>
        <w:t xml:space="preserve">Požiadavky na obaly, ktoré sa dajú zhodnotiť kompostovaním a biologickým rozkladom.</w:t>
      </w:r>
      <w:r>
        <w:rPr>
          <w:sz w:val="20"/>
        </w:rPr>
        <w:t xml:space="preserve"> </w:t>
      </w:r>
      <w:r>
        <w:rPr>
          <w:sz w:val="20"/>
        </w:rPr>
        <w:t xml:space="preserve">Skúšobná schéma a kritériá hodnotenia pre konečné prijatie obalov a ich budúce príslušné verzie a plastové tašky, ktoré spĺňajú európske alebo vnútroštátne normy biologickej odbúrateľnosti prostredníctvom domáceho kompostovania;</w:t>
      </w:r>
    </w:p>
    <w:p w:rsidR="001B208E" w:rsidRDefault="001B208E" w:rsidP="007D7D7B">
      <w:pPr>
        <w:pStyle w:val="Default"/>
        <w:widowControl/>
        <w:spacing w:before="120" w:after="120"/>
        <w:ind w:firstLine="720"/>
        <w:rPr>
          <w:sz w:val="20"/>
          <w:szCs w:val="20"/>
        </w:rPr>
      </w:pPr>
      <w:r>
        <w:rPr>
          <w:sz w:val="20"/>
        </w:rPr>
        <w:t xml:space="preserve">e) „výrobca plastovej tašky“: strana, ktorá umiestňuje hotové plastové tašky na vnútroštátny trh.</w:t>
      </w:r>
      <w:r>
        <w:rPr>
          <w:sz w:val="20"/>
        </w:rPr>
        <w:t xml:space="preserve"> </w:t>
      </w:r>
      <w:r>
        <w:rPr>
          <w:sz w:val="20"/>
        </w:rPr>
        <w:t xml:space="preserve">Dovozcovia hotových plastových tašiek sa takisto môžu považovať za výrobcov.</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KAPITOLA II</w:t>
      </w:r>
    </w:p>
    <w:p w:rsidR="001B208E" w:rsidRDefault="001B208E" w:rsidP="007D7D7B">
      <w:pPr>
        <w:pStyle w:val="Pa1"/>
        <w:keepNext/>
        <w:keepLines/>
        <w:widowControl/>
        <w:spacing w:before="120" w:after="120" w:line="240" w:lineRule="auto"/>
        <w:jc w:val="center"/>
        <w:rPr>
          <w:sz w:val="20"/>
          <w:szCs w:val="20"/>
        </w:rPr>
      </w:pPr>
      <w:r>
        <w:rPr>
          <w:b/>
          <w:sz w:val="20"/>
        </w:rPr>
        <w:t xml:space="preserve">Opatrenia, záväzky a kampane na zníženie spotreby plastových tašiek</w:t>
      </w:r>
    </w:p>
    <w:p w:rsidR="001B208E" w:rsidRDefault="001B208E" w:rsidP="007D7D7B">
      <w:pPr>
        <w:pStyle w:val="Default"/>
        <w:keepNext/>
        <w:keepLines/>
        <w:widowControl/>
        <w:spacing w:before="120" w:after="120"/>
        <w:ind w:firstLine="720"/>
        <w:rPr>
          <w:sz w:val="20"/>
          <w:szCs w:val="20"/>
        </w:rPr>
      </w:pPr>
      <w:r>
        <w:rPr>
          <w:sz w:val="20"/>
        </w:rPr>
        <w:t xml:space="preserve">Článok 4</w:t>
      </w:r>
      <w:r>
        <w:rPr>
          <w:sz w:val="20"/>
        </w:rPr>
        <w:t xml:space="preserve"> </w:t>
      </w:r>
      <w:r>
        <w:rPr>
          <w:sz w:val="20"/>
          <w:i/>
        </w:rPr>
        <w:t xml:space="preserve">Opatrenia na zníženie spotreby plastových tašiek.</w:t>
      </w:r>
    </w:p>
    <w:p w:rsidR="001B208E" w:rsidRDefault="001B208E" w:rsidP="007D7D7B">
      <w:pPr>
        <w:pStyle w:val="Default"/>
        <w:widowControl/>
        <w:spacing w:before="120" w:after="120"/>
        <w:ind w:firstLine="720"/>
        <w:rPr>
          <w:sz w:val="20"/>
          <w:szCs w:val="20"/>
        </w:rPr>
      </w:pPr>
      <w:r>
        <w:rPr>
          <w:sz w:val="20"/>
        </w:rPr>
        <w:t xml:space="preserve">Nasledujúce opatrenia na zníženie spotreby plastových tašiek sa vykonajú v uvedené dátumy nadobudnutia účinnosti:</w:t>
      </w:r>
    </w:p>
    <w:p w:rsidR="001B208E" w:rsidRDefault="001B208E" w:rsidP="007D7D7B">
      <w:pPr>
        <w:pStyle w:val="Default"/>
        <w:keepNext/>
        <w:keepLines/>
        <w:widowControl/>
        <w:spacing w:before="120" w:after="120"/>
        <w:ind w:firstLine="720"/>
        <w:rPr>
          <w:sz w:val="20"/>
          <w:szCs w:val="20"/>
        </w:rPr>
      </w:pPr>
      <w:r>
        <w:rPr>
          <w:sz w:val="20"/>
        </w:rPr>
        <w:t xml:space="preserve">1.</w:t>
      </w:r>
      <w:r>
        <w:rPr>
          <w:sz w:val="20"/>
        </w:rPr>
        <w:t xml:space="preserve"> </w:t>
      </w:r>
      <w:r>
        <w:rPr>
          <w:sz w:val="20"/>
        </w:rPr>
        <w:t xml:space="preserve">Od 1. júla 2018:</w:t>
      </w:r>
    </w:p>
    <w:p w:rsidR="001B208E" w:rsidRDefault="001B208E" w:rsidP="007D7D7B">
      <w:pPr>
        <w:pStyle w:val="Default"/>
        <w:widowControl/>
        <w:spacing w:before="120" w:after="120"/>
        <w:ind w:firstLine="720"/>
        <w:rPr>
          <w:sz w:val="20"/>
          <w:szCs w:val="20"/>
        </w:rPr>
      </w:pPr>
      <w:r>
        <w:rPr>
          <w:sz w:val="20"/>
        </w:rPr>
        <w:t xml:space="preserve">a) Zakazuje sa bezplatne poskytovať spotrebiteľom plastové tašky na prepravu v miestach predaja tovaru alebo výrobkov s výnimkou veľmi ľahkých plastových tašiek a plastových tašiek s hrúbkou steny väčšou alebo rovnou 50 mikrónov a obsahujúcich 70 % alebo viac recyklovaných plastov.</w:t>
      </w:r>
    </w:p>
    <w:p w:rsidR="001B208E" w:rsidRDefault="001B208E" w:rsidP="007D7D7B">
      <w:pPr>
        <w:pStyle w:val="Default"/>
        <w:widowControl/>
        <w:spacing w:before="120" w:after="120"/>
        <w:ind w:firstLine="720"/>
        <w:rPr>
          <w:sz w:val="20"/>
          <w:szCs w:val="20"/>
        </w:rPr>
      </w:pPr>
      <w:r>
        <w:rPr>
          <w:sz w:val="20"/>
        </w:rPr>
        <w:t xml:space="preserve">b) Pokiaľ ide o výnimku pre plastové vrecká s hrúbkou steny 50 mikrónov alebo viac, ako je uvedené v predchádzajúcom odseku, predajcovia musia od výrobcu získať dokumentáciu, ktorá toto percento potvrdí.</w:t>
      </w:r>
    </w:p>
    <w:p w:rsidR="001B208E" w:rsidRDefault="001B208E" w:rsidP="007D7D7B">
      <w:pPr>
        <w:pStyle w:val="Default"/>
        <w:widowControl/>
        <w:spacing w:before="120" w:after="120"/>
        <w:ind w:firstLine="720"/>
        <w:rPr>
          <w:sz w:val="20"/>
          <w:szCs w:val="20"/>
        </w:rPr>
      </w:pPr>
      <w:r>
        <w:rPr>
          <w:sz w:val="20"/>
        </w:rPr>
        <w:t xml:space="preserve">(c) Predajcovia si účtujú poplatok za každú plastovú tašku, ktorú spotrebiteľovi poskytli.</w:t>
      </w:r>
      <w:r>
        <w:rPr>
          <w:sz w:val="20"/>
        </w:rPr>
        <w:t xml:space="preserve"> </w:t>
      </w:r>
      <w:r>
        <w:rPr>
          <w:sz w:val="20"/>
        </w:rPr>
        <w:t xml:space="preserve">Na určenie ceny plastových tašiek môžu predajcovia použiť orientačné ceny uvedené ako odkaz v prílohe I.</w:t>
      </w:r>
    </w:p>
    <w:p w:rsidR="001B208E" w:rsidRDefault="001B208E" w:rsidP="007D7D7B">
      <w:pPr>
        <w:pStyle w:val="Default"/>
        <w:widowControl/>
        <w:spacing w:before="120" w:after="120"/>
        <w:ind w:firstLine="720"/>
        <w:rPr>
          <w:sz w:val="20"/>
          <w:szCs w:val="20"/>
        </w:rPr>
      </w:pPr>
      <w:r>
        <w:rPr>
          <w:sz w:val="20"/>
        </w:rPr>
        <w:t xml:space="preserve">(d) Predajcovia okrem toho informujú spotrebiteľov o stanovených cenách tak, že ich verejne zobrazia na viditeľnom mieste vrátane odkazu na dodržiavanie súladu s povinnosťami uvedenými vo vyššie uvedených odsekoch.</w:t>
      </w:r>
    </w:p>
    <w:p w:rsidR="001B208E" w:rsidRDefault="001B208E" w:rsidP="007D7D7B">
      <w:pPr>
        <w:pStyle w:val="Default"/>
        <w:keepNext/>
        <w:keepLines/>
        <w:widowControl/>
        <w:spacing w:before="120" w:after="120"/>
        <w:ind w:firstLine="720"/>
        <w:rPr>
          <w:sz w:val="20"/>
          <w:szCs w:val="20"/>
        </w:rPr>
      </w:pPr>
      <w:r>
        <w:rPr>
          <w:sz w:val="20"/>
        </w:rPr>
        <w:t xml:space="preserve">2.</w:t>
      </w:r>
      <w:r>
        <w:rPr>
          <w:sz w:val="20"/>
        </w:rPr>
        <w:t xml:space="preserve"> </w:t>
      </w:r>
      <w:r>
        <w:rPr>
          <w:sz w:val="20"/>
        </w:rPr>
        <w:t xml:space="preserve">Od 1. januára 2020:</w:t>
      </w:r>
    </w:p>
    <w:p w:rsidR="001B208E" w:rsidRDefault="001B208E" w:rsidP="007D7D7B">
      <w:pPr>
        <w:pStyle w:val="Default"/>
        <w:widowControl/>
        <w:spacing w:before="120" w:after="120"/>
        <w:ind w:firstLine="720"/>
        <w:rPr>
          <w:sz w:val="20"/>
          <w:szCs w:val="20"/>
        </w:rPr>
      </w:pPr>
      <w:r>
        <w:rPr>
          <w:sz w:val="20"/>
        </w:rPr>
        <w:t xml:space="preserve">(a) Zakazuje sa poskytovať spotrebiteľom fragmentovateľné plastové tašky v miestach predaja tovarov alebo výrobkov.</w:t>
      </w:r>
    </w:p>
    <w:p w:rsidR="00694AFB" w:rsidRDefault="001B208E" w:rsidP="007D7D7B">
      <w:pPr>
        <w:pStyle w:val="Default"/>
        <w:widowControl/>
        <w:spacing w:before="120" w:after="120"/>
        <w:ind w:firstLine="720"/>
        <w:rPr>
          <w:sz w:val="20"/>
          <w:szCs w:val="20"/>
        </w:rPr>
      </w:pPr>
      <w:r>
        <w:rPr>
          <w:sz w:val="20"/>
        </w:rPr>
        <w:t xml:space="preserve">(b) Plastové tašky s hrúbkou steny väčšou alebo rovnajúcou sa 50 mikrónom musia byť vyrobené najmenej z 50 % recyklovaného plastu.</w:t>
      </w:r>
    </w:p>
    <w:p w:rsidR="001B208E" w:rsidRDefault="001B208E" w:rsidP="007D7D7B">
      <w:pPr>
        <w:pStyle w:val="Default"/>
        <w:widowControl/>
        <w:spacing w:before="120" w:after="120"/>
        <w:ind w:firstLine="720"/>
        <w:rPr>
          <w:sz w:val="20"/>
          <w:szCs w:val="20"/>
        </w:rPr>
      </w:pPr>
      <w:r>
        <w:rPr>
          <w:sz w:val="20"/>
        </w:rPr>
        <w:t xml:space="preserve">3.</w:t>
      </w:r>
      <w:r>
        <w:rPr>
          <w:sz w:val="20"/>
        </w:rPr>
        <w:t xml:space="preserve"> </w:t>
      </w:r>
      <w:r>
        <w:rPr>
          <w:sz w:val="20"/>
        </w:rPr>
        <w:t xml:space="preserve">Od 1. januára 20121 bude zakázané, aby spotrebitelia poskytovali ľahké a veľmi ľahké plastové tašky v miestach predaja tovarov alebo výrobkov, s výnimkou tašiek vyrobených z kompostovateľného plastu.</w:t>
      </w:r>
      <w:r>
        <w:rPr>
          <w:sz w:val="20"/>
        </w:rPr>
        <w:t xml:space="preserve"> </w:t>
      </w:r>
      <w:r>
        <w:rPr>
          <w:sz w:val="20"/>
        </w:rPr>
        <w:t xml:space="preserve">Dodávatelia môžu tiež vyberať iné formy balenia namiesto plastových vreciek.</w:t>
      </w:r>
    </w:p>
    <w:p w:rsidR="001B208E" w:rsidRDefault="001B208E" w:rsidP="007D7D7B">
      <w:pPr>
        <w:pStyle w:val="Default"/>
        <w:widowControl/>
        <w:spacing w:before="120" w:after="120"/>
        <w:ind w:firstLine="720"/>
        <w:rPr>
          <w:sz w:val="20"/>
          <w:szCs w:val="20"/>
        </w:rPr>
      </w:pPr>
      <w:r>
        <w:rPr>
          <w:sz w:val="20"/>
        </w:rPr>
        <w:t xml:space="preserve">4.</w:t>
      </w:r>
      <w:r>
        <w:rPr>
          <w:sz w:val="20"/>
        </w:rPr>
        <w:t xml:space="preserve"> </w:t>
      </w:r>
      <w:r>
        <w:rPr>
          <w:sz w:val="20"/>
        </w:rPr>
        <w:t xml:space="preserve">Všetky opatrenia uvedené v tomto článku sa vzťahujú na plastové tašky určené na prepravu, ktoré sú k dispozícii v miestach predaja tovaru alebo výrobkov a na tie, ktoré môžu byť dodávané pri online nákupoch alebo dodávkach domov.</w:t>
      </w:r>
      <w:r>
        <w:rPr>
          <w:sz w:val="20"/>
        </w:rPr>
        <w:t xml:space="preserve"> </w:t>
      </w:r>
      <w:r>
        <w:rPr>
          <w:sz w:val="20"/>
        </w:rPr>
        <w:t xml:space="preserve">To sa nevzťahuje na plastové obaly používané na diaľkový predaj, hoci sa tieto budú považovať za obaly, ak budú spĺňať definíciu obalov stanovenú v zákone 11/1997 z 24. apríla 1997.</w:t>
      </w:r>
    </w:p>
    <w:p w:rsidR="001B208E" w:rsidRDefault="001B208E" w:rsidP="007D7D7B">
      <w:pPr>
        <w:pStyle w:val="Default"/>
        <w:keepNext/>
        <w:keepLines/>
        <w:widowControl/>
        <w:spacing w:before="120" w:after="120"/>
        <w:ind w:firstLine="720"/>
        <w:rPr>
          <w:sz w:val="20"/>
          <w:szCs w:val="20"/>
        </w:rPr>
      </w:pPr>
      <w:r>
        <w:rPr>
          <w:sz w:val="20"/>
        </w:rPr>
        <w:t xml:space="preserve">Článok 5</w:t>
      </w:r>
      <w:r>
        <w:rPr>
          <w:sz w:val="20"/>
        </w:rPr>
        <w:t xml:space="preserve"> </w:t>
      </w:r>
      <w:r>
        <w:rPr>
          <w:sz w:val="20"/>
          <w:i/>
        </w:rPr>
        <w:t xml:space="preserve">Povinnosti označovania plastových tašiek</w:t>
      </w:r>
    </w:p>
    <w:p w:rsidR="001B208E" w:rsidRDefault="001B208E" w:rsidP="007D7D7B">
      <w:pPr>
        <w:pStyle w:val="Default"/>
        <w:widowControl/>
        <w:spacing w:before="120" w:after="120"/>
        <w:ind w:firstLine="720"/>
        <w:rPr>
          <w:sz w:val="20"/>
          <w:szCs w:val="20"/>
        </w:rPr>
      </w:pPr>
      <w:r>
        <w:rPr>
          <w:sz w:val="20"/>
        </w:rPr>
        <w:t xml:space="preserve">Najneskôr do 18 mesiacov od prijatia európskych nariadení ustanovených v článku 8-bis smernice Európskeho parlamentu a Rady 94/62/ES z 20. decembra 1994 o obaloch a odpadoch z obalov s cieľom stanoviť špecifikácie pre označovanie etiketou a iné označovanie s cieľom uznať kompostovateľné plastové tašky v celej Európskej únii, sa kompostovateľné plastové tašky, ktoré sa uvádzajú na trh na vnútroštátnom území, budú označovať podľa platných ustanovení európskeho práva.</w:t>
      </w:r>
    </w:p>
    <w:p w:rsidR="001B208E" w:rsidRDefault="001B208E" w:rsidP="007D7D7B">
      <w:pPr>
        <w:pStyle w:val="Default"/>
        <w:keepNext/>
        <w:keepLines/>
        <w:widowControl/>
        <w:spacing w:before="120" w:after="120"/>
        <w:ind w:firstLine="720"/>
        <w:rPr>
          <w:sz w:val="20"/>
          <w:szCs w:val="20"/>
        </w:rPr>
      </w:pPr>
      <w:r>
        <w:rPr>
          <w:sz w:val="20"/>
        </w:rPr>
        <w:t xml:space="preserve">Článok 6</w:t>
      </w:r>
      <w:r>
        <w:rPr>
          <w:sz w:val="20"/>
        </w:rPr>
        <w:t xml:space="preserve"> </w:t>
      </w:r>
      <w:r>
        <w:rPr>
          <w:sz w:val="20"/>
          <w:i/>
        </w:rPr>
        <w:t xml:space="preserve">Informačné a osvetové kampane</w:t>
      </w:r>
    </w:p>
    <w:p w:rsidR="001B208E" w:rsidRDefault="001B208E" w:rsidP="007D7D7B">
      <w:pPr>
        <w:pStyle w:val="Default"/>
        <w:widowControl/>
        <w:spacing w:before="120" w:after="120"/>
        <w:ind w:firstLine="720"/>
        <w:rPr>
          <w:sz w:val="20"/>
          <w:szCs w:val="20"/>
        </w:rPr>
      </w:pPr>
      <w:r>
        <w:rPr>
          <w:sz w:val="20"/>
        </w:rPr>
        <w:t xml:space="preserve">1.</w:t>
      </w:r>
      <w:r>
        <w:rPr>
          <w:sz w:val="20"/>
        </w:rPr>
        <w:t xml:space="preserve"> </w:t>
      </w:r>
      <w:r>
        <w:rPr>
          <w:sz w:val="20"/>
        </w:rPr>
        <w:t xml:space="preserve">Ministerstvo poľnohospodárstva, rybolovu, potravinárstva a životného prostredia a autonómne spoločenstvá uskutočnia verejné informačné kampane o opatreniach prijatých v tomto kráľovskom dekréte a kampane na zvyšovanie povedomia o nepriaznivom vplyve nadmernej spotreby všetkých druhov plastových tašiek na životné prostredie a o vplyve ich zneškodňovania a budú podporovať uplatňovanie zásady hierarchie odpadu.</w:t>
      </w:r>
      <w:r>
        <w:rPr>
          <w:sz w:val="20"/>
        </w:rPr>
        <w:t xml:space="preserve"> </w:t>
      </w:r>
      <w:r>
        <w:rPr>
          <w:sz w:val="20"/>
        </w:rPr>
        <w:t xml:space="preserve">Tieto kampane budú obsahovať informácie o kontajneri, do ktorého by sa mali vkladať kompostovateľné aj nekompostovateľné plastové tašky, ktoré sa stanú odpadom.</w:t>
      </w:r>
    </w:p>
    <w:p w:rsidR="001B208E" w:rsidRDefault="001B208E" w:rsidP="007D7D7B">
      <w:pPr>
        <w:pStyle w:val="Default"/>
        <w:widowControl/>
        <w:spacing w:before="120" w:after="120"/>
        <w:ind w:firstLine="720"/>
        <w:rPr>
          <w:sz w:val="20"/>
          <w:szCs w:val="20"/>
        </w:rPr>
      </w:pPr>
      <w:r>
        <w:rPr>
          <w:sz w:val="20"/>
        </w:rPr>
        <w:t xml:space="preserve">Tieto kampane budú prebiehať minimálne v prvom roku po nadobudnutí účinnosti tohto kráľovského dekrétu a budú pokračovať, ak sa to bude považovať za potrebné na splnenie stanovených cieľov.</w:t>
      </w:r>
    </w:p>
    <w:p w:rsidR="001B208E" w:rsidRDefault="001B208E" w:rsidP="007D7D7B">
      <w:pPr>
        <w:pStyle w:val="Default"/>
        <w:widowControl/>
        <w:spacing w:before="120" w:after="120"/>
        <w:ind w:firstLine="720"/>
        <w:rPr>
          <w:sz w:val="20"/>
          <w:szCs w:val="20"/>
        </w:rPr>
      </w:pPr>
      <w:r>
        <w:rPr>
          <w:sz w:val="20"/>
        </w:rPr>
        <w:t xml:space="preserve">2.</w:t>
      </w:r>
      <w:r>
        <w:rPr>
          <w:sz w:val="20"/>
        </w:rPr>
        <w:t xml:space="preserve"> </w:t>
      </w:r>
      <w:r>
        <w:rPr>
          <w:sz w:val="20"/>
        </w:rPr>
        <w:t xml:space="preserve">Miestne komunity a predajcovia môžu takisto v súlade s kampaňami príslušných orgánov vykonávať informačné kampane a kampane na zvyšovanie povedomia.</w:t>
      </w:r>
    </w:p>
    <w:p w:rsidR="001B208E" w:rsidRDefault="001B208E" w:rsidP="007D7D7B">
      <w:pPr>
        <w:pStyle w:val="Default"/>
        <w:widowControl/>
        <w:spacing w:before="120" w:after="120"/>
        <w:ind w:firstLine="720"/>
        <w:rPr>
          <w:sz w:val="20"/>
          <w:szCs w:val="20"/>
        </w:rPr>
      </w:pPr>
      <w:r>
        <w:rPr>
          <w:sz w:val="20"/>
        </w:rPr>
        <w:t xml:space="preserve">3.</w:t>
      </w:r>
      <w:r>
        <w:rPr>
          <w:sz w:val="20"/>
        </w:rPr>
        <w:t xml:space="preserve"> </w:t>
      </w:r>
      <w:r>
        <w:rPr>
          <w:sz w:val="20"/>
        </w:rPr>
        <w:t xml:space="preserve">Kampane, ktoré organizujú príslušné orgány, môžu byť financované prostredníctvom kolektívnych systémov rozšírenej zodpovednosti v rámci dohôd o financovaní medzi týmito systémami a autonómnymi oblasťami, prípadne miestnymi komunitami.</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KAPITOLA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Register výrobcov výrobkov</w:t>
      </w:r>
    </w:p>
    <w:p w:rsidR="001B208E" w:rsidRDefault="001B208E" w:rsidP="007D7D7B">
      <w:pPr>
        <w:pStyle w:val="Default"/>
        <w:keepNext/>
        <w:keepLines/>
        <w:widowControl/>
        <w:spacing w:before="120" w:after="120"/>
        <w:ind w:firstLine="720"/>
        <w:rPr>
          <w:sz w:val="20"/>
          <w:szCs w:val="20"/>
        </w:rPr>
      </w:pPr>
      <w:r>
        <w:rPr>
          <w:sz w:val="20"/>
        </w:rPr>
        <w:t xml:space="preserve">Článok 7</w:t>
      </w:r>
      <w:r>
        <w:rPr>
          <w:sz w:val="20"/>
        </w:rPr>
        <w:t xml:space="preserve"> </w:t>
      </w:r>
      <w:r>
        <w:rPr>
          <w:sz w:val="20"/>
          <w:i/>
        </w:rPr>
        <w:t xml:space="preserve">Vytvorenie registra výrobcov výrobkov.</w:t>
      </w:r>
    </w:p>
    <w:p w:rsidR="001B208E" w:rsidRDefault="001B208E" w:rsidP="007D7D7B">
      <w:pPr>
        <w:pStyle w:val="Default"/>
        <w:widowControl/>
        <w:spacing w:before="120" w:after="120"/>
        <w:ind w:firstLine="720"/>
        <w:rPr>
          <w:sz w:val="20"/>
          <w:szCs w:val="20"/>
        </w:rPr>
      </w:pPr>
      <w:r>
        <w:rPr>
          <w:sz w:val="20"/>
        </w:rPr>
        <w:t xml:space="preserve">1.</w:t>
      </w:r>
      <w:r>
        <w:rPr>
          <w:sz w:val="20"/>
        </w:rPr>
        <w:t xml:space="preserve"> </w:t>
      </w:r>
      <w:r>
        <w:rPr>
          <w:sz w:val="20"/>
        </w:rPr>
        <w:t xml:space="preserve">Registru výrobcov výrobkov, ktorý má administratívny a deklaratívny charakter, sa zriaďuje v rámci zodpovednosti Generálneho riaditeľstva za kvalitu a hodnotenie životného prostredia a prírodného prostredia v rámci ministerstva poľnohospodárstva, rybolovu, potravinárstva a životného prostredia.</w:t>
      </w:r>
    </w:p>
    <w:p w:rsidR="001B208E" w:rsidRDefault="001B208E" w:rsidP="007D7D7B">
      <w:pPr>
        <w:pStyle w:val="Default"/>
        <w:widowControl/>
        <w:spacing w:before="120" w:after="120"/>
        <w:ind w:firstLine="720"/>
        <w:rPr>
          <w:sz w:val="20"/>
          <w:szCs w:val="20"/>
        </w:rPr>
      </w:pPr>
      <w:r>
        <w:rPr>
          <w:sz w:val="20"/>
        </w:rPr>
        <w:t xml:space="preserve">2.</w:t>
      </w:r>
      <w:r>
        <w:rPr>
          <w:sz w:val="20"/>
        </w:rPr>
        <w:t xml:space="preserve"> </w:t>
      </w:r>
      <w:r>
        <w:rPr>
          <w:sz w:val="20"/>
        </w:rPr>
        <w:t xml:space="preserve">Register výrobcov výrobkov bude usporiadaný podľa sekcií výrobcov a bude zhromažďovať informácie o umiestňovaní výrobkov na trh s cieľom splniť ohlasovacie povinnosti v oblasti nakladania s odpadom.</w:t>
      </w:r>
      <w:r>
        <w:rPr>
          <w:sz w:val="20"/>
        </w:rPr>
        <w:t xml:space="preserve"> </w:t>
      </w:r>
      <w:r>
        <w:rPr>
          <w:sz w:val="20"/>
        </w:rPr>
        <w:t xml:space="preserve">Register výrobcov výrobkov musí obsahovať aspoň jednu sekciu výrobcov plastových tašiek.</w:t>
      </w:r>
    </w:p>
    <w:p w:rsidR="00694AFB" w:rsidRDefault="001B208E" w:rsidP="007D7D7B">
      <w:pPr>
        <w:pStyle w:val="Default"/>
        <w:widowControl/>
        <w:spacing w:before="120" w:after="120"/>
        <w:ind w:firstLine="720"/>
        <w:rPr>
          <w:sz w:val="20"/>
          <w:szCs w:val="20"/>
        </w:rPr>
      </w:pPr>
      <w:r>
        <w:rPr>
          <w:sz w:val="20"/>
        </w:rPr>
        <w:t xml:space="preserve">Môžu sa vytvoriť nové sekcie Registra výrobcov výrobkov prostredníctvom zodpovedajúcich nariadení o odpadoch s obsahom uvedeným v týchto predpisoch.</w:t>
      </w:r>
    </w:p>
    <w:p w:rsidR="001B208E" w:rsidRDefault="001B208E" w:rsidP="007D7D7B">
      <w:pPr>
        <w:pStyle w:val="Default"/>
        <w:keepNext/>
        <w:keepLines/>
        <w:widowControl/>
        <w:spacing w:before="120" w:after="120"/>
        <w:ind w:firstLine="720"/>
        <w:rPr>
          <w:sz w:val="20"/>
          <w:szCs w:val="20"/>
        </w:rPr>
      </w:pPr>
      <w:r>
        <w:rPr>
          <w:sz w:val="20"/>
        </w:rPr>
        <w:t xml:space="preserve">Článok 8</w:t>
      </w:r>
      <w:r>
        <w:rPr>
          <w:sz w:val="20"/>
        </w:rPr>
        <w:t xml:space="preserve"> </w:t>
      </w:r>
      <w:r>
        <w:rPr>
          <w:sz w:val="20"/>
          <w:i/>
        </w:rPr>
        <w:t xml:space="preserve">Registrácia výrobcov plastových tašiek v registri výrobcov výrobkov.</w:t>
      </w:r>
    </w:p>
    <w:p w:rsidR="001B208E" w:rsidRDefault="001B208E" w:rsidP="007D7D7B">
      <w:pPr>
        <w:pStyle w:val="Default"/>
        <w:widowControl/>
        <w:spacing w:before="120" w:after="120"/>
        <w:ind w:firstLine="720"/>
        <w:rPr>
          <w:sz w:val="20"/>
          <w:szCs w:val="20"/>
        </w:rPr>
      </w:pPr>
      <w:r>
        <w:rPr>
          <w:sz w:val="20"/>
        </w:rPr>
        <w:t xml:space="preserve">Výrobcovia plastových tašiek sa v sekcii pre výrobcov plastových tašiek zaregistrujú v Registri výrobcov výrobkov Ministerstva poľnohospodárstva, rybolovu, potravinárstva a životného prostredia v lehote troch mesiacov odo dňa nadobudnutia účinnosti tohto kráľovského dekrétu.</w:t>
      </w:r>
      <w:r>
        <w:rPr>
          <w:sz w:val="20"/>
        </w:rPr>
        <w:t xml:space="preserve"> </w:t>
      </w:r>
      <w:r>
        <w:rPr>
          <w:sz w:val="20"/>
        </w:rPr>
        <w:t xml:space="preserve">V dobre registrácie sa poskytnú a zverejnia informácie uvedené v prílohe II ods. 1.</w:t>
      </w:r>
      <w:r>
        <w:rPr>
          <w:sz w:val="20"/>
        </w:rPr>
        <w:t xml:space="preserve"> </w:t>
      </w:r>
      <w:r>
        <w:rPr>
          <w:sz w:val="20"/>
        </w:rPr>
        <w:t xml:space="preserve">Osobné údaje sú chránené platnými vnútroštátnymi právnymi predpismi o ochrane osobných údajov.</w:t>
      </w:r>
    </w:p>
    <w:p w:rsidR="001B208E" w:rsidRDefault="001B208E" w:rsidP="007D7D7B">
      <w:pPr>
        <w:pStyle w:val="Default"/>
        <w:keepNext/>
        <w:keepLines/>
        <w:widowControl/>
        <w:spacing w:before="120" w:after="120"/>
        <w:ind w:firstLine="720"/>
        <w:rPr>
          <w:sz w:val="20"/>
          <w:szCs w:val="20"/>
        </w:rPr>
      </w:pPr>
      <w:r>
        <w:rPr>
          <w:sz w:val="20"/>
        </w:rPr>
        <w:t xml:space="preserve">Článok 9</w:t>
      </w:r>
      <w:r>
        <w:rPr>
          <w:sz w:val="20"/>
        </w:rPr>
        <w:t xml:space="preserve"> </w:t>
      </w:r>
      <w:r>
        <w:rPr>
          <w:sz w:val="20"/>
          <w:i/>
        </w:rPr>
        <w:t xml:space="preserve">Oznamovacie povinnosti pre plastové tašky</w:t>
      </w:r>
    </w:p>
    <w:p w:rsidR="001B208E" w:rsidRDefault="001B208E" w:rsidP="007D7D7B">
      <w:pPr>
        <w:pStyle w:val="Default"/>
        <w:widowControl/>
        <w:spacing w:before="120" w:after="120"/>
        <w:ind w:firstLine="720"/>
        <w:rPr>
          <w:sz w:val="20"/>
          <w:szCs w:val="20"/>
        </w:rPr>
      </w:pPr>
      <w:r>
        <w:rPr>
          <w:sz w:val="20"/>
        </w:rPr>
        <w:t xml:space="preserve">Výrobcovia plastových tašiek musia zhromažďovať informácie uvedené v prílohe II ods. 2, pokiaľ ide o tašky, ktoré umiestňujú na vnútroštátny trh každý kalendárny rok.</w:t>
      </w:r>
      <w:r>
        <w:rPr>
          <w:sz w:val="20"/>
        </w:rPr>
        <w:t xml:space="preserve"> </w:t>
      </w:r>
      <w:r>
        <w:rPr>
          <w:sz w:val="20"/>
        </w:rPr>
        <w:t xml:space="preserve">Uvedené informácie sa predložia ministerstvu poľnohospodárstva, rybolovu, potravinárstva a životného prostredia do 31. marca v roku nasledujúcom po základnom roku s cieľom pripraviť informácie o plastových taškách, ktoré sa majú predložiť Európskej komisii podľa platných nariadení , ktoré sa každoročne zverejňujú.</w:t>
      </w:r>
    </w:p>
    <w:p w:rsidR="001B208E" w:rsidRDefault="001B208E" w:rsidP="007D7D7B">
      <w:pPr>
        <w:pStyle w:val="Default"/>
        <w:widowControl/>
        <w:spacing w:before="120" w:after="120"/>
        <w:ind w:firstLine="720"/>
        <w:rPr>
          <w:sz w:val="20"/>
          <w:szCs w:val="20"/>
        </w:rPr>
      </w:pPr>
      <w:r>
        <w:rPr>
          <w:sz w:val="20"/>
        </w:rPr>
        <w:t xml:space="preserve">Informácie poskytované výrobcami plastových tašiek musia byť prístupné príslušným orgánom na účely kontroly a overovania.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 xml:space="preserve">KAPITOLA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Sankcie</w:t>
      </w:r>
    </w:p>
    <w:p w:rsidR="001B208E" w:rsidRDefault="001B208E" w:rsidP="007D7D7B">
      <w:pPr>
        <w:pStyle w:val="Default"/>
        <w:keepNext/>
        <w:keepLines/>
        <w:widowControl/>
        <w:spacing w:before="120" w:after="120"/>
        <w:ind w:firstLine="720"/>
        <w:rPr>
          <w:sz w:val="20"/>
          <w:szCs w:val="20"/>
        </w:rPr>
      </w:pPr>
      <w:r>
        <w:rPr>
          <w:sz w:val="20"/>
        </w:rPr>
        <w:t xml:space="preserve">Článok 10</w:t>
      </w:r>
      <w:r>
        <w:rPr>
          <w:sz w:val="20"/>
        </w:rPr>
        <w:t xml:space="preserve"> </w:t>
      </w:r>
      <w:r>
        <w:rPr>
          <w:sz w:val="20"/>
          <w:i/>
        </w:rPr>
        <w:t xml:space="preserve">Sankcie</w:t>
      </w:r>
    </w:p>
    <w:p w:rsidR="001B208E" w:rsidRDefault="001B208E" w:rsidP="007D7D7B">
      <w:pPr>
        <w:pStyle w:val="Default"/>
        <w:widowControl/>
        <w:spacing w:before="120" w:after="120"/>
        <w:ind w:firstLine="720"/>
        <w:rPr>
          <w:sz w:val="20"/>
          <w:szCs w:val="20"/>
        </w:rPr>
      </w:pPr>
      <w:r>
        <w:rPr>
          <w:sz w:val="20"/>
        </w:rPr>
        <w:t xml:space="preserve">Nedodržanie ustanovení tohto kráľovského dekrétu podlieha pokutám uvedeným v zákone č. 22/2011 z 28. júla 2011 o znečistených pôdach a odpadoch.</w:t>
      </w:r>
    </w:p>
    <w:p w:rsidR="001B208E" w:rsidRDefault="001B208E" w:rsidP="007D7D7B">
      <w:pPr>
        <w:pStyle w:val="Default"/>
        <w:keepNext/>
        <w:keepLines/>
        <w:widowControl/>
        <w:spacing w:before="120" w:after="120"/>
        <w:ind w:firstLine="720"/>
        <w:rPr>
          <w:sz w:val="20"/>
          <w:szCs w:val="20"/>
        </w:rPr>
      </w:pPr>
      <w:r>
        <w:rPr>
          <w:sz w:val="20"/>
        </w:rPr>
        <w:t xml:space="preserve">Prvé doplňujúce ustanovenie.</w:t>
      </w:r>
      <w:r>
        <w:rPr>
          <w:sz w:val="20"/>
        </w:rPr>
        <w:t xml:space="preserve"> </w:t>
      </w:r>
      <w:r>
        <w:rPr>
          <w:sz w:val="20"/>
          <w:i/>
        </w:rPr>
        <w:t xml:space="preserve">Správa o uplatňovaní kráľovského dekrétu a preskúmanie navrhovaných opatrení</w:t>
      </w:r>
    </w:p>
    <w:p w:rsidR="001B208E" w:rsidRDefault="001B208E" w:rsidP="007D7D7B">
      <w:pPr>
        <w:pStyle w:val="Default"/>
        <w:widowControl/>
        <w:spacing w:before="120" w:after="120"/>
        <w:ind w:firstLine="720"/>
        <w:rPr>
          <w:sz w:val="20"/>
          <w:szCs w:val="20"/>
        </w:rPr>
      </w:pPr>
      <w:r>
        <w:rPr>
          <w:sz w:val="20"/>
        </w:rPr>
        <w:t xml:space="preserve">Do 1. januára 2023 ministerstvo poľnohospodárstva, rybolovu, potravinárstva a životného prostredia vypracuje správu, v ktorej zhodnotí účinnosť opatrení v tomto kráľovskom dekréte z hľadiska zníženia spotreby plastových tašiek, zmeny spotrebiteľského správania a podpory znižovania množstva odpadu.</w:t>
      </w:r>
      <w:r>
        <w:rPr>
          <w:sz w:val="20"/>
        </w:rPr>
        <w:t xml:space="preserve"> </w:t>
      </w:r>
      <w:r>
        <w:rPr>
          <w:sz w:val="20"/>
        </w:rPr>
        <w:t xml:space="preserve">Ak z hodnotenia vyplynie, že prijaté opatrenia nie sú účinné, ministerstvo poľnohospodárstva, rybolovu, potravinárstva a životného prostredia preskúma ďalšie možné spôsoby zníženia spotreby plastových tašiek a v prípade potreby predloží nový regulačný návrh.</w:t>
      </w:r>
    </w:p>
    <w:p w:rsidR="001B208E" w:rsidRDefault="001B208E" w:rsidP="007D7D7B">
      <w:pPr>
        <w:pStyle w:val="Default"/>
        <w:keepNext/>
        <w:keepLines/>
        <w:widowControl/>
        <w:spacing w:before="120" w:after="120"/>
        <w:ind w:firstLine="720"/>
        <w:rPr>
          <w:sz w:val="20"/>
          <w:szCs w:val="20"/>
        </w:rPr>
      </w:pPr>
      <w:r>
        <w:rPr>
          <w:sz w:val="20"/>
        </w:rPr>
        <w:t xml:space="preserve">Druhé doplňujúce ustanovenie.</w:t>
      </w:r>
      <w:r>
        <w:rPr>
          <w:sz w:val="20"/>
        </w:rPr>
        <w:t xml:space="preserve"> </w:t>
      </w:r>
      <w:r>
        <w:rPr>
          <w:sz w:val="20"/>
          <w:i/>
        </w:rPr>
        <w:t xml:space="preserve">Súlad s druhým doplňujúcim ustanovením zákona 22/2011 z 28. júla 2011.</w:t>
      </w:r>
    </w:p>
    <w:p w:rsidR="001B208E" w:rsidRDefault="001B208E" w:rsidP="007D7D7B">
      <w:pPr>
        <w:pStyle w:val="Default"/>
        <w:widowControl/>
        <w:spacing w:before="120" w:after="120"/>
        <w:ind w:firstLine="720"/>
        <w:rPr>
          <w:sz w:val="20"/>
          <w:szCs w:val="20"/>
        </w:rPr>
      </w:pPr>
      <w:r>
        <w:rPr>
          <w:sz w:val="20"/>
        </w:rPr>
        <w:t xml:space="preserve">Opatrenia ustanovené v tomto kráľovskom dekréte pre ľahké plastové tašky umožnia dodržiavanie druhého doplňujúceho ustanovenia zákona 22/2011 z 28. júla 2011, najmä pokiaľ ide o vymedzenie časového harmonogramu uvedeného v odseku 3.</w:t>
      </w:r>
    </w:p>
    <w:p w:rsidR="00694AFB" w:rsidRDefault="001B208E" w:rsidP="007D7D7B">
      <w:pPr>
        <w:pStyle w:val="Default"/>
        <w:widowControl/>
        <w:spacing w:before="120" w:after="120"/>
        <w:ind w:firstLine="720"/>
        <w:rPr>
          <w:sz w:val="20"/>
          <w:szCs w:val="20"/>
        </w:rPr>
      </w:pPr>
      <w:r>
        <w:rPr>
          <w:sz w:val="20"/>
        </w:rPr>
        <w:t xml:space="preserve">Pracovná skupina uvedená v odseku 4 druhého doplňujúceho ustanovenia zákona 22/2011 z 28. júla 2011 je pracovná skupina pre obaly a odpady z obalov v rámci Koordinačného výboru pre odpady generálneho riaditeľstva pre kvalitu a hodnotenie životného prostredia a prírodného prostredia.</w:t>
      </w:r>
    </w:p>
    <w:p w:rsidR="001B208E" w:rsidRDefault="001B208E" w:rsidP="007D7D7B">
      <w:pPr>
        <w:pStyle w:val="Default"/>
        <w:keepNext/>
        <w:keepLines/>
        <w:widowControl/>
        <w:spacing w:before="120" w:after="120"/>
        <w:ind w:firstLine="720"/>
        <w:rPr>
          <w:sz w:val="20"/>
          <w:szCs w:val="20"/>
        </w:rPr>
      </w:pPr>
      <w:r>
        <w:rPr>
          <w:sz w:val="20"/>
        </w:rPr>
        <w:t xml:space="preserve">Tretie doplňujúce ustanovenie.</w:t>
      </w:r>
      <w:r>
        <w:rPr>
          <w:sz w:val="20"/>
        </w:rPr>
        <w:t xml:space="preserve"> </w:t>
      </w:r>
      <w:r>
        <w:rPr>
          <w:sz w:val="20"/>
          <w:i/>
        </w:rPr>
        <w:t xml:space="preserve">Informácie o plastových taškách na rok 2017</w:t>
      </w:r>
    </w:p>
    <w:p w:rsidR="001B208E" w:rsidRDefault="001B208E" w:rsidP="007D7D7B">
      <w:pPr>
        <w:pStyle w:val="Default"/>
        <w:widowControl/>
        <w:spacing w:before="120" w:after="120"/>
        <w:ind w:firstLine="720"/>
        <w:rPr>
          <w:sz w:val="20"/>
          <w:szCs w:val="20"/>
        </w:rPr>
      </w:pPr>
      <w:r>
        <w:rPr>
          <w:sz w:val="20"/>
        </w:rPr>
        <w:t xml:space="preserve">Informácie o plastových taškách umiestnených na vnútroštátnom trhu v priebehu roka 2017 poskytnú výrobcovia plastových tašiek v lehote 3 mesiacov po ich registrácii v Registri výrobcov výrobkov.</w:t>
      </w:r>
    </w:p>
    <w:p w:rsidR="001B208E" w:rsidRDefault="001B208E" w:rsidP="007D7D7B">
      <w:pPr>
        <w:pStyle w:val="Default"/>
        <w:keepNext/>
        <w:keepLines/>
        <w:widowControl/>
        <w:spacing w:before="120" w:after="120"/>
        <w:ind w:firstLine="720"/>
        <w:rPr>
          <w:sz w:val="20"/>
          <w:szCs w:val="20"/>
        </w:rPr>
      </w:pPr>
      <w:r>
        <w:rPr>
          <w:sz w:val="20"/>
        </w:rPr>
        <w:t xml:space="preserve">Štvrté doplňujúce ustanovenie.</w:t>
      </w:r>
      <w:r>
        <w:rPr>
          <w:sz w:val="20"/>
        </w:rPr>
        <w:t xml:space="preserve"> </w:t>
      </w:r>
      <w:r>
        <w:rPr>
          <w:sz w:val="20"/>
          <w:i/>
        </w:rPr>
        <w:t xml:space="preserve">Žiadne zvyšovanie verejných výdavkov.</w:t>
      </w:r>
    </w:p>
    <w:p w:rsidR="001B208E" w:rsidRDefault="001B208E" w:rsidP="007D7D7B">
      <w:pPr>
        <w:pStyle w:val="Default"/>
        <w:widowControl/>
        <w:spacing w:before="120" w:after="120"/>
        <w:ind w:firstLine="720"/>
        <w:rPr>
          <w:sz w:val="20"/>
          <w:szCs w:val="20"/>
        </w:rPr>
      </w:pPr>
      <w:r>
        <w:rPr>
          <w:sz w:val="20"/>
        </w:rPr>
        <w:t xml:space="preserve">Opatrenia v tomto kráľovskom dekréte sa vykonávajú využitím existujúcich ľudských a materiálnych zdrojov všeobecnej štátnej správy.</w:t>
      </w:r>
      <w:r>
        <w:rPr>
          <w:sz w:val="20"/>
        </w:rPr>
        <w:t xml:space="preserve"> </w:t>
      </w:r>
      <w:r>
        <w:rPr>
          <w:sz w:val="20"/>
        </w:rPr>
        <w:t xml:space="preserve">Tieto opatrenia nesmú v žiadnom prípade viesť k zvýšeniu verejných výdavkov.</w:t>
      </w:r>
    </w:p>
    <w:p w:rsidR="001B208E" w:rsidRDefault="001B208E" w:rsidP="007D7D7B">
      <w:pPr>
        <w:pStyle w:val="Default"/>
        <w:keepNext/>
        <w:keepLines/>
        <w:widowControl/>
        <w:spacing w:before="120" w:after="120"/>
        <w:ind w:firstLine="720"/>
        <w:rPr>
          <w:sz w:val="20"/>
          <w:szCs w:val="20"/>
        </w:rPr>
      </w:pPr>
      <w:r>
        <w:rPr>
          <w:sz w:val="20"/>
        </w:rPr>
        <w:t xml:space="preserve">Jediné zrušujúce ustanovenie.</w:t>
      </w:r>
      <w:r>
        <w:rPr>
          <w:sz w:val="20"/>
        </w:rPr>
        <w:t xml:space="preserve"> </w:t>
      </w:r>
      <w:r>
        <w:rPr>
          <w:sz w:val="20"/>
          <w:i/>
        </w:rPr>
        <w:t xml:space="preserve">Zrušenie právnych predpisov.</w:t>
      </w:r>
    </w:p>
    <w:p w:rsidR="001B208E" w:rsidRDefault="001B208E" w:rsidP="007D7D7B">
      <w:pPr>
        <w:pStyle w:val="Default"/>
        <w:widowControl/>
        <w:spacing w:before="120" w:after="120"/>
        <w:ind w:firstLine="720"/>
        <w:rPr>
          <w:sz w:val="20"/>
          <w:szCs w:val="20"/>
        </w:rPr>
      </w:pPr>
      <w:r>
        <w:rPr>
          <w:sz w:val="20"/>
        </w:rPr>
        <w:t xml:space="preserve">Všetky ustanovenia, ktoré sú v konflikte alebo v rozpore s ustanoveniami tohto kráľovského dekrétu alebo sú s ním nezlučiteľné, sa týmto zrušujú.</w:t>
      </w:r>
    </w:p>
    <w:p w:rsidR="001B208E" w:rsidRDefault="001B208E" w:rsidP="007D7D7B">
      <w:pPr>
        <w:pStyle w:val="Default"/>
        <w:keepNext/>
        <w:keepLines/>
        <w:widowControl/>
        <w:spacing w:before="120" w:after="120"/>
        <w:ind w:firstLine="720"/>
        <w:rPr>
          <w:sz w:val="20"/>
          <w:szCs w:val="20"/>
        </w:rPr>
      </w:pPr>
      <w:r>
        <w:rPr>
          <w:sz w:val="20"/>
        </w:rPr>
        <w:t xml:space="preserve">Prvé záverečné ustanovenie.</w:t>
      </w:r>
      <w:r>
        <w:rPr>
          <w:sz w:val="20"/>
        </w:rPr>
        <w:t xml:space="preserve"> </w:t>
      </w:r>
      <w:r>
        <w:rPr>
          <w:sz w:val="20"/>
          <w:i/>
        </w:rPr>
        <w:t xml:space="preserve">Právomoc</w:t>
      </w:r>
    </w:p>
    <w:p w:rsidR="001B208E" w:rsidRDefault="001B208E" w:rsidP="007D7D7B">
      <w:pPr>
        <w:pStyle w:val="Default"/>
        <w:widowControl/>
        <w:spacing w:before="120" w:after="120"/>
        <w:ind w:firstLine="720"/>
        <w:rPr>
          <w:sz w:val="20"/>
          <w:szCs w:val="20"/>
        </w:rPr>
      </w:pPr>
      <w:r>
        <w:rPr>
          <w:sz w:val="20"/>
        </w:rPr>
        <w:t xml:space="preserve">Tento kráľovský dekrét je základným textom a prijíma sa podľa článku 149 ods. 1 body 13 a 23 španielskej ústavy, ktorým sa štátu udeľuje výlučná právomoc nad základnými pravidlami a koordináciou všeobecného hospodárskeho plánovania a právnymi predpismi o ochrane životného prostredia.</w:t>
      </w:r>
    </w:p>
    <w:p w:rsidR="001B208E" w:rsidRDefault="001B208E" w:rsidP="007D7D7B">
      <w:pPr>
        <w:pStyle w:val="Default"/>
        <w:keepNext/>
        <w:keepLines/>
        <w:widowControl/>
        <w:spacing w:before="120" w:after="120"/>
        <w:ind w:firstLine="720"/>
        <w:rPr>
          <w:sz w:val="20"/>
          <w:szCs w:val="20"/>
        </w:rPr>
      </w:pPr>
      <w:r>
        <w:rPr>
          <w:sz w:val="20"/>
        </w:rPr>
        <w:t xml:space="preserve">Druhé záverečné ustanovenie.</w:t>
      </w:r>
      <w:r>
        <w:rPr>
          <w:sz w:val="20"/>
        </w:rPr>
        <w:t xml:space="preserve"> </w:t>
      </w:r>
      <w:r>
        <w:rPr>
          <w:sz w:val="20"/>
          <w:i/>
        </w:rPr>
        <w:t xml:space="preserve">Transpozícia právnych predpisov Európskej únie</w:t>
      </w:r>
    </w:p>
    <w:p w:rsidR="001B208E" w:rsidRDefault="001B208E" w:rsidP="007D7D7B">
      <w:pPr>
        <w:pStyle w:val="Default"/>
        <w:widowControl/>
        <w:spacing w:before="120" w:after="120"/>
        <w:ind w:firstLine="720"/>
        <w:rPr>
          <w:sz w:val="20"/>
          <w:szCs w:val="20"/>
        </w:rPr>
      </w:pPr>
      <w:r>
        <w:rPr>
          <w:sz w:val="20"/>
        </w:rPr>
        <w:t xml:space="preserve">Týmto kráľovským dekrétom sa transponuje smernica Európskeho parlamentu a Rady (EÚ) 2015/720 z 29. apríla 2015, ktorou sa mení smernica 94/62/ES, pokiaľ ide o zníženie spotreby ľahkých plastových tašiek, do španielskych právnych predpisov.</w:t>
      </w:r>
    </w:p>
    <w:p w:rsidR="001B208E" w:rsidRDefault="001B208E" w:rsidP="007D7D7B">
      <w:pPr>
        <w:pStyle w:val="Default"/>
        <w:keepNext/>
        <w:keepLines/>
        <w:widowControl/>
        <w:spacing w:before="120" w:after="120"/>
        <w:ind w:firstLine="720"/>
        <w:rPr>
          <w:sz w:val="20"/>
          <w:szCs w:val="20"/>
        </w:rPr>
      </w:pPr>
      <w:r>
        <w:rPr>
          <w:sz w:val="20"/>
        </w:rPr>
        <w:t xml:space="preserve">Tretie záverečné ustanovenie.</w:t>
      </w:r>
      <w:r>
        <w:rPr>
          <w:sz w:val="20"/>
        </w:rPr>
        <w:t xml:space="preserve"> </w:t>
      </w:r>
      <w:r>
        <w:rPr>
          <w:sz w:val="20"/>
          <w:i/>
        </w:rPr>
        <w:t xml:space="preserve">Oprávnenie na vykonávanie.</w:t>
      </w:r>
    </w:p>
    <w:p w:rsidR="001B208E" w:rsidRDefault="001B208E" w:rsidP="007D7D7B">
      <w:pPr>
        <w:pStyle w:val="Default"/>
        <w:widowControl/>
        <w:spacing w:before="120" w:after="120"/>
        <w:ind w:firstLine="720"/>
        <w:rPr>
          <w:sz w:val="20"/>
          <w:szCs w:val="20"/>
        </w:rPr>
      </w:pPr>
      <w:r>
        <w:rPr>
          <w:sz w:val="20"/>
        </w:rPr>
        <w:t xml:space="preserve">Zodpovedná osoba na ministerstve pre poľnohospodárstvo, rybolov, potravinárstvo a životné prostredie sa týmto oprávňuje v rámci svojich povinností vydávať ustanovenia potrebné na uplatňovanie a vykonávanie tohto kráľovského dekrétu, najmä na úpravu príloh k ustanoveniam a zmeny stanovené v medzinárodných nariadeniach, v právnych predpisoch Európskej únie a v akýchkoľvek platných záveroch správ uvedených v prvom doplňujúcom ustanovení.</w:t>
      </w:r>
    </w:p>
    <w:p w:rsidR="001B208E" w:rsidRDefault="001B208E" w:rsidP="007D7D7B">
      <w:pPr>
        <w:pStyle w:val="Default"/>
        <w:keepNext/>
        <w:keepLines/>
        <w:widowControl/>
        <w:spacing w:before="120" w:after="120"/>
        <w:ind w:firstLine="720"/>
        <w:rPr>
          <w:sz w:val="20"/>
          <w:szCs w:val="20"/>
        </w:rPr>
      </w:pPr>
      <w:r>
        <w:rPr>
          <w:sz w:val="20"/>
        </w:rPr>
        <w:t xml:space="preserve">Štvrté záverečné ustanovenie.</w:t>
      </w:r>
      <w:r>
        <w:rPr>
          <w:sz w:val="20"/>
        </w:rPr>
        <w:t xml:space="preserve"> </w:t>
      </w:r>
      <w:r>
        <w:rPr>
          <w:sz w:val="20"/>
          <w:i/>
        </w:rPr>
        <w:t xml:space="preserve">Nadobudnutie účinnosti.</w:t>
      </w:r>
    </w:p>
    <w:p w:rsidR="001B208E" w:rsidRDefault="001B208E" w:rsidP="007D7D7B">
      <w:pPr>
        <w:pStyle w:val="Default"/>
        <w:widowControl/>
        <w:spacing w:before="120" w:after="120"/>
        <w:ind w:firstLine="720"/>
        <w:rPr>
          <w:sz w:val="20"/>
          <w:szCs w:val="20"/>
        </w:rPr>
      </w:pPr>
      <w:r>
        <w:rPr>
          <w:sz w:val="20"/>
        </w:rPr>
        <w:t xml:space="preserve">Tento kráľovský dekrét nadobúda účinnosť v nasledujúci deň po jeho zverejnení v </w:t>
      </w:r>
      <w:r>
        <w:rPr>
          <w:sz w:val="20"/>
        </w:rPr>
        <w:t xml:space="preserve">úradnom vestníku.</w:t>
      </w:r>
    </w:p>
    <w:p w:rsidR="001B208E" w:rsidRDefault="001B208E" w:rsidP="007D7D7B">
      <w:pPr>
        <w:pStyle w:val="Default"/>
        <w:widowControl/>
        <w:spacing w:before="120" w:after="120"/>
        <w:ind w:firstLine="720"/>
        <w:rPr>
          <w:sz w:val="20"/>
          <w:szCs w:val="20"/>
        </w:rPr>
      </w:pPr>
      <w:r>
        <w:rPr>
          <w:sz w:val="20"/>
        </w:rPr>
        <w:t xml:space="preserve">Madrid, 18. mája 2018.</w:t>
      </w:r>
    </w:p>
    <w:p w:rsidR="001B208E" w:rsidRDefault="001B208E" w:rsidP="007D7D7B">
      <w:pPr>
        <w:pStyle w:val="Default"/>
        <w:widowControl/>
        <w:spacing w:before="120" w:after="120"/>
        <w:ind w:firstLine="720"/>
        <w:jc w:val="right"/>
        <w:rPr>
          <w:sz w:val="20"/>
          <w:szCs w:val="20"/>
        </w:rPr>
      </w:pPr>
      <w:r>
        <w:rPr>
          <w:sz w:val="20"/>
        </w:rPr>
        <w:t xml:space="preserve">FELIPE R.</w:t>
      </w:r>
    </w:p>
    <w:p w:rsidR="001B208E" w:rsidRDefault="001B208E" w:rsidP="007D7D7B">
      <w:pPr>
        <w:pStyle w:val="Pa1"/>
        <w:widowControl/>
        <w:spacing w:before="120" w:after="120" w:line="240" w:lineRule="auto"/>
        <w:jc w:val="center"/>
        <w:rPr>
          <w:color w:val="000000"/>
          <w:sz w:val="16"/>
          <w:szCs w:val="16"/>
        </w:rPr>
      </w:pPr>
      <w:r>
        <w:rPr>
          <w:color w:val="000000"/>
          <w:sz w:val="16"/>
        </w:rPr>
        <w:t xml:space="preserve">Minister poľnohospodárstva, rybolovu, potravinárstva a životného prostredia</w:t>
      </w:r>
    </w:p>
    <w:p w:rsidR="001B208E" w:rsidRDefault="001B208E" w:rsidP="007D7D7B">
      <w:pPr>
        <w:pStyle w:val="Pa1"/>
        <w:widowControl/>
        <w:spacing w:before="120" w:after="120" w:line="240" w:lineRule="auto"/>
        <w:jc w:val="center"/>
        <w:rPr>
          <w:color w:val="000000"/>
          <w:sz w:val="16"/>
          <w:szCs w:val="16"/>
        </w:rPr>
      </w:pPr>
      <w:r>
        <w:rPr>
          <w:color w:val="000000"/>
          <w:sz w:val="16"/>
        </w:rPr>
        <w:t xml:space="preserve">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PRÍLOHA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Orientačné ceny plastových tašiek</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 xml:space="preserve">Orientačné ceny plastových tašiek podľa hrúbky steny</w:t>
      </w:r>
    </w:p>
    <w:p w:rsidR="001B208E" w:rsidRDefault="001B208E" w:rsidP="007D7D7B">
      <w:pPr>
        <w:pStyle w:val="Default"/>
        <w:widowControl/>
        <w:spacing w:before="120" w:after="120"/>
        <w:ind w:firstLine="720"/>
        <w:rPr>
          <w:sz w:val="20"/>
          <w:szCs w:val="20"/>
        </w:rPr>
      </w:pPr>
      <w:r>
        <w:rPr>
          <w:sz w:val="20"/>
        </w:rPr>
        <w:t xml:space="preserve">Plastové tašky s hrúbkou steny menšou ako 15 mikrónov určené na iné použitia ako tie, ktoré sa uvádzajú vo vymedzení veľmi ľahkých plastových tašiek v článku 3 písm. d):</w:t>
      </w:r>
      <w:r>
        <w:rPr>
          <w:sz w:val="20"/>
        </w:rPr>
        <w:t xml:space="preserve"> </w:t>
      </w:r>
      <w:r>
        <w:rPr>
          <w:sz w:val="20"/>
        </w:rPr>
        <w:t xml:space="preserve">5 centov/taška</w:t>
      </w:r>
    </w:p>
    <w:p w:rsidR="001B208E" w:rsidRDefault="001B208E" w:rsidP="007D7D7B">
      <w:pPr>
        <w:pStyle w:val="Default"/>
        <w:widowControl/>
        <w:spacing w:before="120" w:after="120"/>
        <w:ind w:firstLine="720"/>
        <w:rPr>
          <w:sz w:val="20"/>
          <w:szCs w:val="20"/>
        </w:rPr>
      </w:pPr>
      <w:r>
        <w:rPr>
          <w:sz w:val="20"/>
        </w:rPr>
        <w:t xml:space="preserve">Plastové tašky s hrúbkou steny od 15 do 49 mikrónov:</w:t>
      </w:r>
      <w:r>
        <w:rPr>
          <w:sz w:val="20"/>
        </w:rPr>
        <w:t xml:space="preserve"> </w:t>
      </w:r>
      <w:r>
        <w:rPr>
          <w:sz w:val="20"/>
        </w:rPr>
        <w:t xml:space="preserve">15 centov/taška</w:t>
      </w:r>
    </w:p>
    <w:p w:rsidR="001B208E" w:rsidRDefault="001B208E" w:rsidP="007D7D7B">
      <w:pPr>
        <w:pStyle w:val="Default"/>
        <w:widowControl/>
        <w:spacing w:before="120" w:after="120"/>
        <w:ind w:firstLine="720"/>
        <w:rPr>
          <w:sz w:val="20"/>
          <w:szCs w:val="20"/>
        </w:rPr>
      </w:pPr>
      <w:r>
        <w:rPr>
          <w:sz w:val="20"/>
        </w:rPr>
        <w:t xml:space="preserve">Plastové tašky s hrúbkou steny väčšou alebo rovnajúcou sa 50 mikrónom:</w:t>
      </w:r>
      <w:r>
        <w:rPr>
          <w:sz w:val="20"/>
        </w:rPr>
        <w:t xml:space="preserve"> </w:t>
      </w:r>
      <w:r>
        <w:rPr>
          <w:sz w:val="20"/>
        </w:rPr>
        <w:t xml:space="preserve">15 centov/taška</w:t>
      </w:r>
    </w:p>
    <w:p w:rsidR="001B208E" w:rsidRDefault="001B208E" w:rsidP="007D7D7B">
      <w:pPr>
        <w:pStyle w:val="Default"/>
        <w:widowControl/>
        <w:spacing w:before="120" w:after="120"/>
        <w:ind w:firstLine="720"/>
        <w:rPr>
          <w:sz w:val="20"/>
          <w:szCs w:val="20"/>
        </w:rPr>
      </w:pPr>
      <w:r>
        <w:rPr>
          <w:sz w:val="20"/>
        </w:rPr>
        <w:t xml:space="preserve">Plastové tašky s hrúbkou steny väčšou alebo rovnajúcou sa 50 mikrónom vyrobené z najmenej 50 % až 70 % recyklovaného plastu:</w:t>
      </w:r>
      <w:r>
        <w:rPr>
          <w:sz w:val="20"/>
        </w:rPr>
        <w:t xml:space="preserve"> </w:t>
      </w:r>
      <w:r>
        <w:rPr>
          <w:sz w:val="20"/>
        </w:rPr>
        <w:t xml:space="preserve">10 centov/taška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PRÍLOHA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 xml:space="preserve">Registrácia a výročné informácie o plastových taškách, ktoré sa majú predložiť Registru výrobcov výrobkov</w:t>
      </w:r>
    </w:p>
    <w:p w:rsidR="001B208E" w:rsidRDefault="001B208E" w:rsidP="007D7D7B">
      <w:pPr>
        <w:pStyle w:val="Default"/>
        <w:widowControl/>
        <w:spacing w:before="120" w:after="120"/>
        <w:ind w:firstLine="720"/>
        <w:rPr>
          <w:sz w:val="20"/>
          <w:szCs w:val="20"/>
        </w:rPr>
      </w:pPr>
      <w:r>
        <w:rPr>
          <w:sz w:val="20"/>
        </w:rPr>
        <w:t xml:space="preserve">1.</w:t>
      </w:r>
      <w:r>
        <w:rPr>
          <w:sz w:val="20"/>
        </w:rPr>
        <w:t xml:space="preserve"> </w:t>
      </w:r>
      <w:r>
        <w:rPr>
          <w:sz w:val="20"/>
        </w:rPr>
        <w:t xml:space="preserve">Informácie o registrácii v registri výrobcov výrobkov</w:t>
      </w:r>
    </w:p>
    <w:p w:rsidR="001B208E" w:rsidRDefault="001B208E" w:rsidP="007D7D7B">
      <w:pPr>
        <w:pStyle w:val="Default"/>
        <w:widowControl/>
        <w:spacing w:before="120" w:after="120"/>
        <w:ind w:firstLine="720"/>
        <w:rPr>
          <w:sz w:val="20"/>
          <w:szCs w:val="20"/>
        </w:rPr>
      </w:pPr>
      <w:r>
        <w:rPr>
          <w:sz w:val="20"/>
        </w:rPr>
        <w:t xml:space="preserve">V čase registrácie sa od výrobcov plastových tašiek vyžaduje, aby poskytli a aktualizovali tieto informácie:</w:t>
      </w:r>
    </w:p>
    <w:p w:rsidR="001B208E" w:rsidRDefault="001B208E" w:rsidP="007D7D7B">
      <w:pPr>
        <w:pStyle w:val="Default"/>
        <w:widowControl/>
        <w:spacing w:before="120" w:after="120"/>
        <w:ind w:firstLine="720"/>
        <w:rPr>
          <w:sz w:val="20"/>
          <w:szCs w:val="20"/>
        </w:rPr>
      </w:pPr>
      <w:r>
        <w:rPr>
          <w:sz w:val="20"/>
        </w:rPr>
        <w:t xml:space="preserve">(a) meno a adresa výrobcu alebo jeho splnomocneného zástupcu vrátane PSČ, mesta, ulice a čísla, krajiny, telefónneho čísla, faxového čísla, e-mailu a kontaktnej osoby.</w:t>
      </w:r>
      <w:r>
        <w:rPr>
          <w:sz w:val="20"/>
        </w:rPr>
        <w:t xml:space="preserve"> </w:t>
      </w:r>
      <w:r>
        <w:rPr>
          <w:sz w:val="20"/>
        </w:rPr>
        <w:t xml:space="preserve">V prípade splnomocneného zástupcu sa musia poskytnúť aj kontaktné údaje pre zastupovaného výrobcu.</w:t>
      </w:r>
    </w:p>
    <w:p w:rsidR="001B208E" w:rsidRDefault="001B208E" w:rsidP="007D7D7B">
      <w:pPr>
        <w:pStyle w:val="Default"/>
        <w:widowControl/>
        <w:spacing w:before="120" w:after="120"/>
        <w:ind w:firstLine="720"/>
        <w:rPr>
          <w:sz w:val="20"/>
          <w:szCs w:val="20"/>
        </w:rPr>
      </w:pPr>
      <w:r>
        <w:rPr>
          <w:sz w:val="20"/>
        </w:rPr>
        <w:t xml:space="preserve">(b) európske daňové identifikačné číslo alebo španielske národné daňové identifikačné číslo.</w:t>
      </w:r>
    </w:p>
    <w:p w:rsidR="001B208E" w:rsidRDefault="001B208E" w:rsidP="007D7D7B">
      <w:pPr>
        <w:pStyle w:val="Default"/>
        <w:widowControl/>
        <w:spacing w:before="120" w:after="120"/>
        <w:ind w:firstLine="720"/>
        <w:rPr>
          <w:sz w:val="20"/>
          <w:szCs w:val="20"/>
        </w:rPr>
      </w:pPr>
      <w:r>
        <w:rPr>
          <w:sz w:val="20"/>
        </w:rPr>
        <w:t xml:space="preserve">(c) vyhlásenie o presnosti poskytnutých informácií.</w:t>
      </w:r>
    </w:p>
    <w:p w:rsidR="001B208E" w:rsidRDefault="001B208E" w:rsidP="007D7D7B">
      <w:pPr>
        <w:pStyle w:val="Default"/>
        <w:widowControl/>
        <w:spacing w:before="120" w:after="120"/>
        <w:ind w:firstLine="720"/>
        <w:rPr>
          <w:sz w:val="20"/>
          <w:szCs w:val="20"/>
        </w:rPr>
      </w:pPr>
      <w:r>
        <w:rPr>
          <w:sz w:val="20"/>
        </w:rPr>
        <w:t xml:space="preserve">2.</w:t>
      </w:r>
      <w:r>
        <w:rPr>
          <w:sz w:val="20"/>
        </w:rPr>
        <w:t xml:space="preserve"> </w:t>
      </w:r>
      <w:r>
        <w:rPr>
          <w:sz w:val="20"/>
        </w:rPr>
        <w:t xml:space="preserve">Výročné informácie o plastových taškách na národnom trhu, ktoré budú predložené výrobcom.</w:t>
      </w:r>
    </w:p>
    <w:tbl>
      <w:tblPr>
        <w:tblW w:w="5000" w:type="pct"/>
        <w:tblCellMar>
          <w:left w:w="29" w:type="dxa"/>
          <w:right w:w="29" w:type="dxa"/>
        </w:tblCellMar>
        <w:tblLook w:val="0000" w:firstRow="0" w:lastRow="0" w:firstColumn="0" w:lastColumn="0" w:noHBand="0" w:noVBand="0"/>
      </w:tblPr>
      <w:tblGrid>
        <w:gridCol w:w="779"/>
        <w:gridCol w:w="682"/>
        <w:gridCol w:w="683"/>
        <w:gridCol w:w="683"/>
        <w:gridCol w:w="717"/>
        <w:gridCol w:w="675"/>
        <w:gridCol w:w="675"/>
        <w:gridCol w:w="675"/>
        <w:gridCol w:w="717"/>
        <w:gridCol w:w="754"/>
        <w:gridCol w:w="754"/>
        <w:gridCol w:w="754"/>
        <w:gridCol w:w="735"/>
        <w:gridCol w:w="735"/>
        <w:gridCol w:w="735"/>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Hrúbka steny</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(mikrónov)</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polyetylénové plastové tašky s vysokou hustotou</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polyetylénové plastové tašky s nízkou hustotou</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Kompostovateľné plastové tašky</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Tašky vyrobené z iného typu plastu</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Jednotky</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Hmotnosť jednotky (g/taška)</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Hmotnosť (tony)</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Obsah recyklovaného plastu (v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Jednotky</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Hmotnosť jednotky (g/taška)</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Hmotnosť (tony)</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Obsah recyklovaného plastu (v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Jednotky</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Hmotnosť jednotky (g/taška)</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Hmotnosť (tony)</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Jednotky</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Hmotnosť jednotky (g/taška)</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 xml:space="preserve">Hmotnosť (tony)</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 xml:space="preserve">Menej ako 15 a poskytované bezplatne.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 xml:space="preserve">Menej ako 15 a neposkytované bezplatne.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 xml:space="preserve">Od 15 do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 xml:space="preserve">Viac alebo rovnajúce sa 50</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A9" w:rsidRDefault="00A67DA9" w:rsidP="00751786">
      <w:pPr>
        <w:spacing w:after="0" w:line="240" w:lineRule="auto"/>
      </w:pPr>
      <w:r>
        <w:separator/>
      </w:r>
    </w:p>
  </w:endnote>
  <w:endnote w:type="continuationSeparator" w:id="0">
    <w:p w:rsidR="00A67DA9" w:rsidRDefault="00A67DA9"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A9" w:rsidRDefault="00A67DA9" w:rsidP="00751786">
      <w:pPr>
        <w:spacing w:after="0" w:line="240" w:lineRule="auto"/>
      </w:pPr>
      <w:r>
        <w:separator/>
      </w:r>
    </w:p>
  </w:footnote>
  <w:footnote w:type="continuationSeparator" w:id="0">
    <w:p w:rsidR="00A67DA9" w:rsidRDefault="00A67DA9"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A67DA9"/>
    <w:rsid w:val="00C1192B"/>
    <w:rsid w:val="00DD0252"/>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sk-SK" w:eastAsia="en-GB"/>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sk-SK" w:eastAsia="en-GB"/>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F2DD-172F-40B9-988A-21A0DAFF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John McCarthy</cp:lastModifiedBy>
  <cp:revision>3</cp:revision>
  <dcterms:created xsi:type="dcterms:W3CDTF">2018-05-23T01:31:00Z</dcterms:created>
  <dcterms:modified xsi:type="dcterms:W3CDTF">2018-09-27T15:05:00Z</dcterms:modified>
</cp:coreProperties>
</file>