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6393" w14:textId="77777777" w:rsidR="002A3E9F" w:rsidRPr="002A3E9F" w:rsidRDefault="002A3E9F" w:rsidP="002A3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Vyhláška č. 2022-539 z 13. apríla 2022 o kompenzácii emisií uhlíka a tvrdeniach o uhlíkovej neutralite v reklame</w:t>
      </w:r>
    </w:p>
    <w:p w14:paraId="20A9DF49" w14:textId="77777777" w:rsidR="002A3E9F" w:rsidRPr="002A3E9F" w:rsidRDefault="002A3E9F" w:rsidP="002A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TRER2209794D</w:t>
      </w:r>
      <w:r>
        <w:rPr>
          <w:rFonts w:ascii="Times New Roman" w:hAnsi="Times New Roman"/>
          <w:sz w:val="24"/>
        </w:rPr>
        <w:br/>
        <w:t>ELI: https://www.legifrance.gouv.fr/eli/decret/2022/4/13/TRER2209794D/jo/texte</w:t>
      </w:r>
      <w:r>
        <w:rPr>
          <w:rFonts w:ascii="Times New Roman" w:hAnsi="Times New Roman"/>
          <w:sz w:val="24"/>
        </w:rPr>
        <w:br/>
        <w:t>Alias: https://www.legifrance.gouv.fr/eli/decret/2022/4/13/2022-539/jo/texte</w:t>
      </w:r>
      <w:r>
        <w:rPr>
          <w:rFonts w:ascii="Times New Roman" w:hAnsi="Times New Roman"/>
          <w:sz w:val="24"/>
        </w:rPr>
        <w:br/>
        <w:t>Ú. v. FR č. 0088 zo 14. apríla 2022</w:t>
      </w:r>
      <w:r>
        <w:rPr>
          <w:rFonts w:ascii="Times New Roman" w:hAnsi="Times New Roman"/>
          <w:sz w:val="24"/>
        </w:rPr>
        <w:br/>
        <w:t>Text č. 17</w:t>
      </w:r>
    </w:p>
    <w:p w14:paraId="2FE7C80A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Cieľová skupina: inzerenti. </w:t>
      </w:r>
      <w:r>
        <w:rPr>
          <w:rFonts w:ascii="Times New Roman" w:hAnsi="Times New Roman"/>
          <w:sz w:val="24"/>
        </w:rPr>
        <w:br/>
        <w:t xml:space="preserve">Vec: podrobné pravidlá na vykonávanie oznámení zo strany inzerentov o zmienkach o uhlíkovej neutralite výrobkov a služieb podľa článku 12 zákona č. 2021-1104 z 22. augusta 2021 o boji proti zmene klímy a posilňovaní odolnosti voči jej účinkom. </w:t>
      </w:r>
      <w:r>
        <w:rPr>
          <w:rFonts w:ascii="Times New Roman" w:hAnsi="Times New Roman"/>
          <w:sz w:val="24"/>
        </w:rPr>
        <w:br/>
        <w:t xml:space="preserve">Nadobudnutie účinnosti: text nadobúda účinnosť 1. januára 2023. </w:t>
      </w:r>
      <w:r>
        <w:rPr>
          <w:rFonts w:ascii="Times New Roman" w:hAnsi="Times New Roman"/>
          <w:sz w:val="24"/>
        </w:rPr>
        <w:br/>
        <w:t xml:space="preserve">Poznámka: vo vyhláške sa stanovujú podrobné pravidlá oznámení inzerentov o uhlíkovej neutralite ich výrobkov alebo služieb. Uvádzajú sa v nej aj protitvrdenia proti týmto tvrdeniam s cieľom zabezpečiť transparentnosť voči verejnosti a zabrániť akémukoľvek riziku environmentálne klamlivých tvrdení („greenwashing“). Týka sa to všetkých reklám šírených po nadobudnutí účinnosti textu. </w:t>
      </w:r>
      <w:r>
        <w:rPr>
          <w:rFonts w:ascii="Times New Roman" w:hAnsi="Times New Roman"/>
          <w:sz w:val="24"/>
        </w:rPr>
        <w:br/>
        <w:t xml:space="preserve">Odkazy: environmentálny zákonník upravený vyhláškou v znení vyplývajúcom z tejto zmeny je k dispozícii na webovom sídle Légifrance (https://www.legifrance.gouv.fr). </w:t>
      </w:r>
    </w:p>
    <w:p w14:paraId="69F1FD46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Predseda vlády,</w:t>
      </w:r>
      <w:r>
        <w:rPr>
          <w:rFonts w:ascii="Times New Roman" w:hAnsi="Times New Roman"/>
          <w:sz w:val="24"/>
        </w:rPr>
        <w:br/>
        <w:t>na základe správy ministerky pre ekologickú transformáciu,</w:t>
      </w:r>
      <w:r>
        <w:rPr>
          <w:rFonts w:ascii="Times New Roman" w:hAnsi="Times New Roman"/>
          <w:sz w:val="24"/>
        </w:rPr>
        <w:br/>
        <w:t>so zreteľom na smernicu Európskeho parlamentu a Rady (EÚ) 2015/1535 z 9. septembra 2015, ktorou sa stanovuje postup pri poskytovaní informácií v oblasti technických predpisov a pravidiel vzťahujúcich sa na služby informačnej spoločnosti, a najmä na oznámenie č. 2021/904/F,</w:t>
      </w:r>
      <w:r>
        <w:rPr>
          <w:rFonts w:ascii="Times New Roman" w:hAnsi="Times New Roman"/>
          <w:sz w:val="24"/>
        </w:rPr>
        <w:br/>
        <w:t>so zreteľom na environmentálny zákonník,</w:t>
      </w:r>
      <w:r>
        <w:rPr>
          <w:rFonts w:ascii="Times New Roman" w:hAnsi="Times New Roman"/>
          <w:sz w:val="24"/>
        </w:rPr>
        <w:br/>
        <w:t>so zreteľom na zákon č. 2021-1104 z 22. augusta 2021 o boji proti zmene klímy a posilňovaní odolnosti voči jej účinkom, a najmä na jeho články 12 a 147,</w:t>
      </w:r>
      <w:r>
        <w:rPr>
          <w:rFonts w:ascii="Times New Roman" w:hAnsi="Times New Roman"/>
          <w:sz w:val="24"/>
        </w:rPr>
        <w:br/>
        <w:t>so zreteľom na vyhlášku č. 97-1198 z 19. decembra 1997, ktorou sa vykonáva prvý odsek článku 2 vyhlášky č. 97-34 z 15. januára 1997 o decentralizácii jednotlivých správnych rozhodnutí a ktorá sa vzťahuje na ministrov zodpovedných za ekologickú a solidárnu transformáciu, územnú súdržnosť a vzťahy s miestnymi a regionálnymi orgánmi,</w:t>
      </w:r>
      <w:r>
        <w:rPr>
          <w:rFonts w:ascii="Times New Roman" w:hAnsi="Times New Roman"/>
          <w:sz w:val="24"/>
        </w:rPr>
        <w:br/>
        <w:t>so zreteľom na vyhlášku č. 2020-457 z 21. apríla 2020 o národných rozpočtoch v oblasti emisií uhlíka a národnej nízkouhlíkovej stratégii,</w:t>
      </w:r>
      <w:r>
        <w:rPr>
          <w:rFonts w:ascii="Times New Roman" w:hAnsi="Times New Roman"/>
          <w:sz w:val="24"/>
        </w:rPr>
        <w:br/>
        <w:t>so zreteľom na pripomienky vznesené počas verejnej konzultácie uskutočnenej od 20. januára 2022 do 10. februára 2022 podľa článku L. 123-19-1 environmentálneho zákonníka,</w:t>
      </w:r>
      <w:r>
        <w:rPr>
          <w:rFonts w:ascii="Times New Roman" w:hAnsi="Times New Roman"/>
          <w:sz w:val="24"/>
        </w:rPr>
        <w:br/>
        <w:t>nariaďuje:</w:t>
      </w:r>
    </w:p>
    <w:p w14:paraId="038E57E0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 1</w:t>
      </w:r>
    </w:p>
    <w:p w14:paraId="06CDE001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Do kapitoly IX hlavy II knihy II environmentálneho zákonníka sa dopĺňa oddiel 9, ktorý má toto znenie:</w:t>
      </w:r>
    </w:p>
    <w:p w14:paraId="23173F9C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„Oddiel 9 „Environmentálne tvrdenia“</w:t>
      </w:r>
    </w:p>
    <w:p w14:paraId="4DF014D2" w14:textId="17A4DEDB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 Článok D. 229-106. - Inzerent, ktorý v reklame tvrdí, že výrobok alebo služba sú „uhlíkovo neutrálne“, „bezuhlíkové“, „s nulovou uhlíkovou stopou“, „klimaticky neutrálne“, „plne kompenzované“, „100 % kompenzované“ alebo používa akékoľvek znenie rovnocenného významu alebo rozsahu, musí dodržiavať ustanovenia tohto oddielu.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Tento oddiel sa vzťahuje na reklamnú korešpondenciu a reklamné tlačoviny, reklamné plagáty, reklamy v tlačových publikáciách, reklamy v kinách, reklamy vysielané prostredníctvom televíznych alebo rozhlasových vysielacích služieb a prostredníctvom online komunikačných služieb, ako aj na tvrdenia umiestnené na obaloch výrobkov.</w:t>
      </w:r>
    </w:p>
    <w:p w14:paraId="0E5B8B44" w14:textId="745307FE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Článok D. 229-107. - Inzerent uvedený v článku D. 229-106 vypracuje bilanciu emisií skleníkových plynov príslušného výrobku alebo služby, ktorá sa vzťahuje na celý ich životný cyklus. Táto bilancia sa každoročne aktualizuje.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Táto bilancia sa zostavuje v súlade s požiadavkami normy NF EN ISO 14067 alebo akejkoľvek inej rovnocennej normy s požiadavkami tejto normy. Nariadením ministra zodpovedného za životné prostredie sa môžu doplniť tieto požiadavky, aby sa metodika bilancie emisií zosúladila s metodikou environmentálneho označovania stanoveného v článku L. 541-9-11 tohto zákonníka.</w:t>
      </w:r>
    </w:p>
    <w:p w14:paraId="68FA7469" w14:textId="3C00E57B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Článok D. 229-108. - Inzerent uvedený v článku D. 229-106 uverejní na svojom webovom sídle verejnej komunikácie alebo, ak to nie je možné, na svojej mobilnej aplikácii súhrnnú správu, v ktorej sa opisuje uhlíková stopa propagovaného výrobku alebo služby a prostriedky, ktorými sa týmto emisiám skleníkových plynov v prvom rade zabráni a ktorými sa potom znížia a nakoniec kompenzujú. Táto správa obsahuje tri prílohy, v ktorých sa podrobne uvádza jej obsah a ktoré sa prezentujú v tomto poradí:</w:t>
      </w:r>
      <w:r>
        <w:rPr>
          <w:rFonts w:ascii="Times New Roman" w:hAnsi="Times New Roman"/>
          <w:sz w:val="24"/>
        </w:rPr>
        <w:br/>
        <w:t>„(1) Príloha, v ktorej sú uvedené výsledky bilancie podľa článku D. 229-107 a súhrn metodiky použitej na zostavenie tejto bilancie. V tomto súhrne sa špecifikuje najmä rozsah použitý na vymedzenie príslušného výrobku alebo služby, použité funkčné alebo deklarované jednotky, hranice príslušného systému, spôsob spracovania etapy konca životnosti, emisné údaje zohľadnené v prípade elektriny alebo plynu spotrebovaného zo sietí. Uvádzajú sa v ňom krajiny alebo geografické oblasti, v ktorých dochádza k emisiám a emisiám z medzinárodnej dopravy, pokiaľ sú takéto údaje k dispozícii;</w:t>
      </w:r>
      <w:r>
        <w:rPr>
          <w:rFonts w:ascii="Times New Roman" w:hAnsi="Times New Roman"/>
          <w:sz w:val="24"/>
        </w:rPr>
        <w:br/>
        <w:t>„(2) Príloha, v ktorej sa stanovuje cieľová trajektória znižovania emisií skleníkových plynov súvisiacich s propagovaným výrobkom alebo službou, s kvantifikovanými ročnými cieľmi pokroku, ktoré sa vzťahujú aspoň na desať rokov po uverejnení správy podľa tohto oddielu. Každých 5 rokov po uverejnení prvej správy podľa tohto oddielu sa stanoví aktualizovaná trajektória vzťahujúca sa na ďalšie obdobie 10 rokov;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 xml:space="preserve">(3) príloha, v ktorej sa podrobne opisujú postupy kompenzácie zvyškových emisií, pričom sa špecifikuje najmä povaha a opis kompenzačných projektov.  V tejto prílohe sa uvádzajú aj informácie o ich nákladoch, pričom sú klasifikované podľa nasledujúcich kategórií: pod 10 EUR/t CO2, od 10 EUR do 40 EUR/t CO2 alebo nad 40 EUR/t CO2. Táto príloha preukazuje, že objem emisií znížených alebo zachytených prostredníctvom tejto kompenzácie zodpovedá zvyškovým emisiám všetkých predávaných výrobkov alebo služieb, na ktoré má reklama vplyv. V tejto prílohe sa tiež špecifikujú prostriedky, </w:t>
      </w:r>
      <w:r>
        <w:rPr>
          <w:rFonts w:ascii="Times New Roman" w:hAnsi="Times New Roman"/>
          <w:sz w:val="24"/>
        </w:rPr>
        <w:lastRenderedPageBreak/>
        <w:t>ktoré inzerent implementoval s cieľom zabezpečiť, aby sa dvakrát nezapočítala kompenzácia, ktorú tieto projekty umožňujú. Stanovujú sa v nej najmä metódy na odstránenie zníženia a zachytenia emisií z trhu pri použití kompenzačných kreditov. Napokon sa v tejto prílohe podrobne opisuje úsilie vynaložené na zabezpečenie čo najlepšieho súladu medzi geografickými oblasťami, v ktorých sa projekty realizujú a kde dochádza k emisiám.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Táto publikácia sa každoročne aktualizuje počas celého marketingového obdobia výrobku alebo služby, počas ktorého inzerent v reklame tvrdí, že rovnaký výrobok alebo služba sú uhlíkovo neutrálne alebo používa akékoľvek znenie rovnocenného významu alebo rozsahu. Aktualizácia umožňuje najmä monitorovať vývoj emisií súvisiacich s výrobkom alebo službou v porovnaní s vyššie uvedenou trajektóriou znižovania emisií. Inzerent teda stiahne tvrdenie uvedené v článku D. 229-106, ak sa ukáže, že jednotkové emisie spojené s výrobkom alebo službou sa pred kompenzáciou zvýšili počas dvoch po sebe nasledujúcich rokov.</w:t>
      </w:r>
      <w:r>
        <w:rPr>
          <w:rFonts w:ascii="Times New Roman" w:hAnsi="Times New Roman"/>
          <w:sz w:val="24"/>
        </w:rPr>
        <w:br/>
        <w:t xml:space="preserve">Webový odkaz alebo kód rýchlej odpovede (kód QR) na prístup k tejto publikácii je uvedený na reklame alebo obale s tvrdením o uhlíkovej neutralite. </w:t>
      </w:r>
    </w:p>
    <w:p w14:paraId="6B50CFA3" w14:textId="452EC655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Článok D. 229-109. - Zníženie a zachytenie emisií, ktoré sú výsledkom kompenzačných projektov, ktoré využíva inzerent uvedený v článku D. 229-106, musia byť v súlade s princípmi definovanými v článku L. 229-55 a jeho vykonávacích textoch.</w:t>
      </w:r>
      <w:r>
        <w:rPr>
          <w:rFonts w:ascii="Times New Roman" w:hAnsi="Times New Roman"/>
          <w:sz w:val="24"/>
        </w:rPr>
        <w:br/>
        <w:t xml:space="preserve">Kompenzačné projekty nesmú mať negatívny vplyv na zachovanie a obnovu prírodných ekosystémov a ich funkcií. 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Zníženie emisií uznané podľa vyhlášky č. 2018-1043 z 28. novembra 2018, ktorou sa vytvára označenie „nízkouhlíkové“ („Bas Carbone“), sa považuje za také, ktoré je v súlade dvoma predchádzajúcimi odsekmi.</w:t>
      </w:r>
      <w:r>
        <w:rPr>
          <w:rFonts w:ascii="Times New Roman" w:hAnsi="Times New Roman"/>
          <w:sz w:val="24"/>
        </w:rPr>
        <w:br/>
      </w:r>
      <w:r w:rsidR="0088211C" w:rsidRPr="0088211C">
        <w:rPr>
          <w:rFonts w:ascii="Times New Roman" w:hAnsi="Times New Roman"/>
          <w:sz w:val="24"/>
        </w:rPr>
        <w:t>„</w:t>
      </w:r>
      <w:r>
        <w:rPr>
          <w:rFonts w:ascii="Times New Roman" w:hAnsi="Times New Roman"/>
          <w:sz w:val="24"/>
        </w:rPr>
        <w:t>Inzerenti môžu uviesť znenie „Kompenzácia vykonaná vo Francúzsku“ alebo akékoľvek znenie rovnocenného významu alebo rozsahu len vtedy, ak sa všetky kompenzačné projekty vykonávajú vo Francúzsku.“</w:t>
      </w:r>
    </w:p>
    <w:p w14:paraId="163A84D9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 2</w:t>
      </w:r>
    </w:p>
    <w:p w14:paraId="5E072A35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Táto vyhláška nadobúda účinnosť 1. januára 2023.</w:t>
      </w:r>
      <w:r>
        <w:rPr>
          <w:rFonts w:ascii="Times New Roman" w:hAnsi="Times New Roman"/>
          <w:sz w:val="24"/>
        </w:rPr>
        <w:br/>
        <w:t>Do 31. decembra 2025 sa financovanie projektov v členských štátoch EÚ rovná pripisovaniu znižovania a zachytenia emisií inzerentovi v súlade s ustanoveniami článku D. 229-109, ak inzerent môže na základe zmluvy odôvodniť prípadné uznanie prospechu z kontrolovaného a overeného zníženia a zachytenia emisií tohto projektu. Inzerent zabezpečí splnenie svojich záväzkov týkajúcich sa kompenzácie emisií, v prípade potreby, získaním dodatočných uhlíkových kreditov zodpovedajúcich rozdielu medzi skontrolovaným a overeným znížením a zachytením emisií daného projektu a financovaným znížením a zachytením.</w:t>
      </w:r>
    </w:p>
    <w:p w14:paraId="53EB27FE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Článok 3</w:t>
      </w:r>
    </w:p>
    <w:p w14:paraId="7F6A14F6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Za vykonávanie tejto vyhlášky, ktorá bude uverejnená v Úradnom vestníku Francúzskej republiky, zodpovedá ministerka pre ekologickú transformáciu.</w:t>
      </w:r>
    </w:p>
    <w:p w14:paraId="23B30B78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Dňa 13. apríla 2022.</w:t>
      </w:r>
    </w:p>
    <w:p w14:paraId="26CBB5DD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Za predsedu vlády:</w:t>
      </w:r>
    </w:p>
    <w:p w14:paraId="700CACC2" w14:textId="351384A1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Ministerka pre ekologickú transformáciu,</w:t>
      </w:r>
      <w:r>
        <w:rPr>
          <w:rFonts w:ascii="Times New Roman" w:hAnsi="Times New Roman"/>
          <w:sz w:val="24"/>
        </w:rPr>
        <w:br/>
        <w:t xml:space="preserve">Barbara </w:t>
      </w:r>
      <w:r w:rsidR="00605C5A">
        <w:rPr>
          <w:rFonts w:ascii="Times New Roman" w:hAnsi="Times New Roman"/>
          <w:sz w:val="24"/>
        </w:rPr>
        <w:t>Pompili</w:t>
      </w:r>
    </w:p>
    <w:p w14:paraId="314C87A3" w14:textId="77777777" w:rsidR="001A38BC" w:rsidRDefault="001A38BC"/>
    <w:sectPr w:rsidR="001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F"/>
    <w:rsid w:val="001A38BC"/>
    <w:rsid w:val="002A3E9F"/>
    <w:rsid w:val="00605C5A"/>
    <w:rsid w:val="0088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EBD5"/>
  <w15:chartTrackingRefBased/>
  <w15:docId w15:val="{D727B5B7-DCF1-4F0A-896C-F06962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4</cp:revision>
  <dcterms:created xsi:type="dcterms:W3CDTF">2022-08-01T13:04:00Z</dcterms:created>
  <dcterms:modified xsi:type="dcterms:W3CDTF">2022-08-02T15:18:00Z</dcterms:modified>
</cp:coreProperties>
</file>