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Beļģijas Karaliste</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SABIEDRĪBAS VESELĪBAS, PĀRTIKAS APRITES DROŠĪBAS UN VIDES FEDERĀLAIS VALSTS DIENESTS</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Karaļa Dekrēts, ar ko aizliedz ražot un laist tirgū dažus līdzīgus produktus</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FILIPS, Beļģijas karalis,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ar laba vēlējumiem šobrīd un turpmāk.</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Ņemot vērā 1977. gada 24. janvāra Likuma par patērētāju veselības aizsardzību attiecībā uz pārtikas produktiem un citiem produktiem 6. panta 1. punkta a) apakšpunktu, kas grozīts ar 1989. gada 22. marta likumu, un 18. panta 1. punktu, kas aizstāts ar 1989. gada 22. marta likumu un grozīts ar 2003. gada 22. decembra likumu,</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Finanšu inspekcijas </w:t>
            </w:r>
            <w:r>
              <w:rPr>
                <w:highlight w:val="yellow"/>
                <w:rFonts w:ascii="Garamond" w:hAnsi="Garamond"/>
              </w:rPr>
              <w:t xml:space="preserve">[datums]</w:t>
            </w:r>
            <w:r>
              <w:rPr>
                <w:rFonts w:ascii="Garamond" w:hAnsi="Garamond"/>
              </w:rPr>
              <w:t xml:space="preserve"> atzinumu,</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budžeta lietu valsts sekretāra </w:t>
            </w:r>
            <w:r>
              <w:rPr>
                <w:highlight w:val="yellow"/>
                <w:rFonts w:ascii="Garamond" w:hAnsi="Garamond"/>
              </w:rPr>
              <w:t xml:space="preserve">[datums]</w:t>
            </w:r>
            <w:r>
              <w:rPr>
                <w:rFonts w:ascii="Garamond" w:hAnsi="Garamond"/>
              </w:rPr>
              <w:t xml:space="preserve"> vienošanos,</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w:t>
            </w:r>
            <w:r>
              <w:rPr>
                <w:highlight w:val="yellow"/>
                <w:rFonts w:ascii="Garamond" w:hAnsi="Garamond"/>
              </w:rPr>
              <w:t xml:space="preserve">[datums]</w:t>
            </w:r>
            <w:r>
              <w:rPr>
                <w:rFonts w:ascii="Garamond" w:hAnsi="Garamond"/>
              </w:rPr>
              <w:t xml:space="preserve"> regulējuma ietekmes novērtējumu, kas veikts saskaņā ar 2013. gada 15. decembra likuma 6. un 7. pantu, kurā ietverti dažādi noteikumi par administratīvo vienkāršošanu,</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paziņojumu, kas Eiropas Komisijai nosūtīts </w:t>
            </w:r>
            <w:r>
              <w:rPr>
                <w:highlight w:val="yellow"/>
                <w:rFonts w:ascii="Garamond" w:hAnsi="Garamond"/>
              </w:rPr>
              <w:t xml:space="preserve">[datums]</w:t>
            </w:r>
            <w:r>
              <w:rPr>
                <w:rFonts w:ascii="Garamond" w:hAnsi="Garamond"/>
              </w:rPr>
              <w:t xml:space="preserve"> saskaņā ar 5. panta 1. punktu Eiropas Parlamenta un Padomes 2015. gada 9. septembra Direktīvā (ES) 2015/1535, ar ko nosaka informācijas sniegšanas kārtību tehnisko noteikumu un Informācijas sabiedrības pakalpojumu noteikumu jomā,</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Eiropas Komisijas novērojumu, kas sniegts pēc............... paziņojuma...,]</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ņemot vērā Valsts padomes atzinumu </w:t>
            </w:r>
            <w:r>
              <w:rPr>
                <w:highlight w:val="yellow"/>
                <w:rFonts w:ascii="Garamond" w:hAnsi="Garamond"/>
              </w:rPr>
              <w:t xml:space="preserve">[numurs]</w:t>
            </w:r>
            <w:r>
              <w:rPr>
                <w:rFonts w:ascii="Garamond" w:hAnsi="Garamond"/>
              </w:rPr>
              <w:t xml:space="preserve">, kas izdots </w:t>
            </w:r>
            <w:r>
              <w:rPr>
                <w:highlight w:val="yellow"/>
                <w:rFonts w:ascii="Garamond" w:hAnsi="Garamond"/>
              </w:rPr>
              <w:t xml:space="preserve">[datums]</w:t>
            </w:r>
            <w:r>
              <w:rPr>
                <w:rFonts w:ascii="Garamond" w:hAnsi="Garamond"/>
              </w:rPr>
              <w:t xml:space="preserve"> saskaņā ar 84. panta 1. punkta 1) un 2) apakšpunktu Likumos par Valsts padomi, kas konsolidēti 1973. gada 12. janvārī,</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pamatojoties uz sabiedrības veselības ministra priekšlikumu,</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ESMU NOTEICIS UN AR ŠO IZDODU ŠĀDU DEKRĒTU.</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1. pants.</w:t>
            </w:r>
            <w:r>
              <w:rPr>
                <w:rFonts w:ascii="Garamond" w:hAnsi="Garamond"/>
              </w:rPr>
              <w:t xml:space="preserve"> </w:t>
            </w:r>
            <w:r>
              <w:rPr>
                <w:b/>
                <w:rFonts w:ascii="Garamond" w:hAnsi="Garamond"/>
              </w:rPr>
              <w:t xml:space="preserve">Definīcijas</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Šajā dekrētā:</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“nikotīna maisiņi”</w:t>
            </w:r>
            <w:r>
              <w:rPr>
                <w:sz w:val="20"/>
                <w:rFonts w:ascii="Times New Roman" w:hAnsi="Times New Roman"/>
              </w:rPr>
              <w:t xml:space="preserve"> </w:t>
            </w:r>
            <w:r>
              <w:rPr>
                <w:rFonts w:ascii="Garamond" w:hAnsi="Garamond"/>
              </w:rPr>
              <w:t xml:space="preserve">ir jebkurš orālai lietošanai paredzēts tabakas izstrādājums, kas pilnīgi vai daļēji sastāv no sintētiska vai dabiska nikotīna pulvera, daļiņu vai pastas veidā vai jebkādā šādu formu kombinācijā, jo īpaši tāds, kas porcionēts paciņās vai porainās paciņās;</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“kanabinoīdu maisiņš” ir jebkurš orālai lietošanai paredzēts produkts, kas sastāv no viena vai vairākiem kanabinoīdiem vai to atvasinājumiem pulvera, daļiņu vai pastas veidā vai jebkādā šādu formu kombinācijā, tostarp tāds, kas porcionēts paciņās vai porainās paciņās;</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“laišana tirgū” ir produktu, neatkarīgi no to ražošanas vietas, pieejamības nodrošināšana patērētājiem Beļģijā par samaksu vai bez tās, tostarp ar tālpārdošanu;</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“ražotājs” ir jebkura fiziska vai juridiska persona, kas ražo produktu vai liek izstrādāt vai ražot produktu un kas produktu tirgo ar savu vārdu vai preču zīmi;</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“importētājs Beļģijā” ir īpašnieks vai persona, kurai ir tiesības rīkoties ar Beļģijas teritorijā ievestajiem produktiem;</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“mazumtirgotājs”</w:t>
            </w:r>
            <w:r>
              <w:rPr>
                <w:sz w:val="20"/>
                <w:rFonts w:ascii="Times New Roman" w:hAnsi="Times New Roman"/>
              </w:rPr>
              <w:t xml:space="preserve"> </w:t>
            </w:r>
            <w:r>
              <w:rPr>
                <w:rFonts w:ascii="Garamond" w:hAnsi="Garamond"/>
              </w:rPr>
              <w:t xml:space="preserve">ir jebkura tirdzniecības vieta, kurā produktus laiž tirgū, tostarp fiziska persona.</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2. pants.</w:t>
            </w:r>
            <w:r>
              <w:rPr>
                <w:b/>
                <w:rFonts w:ascii="Garamond" w:hAnsi="Garamond"/>
              </w:rPr>
              <w:t xml:space="preserve">  </w:t>
            </w:r>
            <w:r>
              <w:rPr>
                <w:b/>
                <w:rFonts w:ascii="Garamond" w:hAnsi="Garamond"/>
              </w:rPr>
              <w:t xml:space="preserve">Aizliegts</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Aizliegts laist tirgū nikotīna maisiņus un kanabinoīdu maisiņus.</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3. pants.</w:t>
            </w:r>
            <w:r>
              <w:rPr>
                <w:b/>
                <w:rFonts w:ascii="Garamond" w:hAnsi="Garamond"/>
              </w:rPr>
              <w:t xml:space="preserve"> </w:t>
            </w:r>
            <w:r>
              <w:rPr>
                <w:b/>
                <w:rFonts w:ascii="Garamond" w:hAnsi="Garamond"/>
              </w:rPr>
              <w:t xml:space="preserve">Kriminālsodi</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1. punkts.</w:t>
            </w:r>
            <w:r>
              <w:rPr>
                <w:b/>
                <w:rFonts w:ascii="Garamond" w:hAnsi="Garamond"/>
              </w:rPr>
              <w:t xml:space="preserve"> </w:t>
            </w:r>
            <w:r>
              <w:rPr>
                <w:rFonts w:ascii="Garamond" w:hAnsi="Garamond"/>
              </w:rPr>
              <w:t xml:space="preserve">Produkti, kas uzskaitīti šā dekrēta 2. pantā</w:t>
            </w:r>
            <w:r>
              <w:rPr>
                <w:sz w:val="20"/>
                <w:rFonts w:ascii="Times New Roman" w:hAnsi="Times New Roman"/>
              </w:rPr>
              <w:t xml:space="preserve"> </w:t>
            </w:r>
            <w:r>
              <w:rPr>
                <w:rFonts w:ascii="Garamond" w:hAnsi="Garamond"/>
              </w:rPr>
              <w:t xml:space="preserve">, ir uzskatāmi par kaitīgiem 1977. gada 24. janvāra Likuma par patērētāju veselības aizsardzību attiecībā uz pārtikas produktiem un citiem produktiem 18. panta nozīmē.</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2. punkts.</w:t>
            </w:r>
            <w:r>
              <w:rPr>
                <w:rFonts w:ascii="Garamond" w:hAnsi="Garamond"/>
              </w:rPr>
              <w:t xml:space="preserve"> </w:t>
            </w:r>
            <w:r>
              <w:rPr>
                <w:rFonts w:ascii="Garamond" w:hAnsi="Garamond"/>
              </w:rPr>
              <w:t xml:space="preserve">Šā dekrēta pārkāpumi</w:t>
            </w:r>
            <w:r>
              <w:rPr>
                <w:sz w:val="20"/>
                <w:rFonts w:ascii="Times New Roman" w:hAnsi="Times New Roman"/>
              </w:rPr>
              <w:t xml:space="preserve"> </w:t>
            </w:r>
            <w:r>
              <w:rPr>
                <w:rFonts w:ascii="Garamond" w:hAnsi="Garamond"/>
              </w:rPr>
              <w:t xml:space="preserve">tiek meklēti, atklāti un sodīti saskaņā ar 1977. gada 24. janvāra likumu, kas minēts iepriekš.</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3. punkts.</w:t>
            </w:r>
            <w:r>
              <w:rPr>
                <w:rFonts w:ascii="Garamond" w:hAnsi="Garamond"/>
              </w:rPr>
              <w:t xml:space="preserve"> </w:t>
            </w:r>
            <w:r>
              <w:rPr>
                <w:rFonts w:ascii="Garamond" w:hAnsi="Garamond"/>
              </w:rPr>
              <w:t xml:space="preserve">Sodi, kas paredzēti 1977. gada 24. janvāra Likuma par patērētāju veselības aizsardzību attiecībā uz pārtikas produktiem un citiem produktiem 13. pantā, tiek piespriesti, ja tiek pārkāpts šā dekrēta 2. pantā noteiktais aizliegums.</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4. punkts.</w:t>
            </w:r>
            <w:r>
              <w:rPr>
                <w:b/>
                <w:rFonts w:ascii="Garamond" w:hAnsi="Garamond"/>
              </w:rPr>
              <w:t xml:space="preserve"> </w:t>
            </w:r>
            <w:r>
              <w:rPr>
                <w:rFonts w:ascii="Garamond" w:hAnsi="Garamond"/>
              </w:rPr>
              <w:t xml:space="preserve">Ražotāju, importētāju Beļģijā un mazumtirgotāju var saukt pie atbildības par šā dekrēta 2. panta neievērošanu.</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4. pants.</w:t>
            </w:r>
            <w:r>
              <w:rPr>
                <w:b/>
                <w:rFonts w:ascii="Garamond" w:hAnsi="Garamond"/>
              </w:rPr>
              <w:t xml:space="preserve"> </w:t>
            </w:r>
            <w:r>
              <w:rPr>
                <w:b/>
                <w:rFonts w:ascii="Garamond" w:hAnsi="Garamond"/>
              </w:rPr>
              <w:t xml:space="preserve">Stāšanās spēkā</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Šis dekrēts stājas spēkā trīs mēnešus pēc tā publicēšanas Beļģijas vēstnesī, izņemot attiecībā uz mazumtirgotājiem, par kuriem šis dekrēts stājas spēkā sešus mēnešus pēc tā publicēšanas Beļģijas vēstnesī.</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5. pants.</w:t>
            </w:r>
            <w:r>
              <w:rPr>
                <w:b/>
                <w:rFonts w:ascii="Garamond" w:hAnsi="Garamond"/>
              </w:rPr>
              <w:t xml:space="preserve"> </w:t>
            </w:r>
            <w:r>
              <w:rPr>
                <w:b/>
                <w:rFonts w:ascii="Garamond" w:hAnsi="Garamond"/>
              </w:rPr>
              <w:t xml:space="preserve">Nobeiguma noteikumi</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Par šā dekrēta īstenošanu atbild sabiedrības veselības ministrs.</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Karaļa vārdā —</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sabiedrības veselības ministrs</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i/>
                <w:iCs/>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