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beigas"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Publicēts: 2023-01-11</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FEDERĀLAIS SABIEDRISKAIS DIENESTS SABIEDRĪBAS VESELĪBAS, PĀRTIKAS APRITES NEKAITĪGUMA UN VIDES JOMĀ</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NOVEMBRIS, 2022. GADS. - Karaļa dekrēts, ar ko groza 2016. gada 28. oktobra Karaļa dekrētu par elektronisko cigarešu ražošanu un tirdzniecību</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ZIŅOJUMS KARALIM</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Jūsu Majestāte,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 šo Karaļa dekrēta projektu tiek grozīts 2016. gada 28. oktobra Karaļa dekrēts par elektronisko cigarešu ražošanu un tirdzniecību, ar kuru daļēji tiek transponēta Direktīva 2014/40/ES.</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Paredzētie grozījumi galvenokārt attiecas uz definīcijām, paziņošanu, sastāvu un tehniskajiem standartiem, marķēšanu un tālpārdošanu. Turklāt tagad tiks regulētas arī beznikotīna uzpildes pudeles.</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Attiecībā uz jēdzienu “līdzīgs izstrādājums” Valsts padomes atzinums 72.095/1/V nav ievērots. Patiešām, Valsts padome uzskata, ka uzpildes pudeles, kas nesatur nikotīnu, nevar tikt uzskatītas par līdzīgiem izstrādājumiem, bet tās ir jāuzskata par standarta izstrādājumiem.</w:t>
      </w:r>
      <w:r>
        <w:rPr>
          <w:rFonts w:ascii="Times New Roman" w:hAnsi="Times New Roman"/>
          <w:color w:val="000000"/>
          <w:sz w:val="27"/>
        </w:rPr>
        <w:br/>
        <w:t>Tomēr tas, vai nikotīns ir vai nav izstrādājumā, nav vienīgais kritērijs, kas jāņem vērā, nosakot, vai izstrādājums ir vai nav uzskatāms par līdzīgu izstrādājumu.</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To Satversmes tiesa norāda savā 2021. gada 16. decembra spriedumā (1): “ Jēdziens “līdzīgi izstrādājumi” “tabakas izstrādājumu” definīcijā ir domāts, lai reklāmas aizliegumu evolucionāri attiecinātu uz izstrādājumiem, kuriem, protams, var būt atšķirīgas īpašības (piemēram, attiecībā uz sastāvdaļām), bet no kuru izmantošanas ir jāatturas un attiecībā uz kuriem ir jāierobežo patēriņš, jo tie var radīt draudus veselībai un sociālās sekas, kas līdzīgas tabakas izstrādājumu radītajām sekām.</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Pēc definīcijas “līdzīgi izstrādājumi” ir izstrādājumi, kas nesatur tabaku, bet kas līdzinās tabakas izstrādājumiem. Šai līdzībai ir jāattiecas uz veidu, kādā tiek patērēts līdzīgs izstrādājums, vai uz sekām, kādas tas rada.”</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Ģentes Apelācijas tiesa savā 2022. gada 29. jūnija spriedumā arī lēma šādi: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Elektroniskās cigaretes neatkarīgi no tā, vai tās ir pildītas ar šķidrumiem ar nikotīnu vai bez tā, ir līdzīgas tabakas izstrādājumiem tādā veidā, kādā tās tiek patērētas (ieelpojot), un paredzētajā veidā.</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Turklāt ir jānorāda, ka Valsts padome savā 2019. gada 20. marta Atzinumā 65.468/3 par Karaļa dekrēta projektu, ar ko groza 2016. gada 5. februāra Karaļa dekrētu par tabakas izstrādājumu ražošanu un tirdzniecību, neapstrīd faktu, ka augu izcelsmes smēķēšanas izstrādājumi ir līdzīgi izstrādājumi; neskatoties uz to, ka šie izstrādājumi arī nesatur nikotīnu. Tas skaidri parāda, ka nikotīna klātbūtne nav vienīgais kritērijs, kas jāņem vērā, nosakot izstrādājumu līdzību.</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Turklāt aizliegums pārdot nepilngadīgajiem un smēķēšanas aizliegums attiecas uz līdzīgiem izstrādājumiem. Nikotīna nesaturošu e-šķidrumu neuzskatīšana par līdzīgiem izstrādājumiem traucētu īstenot aizliegumu pārdot tabakas izstrādājumus nepilngadīgajiem, jo nepilngadīgie varētu iegādāties e-šķidrumus bez nikotīna (bet ne pašu e-cigareti).</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Nikotīna un nikotīna nesaturošu izstrādājumu līdzības ir tik lielas, ka PVO arī atzīmē, ka ir praktiski neiespējami atšķirt abus. Turklāt Pušu konference savos lēmumos šos ražojumus (ENDS un ENNDS) aplūko vienādi (2).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Attiecībā uz šī dekrēta 2. pantā minēto jēdzienu “laišana tirgū” ir nepieciešams papildu skaidrojums. Šis jēdziens attiecas tikai uz nodomu darīt izstrādājumus pieejamus patērētājiem Beļģijā, nevis uz to, ka izstrādājumi faktiski tiek darīti pieejami patērētājiem (t. i., kad tie ir pieejami pārdošanai). To ir apstiprinājusi Eiropas Komisija 2019. gada 14. augusta e-pasta vēstulē FPS sabiedrības veselībai. Šo nostāju Komisija vēlreiz apstiprināja 2019. gada 15. oktobra sanāksmē. Komisija savā sanāksmes ziņojumā norāda: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Brīdinājumi par ietekmi uz veselību trīs valstu valodās, kā paredzēts šī dekrēta 4. pantā, ir pietiekami, lai uzskatītu, ka izstrādājums tiek laists Beļģijas tirgū neatkarīgi no tā, kur tas tiek uzglabāts loģistikas ķēdē.</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Daži grozījumi ir jāpaskaidro sīkāk.</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Attiecībā uz “importētāja Beļģijā” definīciju tas ir nepieciešams, lai Beļģija varētu izpildīt īstenošanas pienākumus, kas noteikti Direktīvā 2014/40/ES un jo īpaši tās 20.2. pantā. Tas nozīmē, ka tiesību aktu neievērošanas gadījumā kopā ar atbildīgo uzņēmumu ir jāspēj īstenot piespiedu pasākumus (naudas sodus, konfiskāciju u. c.). Direktīvā 2014/40/ES noteiktā importētāja definīcija neļauj par uzraudzību atbildīgajam pārbaudes dienestam vērsties pret importētājiem Eiropas Savienībā. </w:t>
      </w:r>
      <w:r>
        <w:rPr>
          <w:rFonts w:ascii="Times New Roman" w:hAnsi="Times New Roman"/>
          <w:color w:val="000000"/>
          <w:sz w:val="27"/>
        </w:rPr>
        <w:lastRenderedPageBreak/>
        <w:t>Tādēļ ir jādefinē Beļģijas importētājs, kurš būs atbildīgs par importu Beļģijas teritorijā, lai Beļģijas iestādes pārkāpuma gadījumā varētu vērsties pret šo Beļģijas importētāju. Turklāt ne visām dalībvalstīm ir uzraudzības dienests, lai apstrādātu Beļģijas iestāžu pieprasītās sankcijas.</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Jēdziens “importētājs” ir grozīts, lai tas atbilstu definīcijai, kas noteikta Direktīvā 2014/40/ES.</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Attiecībā uz paziņošanu ir izdarīti vairāki grozījumi. Jaunās definīcijas ļauj noteikt, ka “importētājs Beļģijā” ir atbildīgs arī par šo procedūru. Praksē ražotājs vai importētājs ES var iesniegt informāciju par paziņojumu pat tad, ja nevienam no šiem uzņēmumiem nav juridiskās adreses Beļģijā. Tomēr par to ir atbildīgs importētājs Beļģijā, un tādēļ tam ir jānodrošina, lai tas tiktu darīts vai jāizdara pašam pirms produkta laišanas Beļģijas tirgū. Tas nozīmē, ka jebkādas sankcijas par pārkāpumiem var tikt piemērotas uzņēmumam, kura juridiskā adrese ir Beļģijā.</w:t>
      </w:r>
      <w:r>
        <w:rPr>
          <w:rFonts w:ascii="Times New Roman" w:hAnsi="Times New Roman"/>
          <w:color w:val="000000"/>
          <w:sz w:val="27"/>
        </w:rPr>
        <w:br/>
        <w:t>Paziņojuma dokumentācija jāpapildina arī ar tirgū laisto iepakojuma vienību marķējumu un 5. panta 9. punktā minēto lietošanas instrukciju. Tas stiprinās pārbaudes dienesta rīcībā esošos instrumentus un ļaus iestādēm gūt labāku pārskatu par brošūrā ietvertās informācijas kvalitāti.</w:t>
      </w:r>
      <w:r>
        <w:rPr>
          <w:rFonts w:ascii="Times New Roman" w:hAnsi="Times New Roman"/>
          <w:color w:val="000000"/>
          <w:sz w:val="27"/>
        </w:rPr>
        <w:br/>
        <w:t>Uz visām izstrādājuma modifikācijām attiecas atbilstošas izmaiņas Pakalpojumam iesniegtajā paziņojuma datnē, lai datnes atbilstu tirgū laistajiem izstrādājumiem. Visas izmaiņas datnē tiek uzskatītas par būtiskām izmaiņām. Vienīgie izņēmumi ir Pakalpojuma pieprasītās izmaiņas, kontaktinformācijas izmaiņas un iepriekšējā gada pārdošanas apjoma datu pievienošana.</w:t>
      </w:r>
      <w:r>
        <w:rPr>
          <w:rFonts w:ascii="Times New Roman" w:hAnsi="Times New Roman"/>
          <w:color w:val="000000"/>
          <w:sz w:val="27"/>
        </w:rPr>
        <w:br/>
        <w:t>Dekrēta grozījums apstiprina, ka dienests savā tīmekļa vietnē publicē to izstrādājumu sarakstu, kuru paziņojuma dokumentācija ir pilnīga (“pozitīvajā sarakstā”), un ka šajā sarakstā neiekļautās preces nevar laist tirgū. Tie ir uzskatāmi par kaitīgiem, un tiem piemēro šajā dekrētā paredzētos sodus.</w:t>
      </w:r>
      <w:r>
        <w:rPr>
          <w:rFonts w:ascii="Times New Roman" w:hAnsi="Times New Roman"/>
          <w:color w:val="000000"/>
          <w:sz w:val="27"/>
        </w:rPr>
        <w:br/>
        <w:t>Lai izstrādājumu iekļautu atļauto vielu sarakstā, paziņojošajai pusei jāievada dienesta pieprasītie dati. Tas ir svarīgi, lai datus varētu salīdzināt starp dažādiem failiem. Gadījumos, kad šie norādījumi netiek ievēroti un nav veikti pieprasītie labojumi, izstrādājumi netiks iekļauti atļauto vielu sarakstā. Tas pats attiecas uz nodevas nesamaksāšanas gadījumiem.</w:t>
      </w:r>
      <w:r>
        <w:rPr>
          <w:rFonts w:ascii="Times New Roman" w:hAnsi="Times New Roman"/>
          <w:color w:val="000000"/>
          <w:sz w:val="27"/>
        </w:rPr>
        <w:br/>
        <w:t>Visbeidzot, izmaiņas tiek veiktas arī maksās. Atkarībā no saistītā administratīvā sloga tiek ieviestas trīs dažādas maksas.</w:t>
      </w:r>
      <w:r>
        <w:rPr>
          <w:rFonts w:ascii="Times New Roman" w:hAnsi="Times New Roman"/>
          <w:color w:val="000000"/>
          <w:sz w:val="27"/>
        </w:rPr>
        <w:br/>
        <w:t>Jauna izstrādājuma reģistrācijai piemēro nodevu 200 EUR apmērā.</w:t>
      </w:r>
      <w:r>
        <w:rPr>
          <w:rFonts w:ascii="Times New Roman" w:hAnsi="Times New Roman"/>
          <w:color w:val="000000"/>
          <w:sz w:val="27"/>
        </w:rPr>
        <w:br/>
        <w:t>Par izmaiņām esošajā izstrādājumu reģistrācijā tiek iekasēta maksa 100 EUR apmērā.</w:t>
      </w:r>
      <w:r>
        <w:rPr>
          <w:rFonts w:ascii="Times New Roman" w:hAnsi="Times New Roman"/>
          <w:color w:val="000000"/>
          <w:sz w:val="27"/>
        </w:rPr>
        <w:br/>
        <w:t>Par katru reģistrēto izstrādājumu ir jāmaksā gada maksa 50 EUR apmērā, lai segtu katru gadu iesniedzamo datu apstrādes izmaksas. Turklāt tagad ir noteikts, ka pieteikuma iesniedzējam šie ikgadējie dati jāiesniedz līdz nākamā gada 1. martam.</w:t>
      </w:r>
      <w:r>
        <w:rPr>
          <w:rFonts w:ascii="Times New Roman" w:hAnsi="Times New Roman"/>
          <w:color w:val="000000"/>
          <w:sz w:val="27"/>
        </w:rPr>
        <w:br/>
        <w:t>Dienesta nosūtītais rēķins ir jāapmaksā 30 dienu laikā.</w:t>
      </w:r>
      <w:r>
        <w:rPr>
          <w:rFonts w:ascii="Times New Roman" w:hAnsi="Times New Roman"/>
          <w:color w:val="000000"/>
          <w:sz w:val="27"/>
        </w:rPr>
        <w:br/>
        <w:t xml:space="preserve">Turklāt ir norādīts, ka ir aizliegts laist tirgū elektroniskās cigaretes, kurām ir pievilcīgas iezīmes, kas nav noderīgas ierīces darbināšanai. Tas nozīmē, ka elektroniskajām cigaretēm var būt citas funkcijas, ne vien ieelpojamo tvaiku ražošana. Video ar ierīcēm, kas izmanto LED lampu tvaika krāsas maiņai, ir </w:t>
      </w:r>
      <w:r>
        <w:rPr>
          <w:rFonts w:ascii="Times New Roman" w:hAnsi="Times New Roman"/>
          <w:color w:val="000000"/>
          <w:sz w:val="27"/>
        </w:rPr>
        <w:lastRenderedPageBreak/>
        <w:t>pieejami internetā un sociālajos tīklos. Piemēram, daži mēģina veidot formas ar tvaikiem. Šim nolūkam nedrīkst izmantot elektroniskās cigaretes. Tas jo īpaši attiecas uz SHC ieteikumiem 2015. gada oktobra atzinumā 9265, kurā teikts, ka “e-cigaretes (...), kas aprīkotas ar sīkrīkiem (...). (gaismas, dūmu krāsojums u. c.) ir jāregulē, jākontrolē un jāaizliedz.”. Elektroniska cigarete ir un paliek izstrādājums, kuru nedrīkst noformēt pievilcīgā veidā.</w:t>
      </w:r>
      <w:r>
        <w:rPr>
          <w:rFonts w:ascii="Times New Roman" w:hAnsi="Times New Roman"/>
          <w:color w:val="000000"/>
          <w:sz w:val="27"/>
        </w:rPr>
        <w:br/>
        <w:t>Ministram ir iespēja izveidot aizliegto piedevu sarakstu vai izveidot īpaši atļauto piedevu sarakstu vai pat abu sarakstu kombināciju. Ministram ir arī iespēja noteikt analīzes standartus un metodes, kas ražotājiem un importētājiem jāizmanto, lai pārbaudītu 4. panta sastāva un emisijas noteikumu īstenošanu. Tas ļaus labāk salīdzināt analīžu rezultātus un tādējādi labāk kontrolēt šķidrumu saturu.</w:t>
      </w:r>
      <w:r>
        <w:rPr>
          <w:rFonts w:ascii="Times New Roman" w:hAnsi="Times New Roman"/>
          <w:color w:val="000000"/>
          <w:sz w:val="27"/>
        </w:rPr>
        <w:br/>
        <w:t>Attiecībā uz marķējumu tiek grozīts Karaļa dekrēta 5. pants, lai precizētu, ka brošūrai un sarakstam jābūt vismaz franču, holandiešu un vācu valodā. Tas ir paredzēts, lai nodrošinātu, ka visi Beļģijas patērētāji var saprast lietošanas instrukcijas saturu un pareizi lietot izstrādājumu. Ir norādīts arī, ka zīmols un apakšzīmols, kas parādās uz iepakojuma vienības un ārējā iepakojuma, ir identisks tiem, kas ievadīti paziņošanas sistēmā. Šī konsekvence ir svarīga, lai iestādes varētu kontrolēt izstrādājumus.</w:t>
      </w:r>
      <w:r>
        <w:rPr>
          <w:rFonts w:ascii="Times New Roman" w:hAnsi="Times New Roman"/>
          <w:color w:val="000000"/>
          <w:sz w:val="27"/>
        </w:rPr>
        <w:br/>
        <w:t>Garšas, smaržas, jebkura aromāta pieminēšanu vai ierosināšanu var veikt tikai ar vienu vārdu un ar noteiktu fontu un izmēru, lai izstrādājumu padarītu mazāk pievilcīgu.</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Turklāt saskaņā ar šā 5. panta 10. punktu aromāts vai aromāti tiks norādīti obligātajā sastāvdaļu sarakstā. Šis sastāvdaļu saraksts dažreiz var sastāvēt no vairākiem desmitiem piedevu, kas padara stingro 5. panta 10. punkta īstenošanu dažkārt ļoti sarežģītu, ņemot vērā šķidro tvertņu nelielo izmēru. Šādā gadījumā ražotājs norādīja vismaz: aromātu raksturoja neitrāli (nekomerciāli), minot to veidojošo galveno garšu, visas sastāvdaļas, kas pārsniedz 0,1 %, un visus alergēnus neatkarīgi no to koncentrācijas.</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Ministram ir iespēja noteikt papildu nosacījumus attiecībā uz obligātās marķējuma informācijas saturu un noformējumu. Tas nozīmē, piemēram, iespēju pieprasīt īpašas prasības attiecībā uz 5. panta 9. punktā minētās brošūras saturu. Tālpārdošanas aizliegums tiek apstiprināts un paplašināts ar tālpārdošanas aizliegumu. Šis noteikums nodrošina lielāku saskaņotību ar šo pantu. Turklāt ir precizēts, ka tālpārdošana uz trešām valstīm, kas to atļauj, ir atļauta ar nosacījumu, ka tās atbilst īpašajiem noteikumiem, ko paredz minētās trešās valstis.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Visbeidzot, ir paredzēti noteikumi attiecībā uz uzpildes tvertnēm bez nikotīna. Patiešām, izņemot CLP noteikumus, attiecībā uz šiem izstrādājumiem netika paredzēti nekādi noteikumi, lai gan to skaits tirgū ir liels un kļūst arvien veiksmīgāks. Tirgus ir pielāgojies arī tiesību aktu trūkumiem, jo patērētāji tagad var izgatavot savu maisījumu pēc nikotīna nesaturoša e-šķidruma konteinera un nikotīna “pastiprinātāja” iegādes. Sastāva ziņā e-šķidrumiem ar nikotīnu piemērojamo noteikumu piemērošana visiem e-šķidrumiem ļaus arī skaidri aizliegt visus e-šķidrumus, kas satur CBD, un tādējādi izkļūt no pašreizējās neskaidrības. Pašlaik nikotīna nesaturošus e-šķidrumus ar CBD uzskata par zālēm, ja CBD </w:t>
      </w:r>
      <w:r>
        <w:rPr>
          <w:rFonts w:ascii="Times New Roman" w:hAnsi="Times New Roman"/>
          <w:color w:val="000000"/>
          <w:sz w:val="27"/>
        </w:rPr>
        <w:lastRenderedPageBreak/>
        <w:t>līmenis pārsniedz 0,4 %, bet šis noteikums praktiski netiek piemērots. Ir nepieciešams ierāmēt šos izstrādājumus, kas nesatur nikotīnu, jo tie ir arī kaitīgi veselībai.</w:t>
      </w:r>
      <w:r>
        <w:rPr>
          <w:rFonts w:ascii="Times New Roman" w:hAnsi="Times New Roman"/>
          <w:color w:val="000000"/>
          <w:sz w:val="27"/>
        </w:rPr>
        <w:br/>
        <w:t>Beļģijas Augstākās veselības padome 2015. gada atzinumā ieteica arī dažus noteikumus. Tie norāda: “ SHC iesaka, ka kvalitātes prasībām nikotīnu saturošām elektroniskajām cigaretēm jābūt identiskām tām, kas attiecas uz nikotīnu nesaturošām (izņemot nikotīnu). Šis viedoklis ir atkārtots arī tās 2022. gada atzinumā: “ SHC uzskata, ka standarti attiecībā uz nikotīnu saturošiem e-šķidrumiem ir piemērojami e-šķidrumiem un sastāvdaļām, kas nesatur nikotīnu. Papildus nikotīnam šo e-šķidrumu sastāvdaļas ir identiskas. Tāpēc tās nav jāreglamentē nekādā citā veidā. Attiecībā uz paziņošanas, tālpārdošanas, marķēšanas u. c. aspektiem būtu jāpiemēro vai jāsaskaņo tie paši reglamentējošie principi, ja tie attiecas uz nikotīnu. Tāpēc ir jāpielāgo spēkā esošie noteikumi, iekļaujot uzpildes tvertnes bez nikotīna (e-šķidrumi).</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Lai gan nikotīna nesaturoši e-šķidrumi nesatur nikotīnu, tie var apdraudēt veselību, kā norādīts rakstā „Elektroniskās cigaretes un veselības rezultāti: vispārēju pierādījumu sistemātiska pārskatīšana"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In addition, this article states that the risks of electronic cigarettes are not only related to nicotine: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Papildus nikotīnu saturošiem šķidrumiem ir arī citas ķīmiskās sastāvdaļas. Tvaiki satur vairākas ķīmiskas sastāvdaļas un piemaisījumus tādā daudzumā, kas var kaitēt veselībai. Tie ietver propilēnglikolu, glicerīnu, aldehīdus un metālus. Glicerīna un propilēnglikola tvaiku koncentrācija elektroniskajos tvaikos, kas nesatur nikotīnu, ir koncentrācija elektroniskajās cigaretēs, kas satur nikotīnu. Šo divu vielu galvenā iedarbība ietekmē elpceļu audu bojājumus un propilēnglikola ietekmi uz limfocītiem (balto asins šūnu veidu). Aldehīdi rodas šķidrumu sastāvā, un metāli tiek atbrīvoti no tvaika. Elektronisko tvaika ierīču izmantošana var arī izraisīt sirdsklauves. Tāpēc ir svarīgi nepieļaut, ka jaunieši izmanto elektronisko tvaika ierīču izstrādājumus, pat ja tajos nav nikotīna. Nīderlandes pētījuma </w:t>
      </w:r>
      <w:r>
        <w:rPr>
          <w:rFonts w:ascii="Times New Roman" w:hAnsi="Times New Roman"/>
          <w:color w:val="000000"/>
          <w:sz w:val="27"/>
        </w:rPr>
        <w:lastRenderedPageBreak/>
        <w:t>rezultāti arī parādīja, ka poliolu lietošana, lietojot e-cigaretes, rada augstu elpceļu bojājumu risku regulāriem tvaika ierīču lietotājiem; arī personām, kas tvaika ierīces izmanto reti un vidēji bieži, šo risku nevar izslēgt. Nevar izslēgt sistēmisku ietekmi uz regulāriem tvaika ierīču lietotājiem. Pakļaušana ietekmei attiecas arī uz tabakai specifiskiem nitrozamīniem NNK un NAT. Regulāriem tvaika ierīču lietotājiem tas rada elpceļu audzēja veidošanās risku.</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Papildus kancerogēnu klātbūtnei e-šķidrumos bažas rada arī tvaikos esošās daļiņas. Daļiņas var būt pamats plaušu vēža attīstībai, un SCHEER ziņojumā norādīts, ka e-cigarešu tvaiki satur lielu daudzumu daļiņu.</w:t>
      </w:r>
      <w:r>
        <w:rPr>
          <w:rFonts w:ascii="Times New Roman" w:hAnsi="Times New Roman"/>
          <w:color w:val="000000"/>
          <w:sz w:val="27"/>
        </w:rPr>
        <w:br/>
        <w:t>Tāpat 2021. gada ziņojumā ir norādīts, ka “hroniskās iedarbības kontekstā arvien vairāk zinātnisku pierādījumu tam, ka elektronisko cigarešu lietotāji ir pakļauti kairinošu, toksisku un kancerogēnu savienojumu maisījumam. E-cigarešu ilgtermiņa riski vēl ir jāizpēta, taču daudzos ziņojumos jau ir minēta formaldehīda, akroleīna, E vitamīna acetāta, gaistošo organisko savienojumu, smago metālu, ultrasmalko daļiņu u. c. iedarbība. Līdzīgi, aromatizētāji, kas pievienoti e-cigaretēm, varētu būt plaušu slimību avots. Piemēram, diacetil (2,3-butāndions) ir aromatizētājs, kas ieelpojot izraisa plaušu slimību, ko sauc par obliterējošo bronhiolītu. Slimību raksturo obstruktīva plaušu slimība un bronhiolīts.”(6)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Ir taisnība, ka ir maz literatūras, kas parāda nikotīna nesaturošu e-šķidrumu ietekmi uz veselību. Tomēr, pamatojoties uz piesardzības principu, tie būtu jāreglamentē. Citas dalībvalstis jau ir pieņēmušas tiesību aktus par šiem produktiem; tas attiecas uz Nīderlandi(7), Ungāriju(8), Čehijas Republiku(9), Somiju(10), Latviju(11), Lietuvu(12), Vāciju(13), Luksemburgu un Dāniju.</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Turklāt PVO Pamatkonvencijas par tabakas kontroli pušu 7. konferencē tika pieņemts lēmums par elektroniskajiem inhalatoriem, kas satur vai nesatur nikotīnu, aicinot “Puses, kas vēl nav aizliegušas šo izstrādājumu importu, pārdošanu un izplatīšanu, apsvērt šādu izstrādājumu aizliegšanu vai reglamentēšanu”(14).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Tā kā e-šķidrumi, kas nesatur nikotīnu, arī tiek uzskatīti par līdzīgiem ražojumiem, nav pārkāpts vienlīdzības un nediskriminācijas princips, jo vienas un tās pašas ražojumu kategorijas ir reglamentētas tādā pašā veidā.</w:t>
      </w:r>
      <w:r>
        <w:rPr>
          <w:rFonts w:ascii="Times New Roman" w:hAnsi="Times New Roman"/>
          <w:color w:val="000000"/>
          <w:sz w:val="27"/>
        </w:rPr>
        <w:br/>
        <w:t>Tādēļ ir paredzēts, ka uz šiem izstrādājumiem attiecas paziņošanas noteikumi, daži noteikumi par sastāvu un marķējumu, kā arī noteikumi par tālpārdošanu. Ir sniegts arī īpašs brīdinājums par ietekmi uz veselību. Šo dažādo noteikumu kombinācija nozīmē aizliegumu tirgot nikotīnu nesaturošus šķidrumus, izmantojot sistēmu, kas ļauj patērētājiem radīt individualizētu maisījumu (piemēram, “juice bar” vai “mixology” pakalpojumu). Tas jau attiecās uz nikotīnu saturošiem šķidrumiem.</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Šie dažādie noteikumi ļaus:</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apzināt tirgu (sk. paziņojumu);</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iegūt drošākus e-šķidrumus (sk. sastāvu);</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neļaut bērniem viegli atvērt e-šķidruma pudeļu traukus (sk. sastāvu);</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brīdināt patērētāju, ka izstrādājums nav ieteicams smēķētājiem (skatīt marķējumu);</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izvairīties no tā, ka šie izstrādājumi ir pievilcīgi (īpaši nepilngadīgajiem) (sk. sastāvu un marķējumu);</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izvairīties no tā, ka šie izstrādājumi ir viegli pieejami (sk. tālpārdošanu). Raksti pēc panta komentāriem</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pants. Šā panta mērķis ir pievienot un grozīt dažas definīcijas. Ir precizēta definīcija “Elektroniskās cigaretes”.</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Pievieno definīciju “uzpildīšanas tvertne bez nikotīna”.</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Ir grozīta importētāja definīcija un pievienota importētāja definīcija Beļģijā, lai ļautu Beļģijas iestādēm dekrēta pārkāpuma gadījumā sodīt importētāju Beļģijā.</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Ir pievienotas definīcijas “pārrobežu tālpārdošana”, “brīdinājums par ietekmi uz veselību”, “aromāts” un “mazumtirgotājs”. Tās ir definīcijas, kas paredzētas direktīvā un kas nebija iekļautas Karaļa dekrētā.</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pants.</w:t>
      </w:r>
      <w:r>
        <w:rPr>
          <w:rFonts w:ascii="Times New Roman" w:hAnsi="Times New Roman"/>
          <w:color w:val="000000"/>
          <w:sz w:val="27"/>
        </w:rPr>
        <w:br/>
        <w:t>Šā panta mērķis ir veikt daudzus uzlabojumus elektronisko cigarešu paziņošanas procedūrā:</w:t>
      </w:r>
      <w:r>
        <w:rPr>
          <w:rFonts w:ascii="Times New Roman" w:hAnsi="Times New Roman"/>
          <w:color w:val="000000"/>
          <w:sz w:val="27"/>
        </w:rPr>
        <w:br/>
        <w:t xml:space="preserve">- Galīgā atbildība par paziņošanas procedūru ir importētājam Beļģijā, ja ražotāja vai importētāja juridiskā adrese nav Beļģijā;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Iepakojuma vienību marķējums jāiesniedz dienestam paziņojuma datnē;</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Informācija par produktu, kura paziņojuma datne ir kārtībā, tiek publicēta Pakalpojuma tīmekļa vietnē. Izstrādājumus, kas neparādās šajā tīmekļa vietnē, nevar laist tirgū;</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Rēķins, ko dienests nosūta komisijas maksas apmaksai, jāsamaksā 30 dienu laikā;</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Maksājumu sistēmu groza: Maksa EUR 200 apmērā ir jāmaksā par jaunu izstrādājumu reģistrāciju, maksa EUR 100 apmērā ir jāmaksā par izmaiņām esošā izstrādājuma reģistrācijā, un gada maksa EUR 50 apmērā ir jāmaksā, lai segtu datu apstrādes izmaksas, kas jāsniedz katru gadu. Tā jāiesniedz līdz nākamā gada 1. martam.</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3. pants. Regulas 4. pantu aizstāj, lai:</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aizliegtu pievilcīgas iezīmes, kas nav noderīgas ierīces darbībai;</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labotu transponēšanas kļūdu (pievienojums 5° uz 4. punktu);</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atļautu ministram sagatavot aizliegto piedevu sarakstu un/vai aizliegto piedevu sarakstu un/vai atļauto piedevu sarakstu elektroniskajās cigaretēs un uzpildes flakonos;</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norādīt, ka bērnu drošības ierīcēm jāatbilst ISO 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pants. Dekrēta 5. pants ir pārrakstīts, lai nošķirtu noteikumus, kas piemērojami brīdinājumam par ietekmi uz veselību, no noteikumiem, kas piemērojami šī brīdinājuma tekstam.</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Turklāt tajā ir skaidri norādīts, ka instrukcijai un sarakstam ir jābūt pieejamiem vismaz trijās valsts valodās.</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Pēc tam tika piebilsts, ka iepakojuma vienībām, kā arī jebkādam ārējam iepakojumam ir jāietver paziņojuma sistēmā reģistrētais produkta identifikācijas numurs.</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Turklāt ir norādīts, ka uzpildes flakoniem ir jābūt derīguma termiņam, kas nedrīkst tikt pārsniegts.</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Visbeidzot, tika precizēts, ka preču zīmei un apakšzīmolam uz izstrādājumu iepakojuma jābūt tādiem pašiem kā tiem, kas ieviesti paziņošanas sistēmā.</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5. pants. Dekrēta 6. pants ir grozīts, lai aizliegtu elektronisko cigarešu un uzpildes pudeļu tālpārdošanu. Pievieno 2. punktu, lai atļautu tālpārdošanu trešām valstīm, kuras to atļauj, un saskaņā ar šo trešo valstu īpašajiem noteikumiem.</w:t>
      </w:r>
      <w:r>
        <w:rPr>
          <w:rFonts w:ascii="Times New Roman" w:hAnsi="Times New Roman"/>
          <w:color w:val="000000"/>
          <w:sz w:val="27"/>
        </w:rPr>
        <w:br/>
        <w:t>6. pants. 6. pants ir paredzēts, lai izveidotu jaunu 6/1. pantu, lai paredzētu noteikumus par uzpildes tvertnēm bez nikotīna.</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Šajā pantā paredzēts, ka paziņošanas noteikumus, dažus noteikumus par sastāvu un marķēšanu, kā arī noteikumus par tālpārdošanu piemēro nikotīna uzpildes flakoniem.</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Īpašs brīdinājums par šo izstrādājumu ietekmi uz veselību ir paredzēts arī šā panta 3. punktā.</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7. pants. 7. pantā ir atsauce uz dekrēta stāšanos spēkā.</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pants. 8. pants attiecas uz Karaļa dekrēta īstenošanu.</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Man ir tas gods būt</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Jūsu</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Majestātes</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cieņpilnākajam un uzticamākajam kalpam,</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Sabiedrības veselības ministrs,</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i/>
          <w:iCs/>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2021. gada 16. decembris, spriedums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Toksikovigilance, Bīstamo maisījumu toksikoloģijas kontroles centrs, galīgais ziņojums, 2021. gada marts.</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(11) Tabakas izstrādājumu, augu smēķēšanas produktu, elektronisko smēķēšanas ierīču un to šķidrumu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Nesīkšūnu plaušu vēža veicināšana, izmantojot gaisa piesārņotājus.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NOVEMBRIS, 2022. GADS. - Karaļa dekrēts, ar ko groza 2016. gada 28. oktobra Karaļa dekrētu par elektronisko cigarešu ražošanu un tirdzniecību</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FILIPS, Beļģijas karalis,</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Sveicieni visiem klātesošajiem un gaidāmajiem!</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Ņemot vērā 1977. gada 24. janvāra Likumu par patērētāju veselības aizsardzību attiecībā uz pārtikas produktiem un citiem produktiem, jo īpaši tā 6. panta 1. punkta a) apakšpunktu, kas grozīts ar 1989. gada 22. marta aktu, 10. panta 1. punktu, kas aizstāts ar 1989. gada 22. marta aktu, 10. panta 1. punktu, aizstāts ar 1994. gada 9. februāra aktu;</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Ņemot vērā 2016. gada 28. oktobra Karaļa dekrētu par elektronisko cigarešu ražošanu un tirdzniecību;</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ņemot vērā paziņojumu, kas Eiropas Komisijai nosūtīts 2021. gada 6. jūlijā saskaņā ar 5. panta 1. punktu Eiropas Parlamenta un Padomes 2015. gada 9. septembra Direktīvā (ES) 2015/1535, ar ko nosaka informācijas sniegšanas kārtību tehnisko noteikumu un Informācijas sabiedrības pakalpojumu noteikumu jomā;</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ņemot vērā Finanšu inspekcijas atzinumu, kas izdots 2022. gada 17. janvārī;</w:t>
      </w:r>
      <w:r>
        <w:rPr>
          <w:rFonts w:ascii="Times New Roman" w:hAnsi="Times New Roman"/>
          <w:color w:val="000000"/>
          <w:sz w:val="27"/>
        </w:rPr>
        <w:br/>
        <w:t>ņemot vērā budžeta valsts sekretāra vienošanos, kas izdota 2022. gada 28. jūnijā;</w:t>
      </w:r>
      <w:r>
        <w:rPr>
          <w:rFonts w:ascii="Times New Roman" w:hAnsi="Times New Roman"/>
          <w:color w:val="000000"/>
          <w:sz w:val="27"/>
        </w:rPr>
        <w:br/>
        <w:t>ņemot vērā Valsts padomes atzinumu 72.095/1/V, kas izdots 2022. gada 16. septembrī saskaņā ar 84. panta 1. punkta 1. un 2. apakšpunktu Aktos par Valsts padomi, kas konsolidēti 1973. gada 12. janvārī;</w:t>
      </w:r>
      <w:r>
        <w:rPr>
          <w:rFonts w:ascii="Times New Roman" w:hAnsi="Times New Roman"/>
          <w:color w:val="000000"/>
          <w:sz w:val="27"/>
        </w:rPr>
        <w:br/>
        <w:t>pēc ekonomikas ministra, sabiedrības veselības ministra priekšlikuma,</w:t>
      </w:r>
      <w:r>
        <w:rPr>
          <w:rFonts w:ascii="Times New Roman" w:hAnsi="Times New Roman"/>
          <w:color w:val="000000"/>
          <w:sz w:val="27"/>
        </w:rPr>
        <w:br/>
        <w:t>Mēs esam lēmuši un lemjam:</w:t>
      </w:r>
      <w:r>
        <w:rPr>
          <w:rFonts w:ascii="Times New Roman" w:hAnsi="Times New Roman"/>
          <w:color w:val="000000"/>
          <w:sz w:val="27"/>
        </w:rPr>
        <w:br/>
        <w:t>1. pants. Karaļa 2016. gada 28. oktobra dekrēta par elektronisko cigarešu ražošanu un tirdzniecību 2. pantā ir izdarīti šādi grozījumi:</w:t>
      </w:r>
      <w:r>
        <w:rPr>
          <w:rFonts w:ascii="Times New Roman" w:hAnsi="Times New Roman"/>
          <w:color w:val="000000"/>
          <w:sz w:val="27"/>
        </w:rPr>
        <w:br/>
      </w:r>
      <w:r>
        <w:rPr>
          <w:rFonts w:ascii="Times New Roman" w:hAnsi="Times New Roman"/>
          <w:color w:val="000000"/>
          <w:sz w:val="27"/>
        </w:rPr>
        <w:lastRenderedPageBreak/>
        <w:t>a) 1. punktā starp vārdiem “tvaiku, kas satur” un vārdu “nikotīnu” iekļauj vārdus “vai nav”;</w:t>
      </w:r>
      <w:r>
        <w:rPr>
          <w:rFonts w:ascii="Times New Roman" w:hAnsi="Times New Roman"/>
          <w:color w:val="000000"/>
          <w:sz w:val="27"/>
        </w:rPr>
        <w:br/>
        <w:t>b) iekļauj 2. punkta 1. apakšpunktu, kurā teikts:</w:t>
      </w:r>
      <w:r>
        <w:rPr>
          <w:rFonts w:ascii="Times New Roman" w:hAnsi="Times New Roman"/>
          <w:color w:val="000000"/>
          <w:sz w:val="27"/>
        </w:rPr>
        <w:br/>
        <w:t>“2(1) atkārtoti uzpildāms flakons bez nikotīna: tvertne, kurā ir šķidrums, kas nesatur nikotīnu un ko var izmantot elektroniskās cigaretes uzpildīšanai;”;</w:t>
      </w:r>
      <w:r>
        <w:rPr>
          <w:rFonts w:ascii="Times New Roman" w:hAnsi="Times New Roman"/>
          <w:color w:val="000000"/>
          <w:sz w:val="27"/>
        </w:rPr>
        <w:br/>
        <w:t>c) iekļauj 10. punkta 1. apakšpunktu, kurā teikts:</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minētā pārrobežu tālpārdošana: tālpārdošana patērētājiem, ja patērētājs, pasūtot preci no mazumtirgotāja, atrodas dalībvalstī, kas nav tā dalībvalsts vai trešā valsts, kurā minētais mazumtirgotājs veic uzņēmējdarbību; uzskata, ka mazumtirgotājs veic uzņēmējdarbību dalībvalstī:</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fiziskām personām: ja tās uzņēmējdarbības vieta ir minētajā dalībvalstī;</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citos gadījumos: ja tās juridiskā adrese, centrālā administrācija vai uzņēmējdarbības vieta, tostarp filiāle, aģentūra vai jebkurš cits uzņēmums, atrodas minētajā dalībvalstī;”;</w:t>
      </w:r>
      <w:r>
        <w:rPr>
          <w:rFonts w:ascii="Times New Roman" w:hAnsi="Times New Roman"/>
          <w:color w:val="000000"/>
          <w:sz w:val="27"/>
        </w:rPr>
        <w:br/>
        <w:t>d) 13. punktu aizstāj ar šādu:</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importētājs: īpašnieks vai persona, kurai ir tiesības atbrīvoties no Eiropas Savienības teritorijā ievestām elektroniskajām cigaretēm, uzpildes flakoniem un bez nikotīna uzpildes flakoniem;”;</w:t>
      </w:r>
      <w:r>
        <w:rPr>
          <w:rFonts w:ascii="Times New Roman" w:hAnsi="Times New Roman"/>
          <w:color w:val="000000"/>
          <w:sz w:val="27"/>
        </w:rPr>
        <w:br/>
        <w:t>e) iekļauj 13. punkta 1. apakšpunktu, kurā teikts:</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importētājs Beļģijā: Beļģijas teritorijā ievesto elektronisko cigarešu, uzpildes flakonu un bez nikotīna uzpildes flakonu īpašnieks vai persona, kurai ir tiesības rīkoties ar tām;”;</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2. pantu papildina ar 18., 19. un 20. punktu, kas ir šādi:</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brīdinājums par ietekmi uz veselību: brīdinājums par produkta nelabvēlīgo ietekmi uz cilvēku veselību vai par citām neparedzētām tā lietošanas sekām;</w:t>
      </w:r>
      <w:r>
        <w:rPr>
          <w:rFonts w:ascii="Times New Roman" w:hAnsi="Times New Roman"/>
          <w:color w:val="000000"/>
          <w:sz w:val="27"/>
        </w:rPr>
        <w:br/>
        <w:t>19) aromāts: piedeva, kas piešķir smaržu un/vai garšu;</w:t>
      </w:r>
      <w:r>
        <w:rPr>
          <w:rFonts w:ascii="Times New Roman" w:hAnsi="Times New Roman"/>
          <w:color w:val="000000"/>
          <w:sz w:val="27"/>
        </w:rPr>
        <w:br/>
        <w:t>20) mazumtirgotājs: jebkurā tirdzniecības vietā, kurā tirgū laiž elektroniskās cigaretes, uzpildes flakonus un bez nikotīna uzpildes flakonus, tostarp fiziskas personas.”;</w:t>
      </w:r>
      <w:r>
        <w:rPr>
          <w:rFonts w:ascii="Times New Roman" w:hAnsi="Times New Roman"/>
          <w:color w:val="000000"/>
          <w:sz w:val="27"/>
        </w:rPr>
        <w:br/>
        <w:t xml:space="preserve">2. pants. Tā paša dekrēta, kas grozīts ar Karaļa 2017. gada 17. maija dekrētu, 3. pantu aizstāj ar šādu: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3. pants. Paziņojums </w:t>
      </w:r>
      <w:r>
        <w:rPr>
          <w:rFonts w:ascii="Times New Roman" w:hAnsi="Times New Roman"/>
          <w:color w:val="000000"/>
          <w:sz w:val="27"/>
        </w:rPr>
        <w:br/>
        <w:t>§ 1. Par elektronisko cigarešu un uzpildes flakonu tirdzniecību ir jāziņo dienestam. Ražotājs vai importētājs, vai importētājs Beļģijā, ja pirmajiem diviem nav juridiskās adreses Beļģijā un nav paziņojis par produktu, paziņo dienestam par visām elektroniskajām cigaretēm un uzpildes flakoniem, ko tas plāno laist tirgū.</w:t>
      </w:r>
      <w:r>
        <w:rPr>
          <w:rFonts w:ascii="Times New Roman" w:hAnsi="Times New Roman"/>
          <w:color w:val="000000"/>
          <w:sz w:val="27"/>
        </w:rPr>
        <w:br/>
        <w:t>§ 2. Šo paziņojumu iesniedz elektroniskā formā sešus mēnešus pirms plānotās tirdzniecības dienas.</w:t>
      </w:r>
      <w:r>
        <w:rPr>
          <w:rFonts w:ascii="Times New Roman" w:hAnsi="Times New Roman"/>
          <w:color w:val="000000"/>
          <w:sz w:val="27"/>
        </w:rPr>
        <w:br/>
        <w:t>§ 3. Atkarībā no tā, vai paziņojums attiecas uz elektronisko cigareti vai uzpildes flakonu, paziņojumā iekļauj šādu informāciju:</w:t>
      </w:r>
      <w:r>
        <w:rPr>
          <w:rFonts w:ascii="Times New Roman" w:hAnsi="Times New Roman"/>
          <w:color w:val="000000"/>
          <w:sz w:val="27"/>
        </w:rPr>
        <w:br/>
        <w:t>1) ražotāja, importētāja un importētāja Beļģijā nosaukumu un kontaktinformāciju;</w:t>
      </w:r>
      <w:r>
        <w:rPr>
          <w:rFonts w:ascii="Times New Roman" w:hAnsi="Times New Roman"/>
          <w:color w:val="000000"/>
          <w:sz w:val="27"/>
        </w:rPr>
        <w:br/>
        <w:t>2) visu produkta sastāvdaļu sarakstu un emisijas, kas rodas, lietojot šo produktu, pēc zīmola un veida, norādot to daudzumu;</w:t>
      </w:r>
      <w:r>
        <w:rPr>
          <w:rFonts w:ascii="Times New Roman" w:hAnsi="Times New Roman"/>
          <w:color w:val="000000"/>
          <w:sz w:val="27"/>
        </w:rPr>
        <w:br/>
        <w:t xml:space="preserve">3) toksikoloģiskos datus, kas attiecas uz produkta sastāvdaļām un emisijām, tai </w:t>
      </w:r>
      <w:r>
        <w:rPr>
          <w:rFonts w:ascii="Times New Roman" w:hAnsi="Times New Roman"/>
          <w:color w:val="000000"/>
          <w:sz w:val="27"/>
        </w:rPr>
        <w:lastRenderedPageBreak/>
        <w:t>skaitā karsējot, jo īpaši attiecībā uz to ietekmi uz patērētāju veselību ieelpojot, un, inter alia, ņemot vērā jebkādu atkarību;</w:t>
      </w:r>
      <w:r>
        <w:rPr>
          <w:rFonts w:ascii="Times New Roman" w:hAnsi="Times New Roman"/>
          <w:color w:val="000000"/>
          <w:sz w:val="27"/>
        </w:rPr>
        <w:br/>
        <w:t>4) informāciju par nikotīna devu un ieelpošanu normālos vai saprātīgi paredzamos patēriņa apstākļos;</w:t>
      </w:r>
      <w:r>
        <w:rPr>
          <w:rFonts w:ascii="Times New Roman" w:hAnsi="Times New Roman"/>
          <w:color w:val="000000"/>
          <w:sz w:val="27"/>
        </w:rPr>
        <w:br/>
        <w:t>5) produkta sastāvdaļu aprakstu, tostarp, ja nepieciešams, elektroniskās cigaretes vai uzpildes tvertnes atvēršanas un uzpildes mehānismu;</w:t>
      </w:r>
      <w:r>
        <w:rPr>
          <w:rFonts w:ascii="Times New Roman" w:hAnsi="Times New Roman"/>
          <w:color w:val="000000"/>
          <w:sz w:val="27"/>
        </w:rPr>
        <w:br/>
        <w:t>6) ražošanas procesa aprakstu, jo īpaši norādot, vai tas ietver masveida ražošanu, un deklarāciju, ka ražošanas process nodrošina atbilstību šā panta prasībām;</w:t>
      </w:r>
      <w:r>
        <w:rPr>
          <w:rFonts w:ascii="Times New Roman" w:hAnsi="Times New Roman"/>
          <w:color w:val="000000"/>
          <w:sz w:val="27"/>
        </w:rPr>
        <w:br/>
        <w:t>7) deklarāciju, ka ražotājs, importētājs un importētājs Beļģijā uzņemas pilnu atbildību par produkta kvalitāti un drošumu, to laižot tirgū un normālos vai saprātīgi paredzamos lietošanas apstākļos;</w:t>
      </w:r>
      <w:r>
        <w:rPr>
          <w:rFonts w:ascii="Times New Roman" w:hAnsi="Times New Roman"/>
          <w:color w:val="000000"/>
          <w:sz w:val="27"/>
        </w:rPr>
        <w:br/>
        <w:t>8) iepakojuma vienību un ārējā iepakojuma marķējumu un lietošanas instrukcijas saturu, kā minēts šā dekrēta 5. panta 9. punktā.</w:t>
      </w:r>
      <w:r>
        <w:rPr>
          <w:rFonts w:ascii="Times New Roman" w:hAnsi="Times New Roman"/>
          <w:color w:val="000000"/>
          <w:sz w:val="27"/>
        </w:rPr>
        <w:br/>
        <w:t>§ 4. Ja dienests uzskata, ka iesniegtā informācija ir nepilnīga, tam ir tiesības pieprasīt tās papildināšanu.</w:t>
      </w:r>
      <w:r>
        <w:rPr>
          <w:rFonts w:ascii="Times New Roman" w:hAnsi="Times New Roman"/>
          <w:color w:val="000000"/>
          <w:sz w:val="27"/>
        </w:rPr>
        <w:br/>
        <w:t>§ 5. Informācija par produktu, kas sniegta saskaņā ar šā panta 3. punktu, ir pieejama Pakalpojuma tīmekļa vietnē, ja Pakalpojums uzskata, ka tā ir pilnīga, un ir samaksāts šā panta 7. punktā minētais rēķins. Produktus, kas nav iekļauti Servisa tīmekļa vietnē publicētajā apstiprināto produktu sarakstā, nevar laist tirgū.</w:t>
      </w:r>
      <w:r>
        <w:rPr>
          <w:rFonts w:ascii="Times New Roman" w:hAnsi="Times New Roman"/>
          <w:color w:val="000000"/>
          <w:sz w:val="27"/>
        </w:rPr>
        <w:br/>
        <w:t>Ievadot informāciju, jānorāda informācija, kas veido komercnoslēpumu vai ir konfidenciāla kādā citā veidā. Šie apgalvojumi ir jāpamato pēc pieprasījuma.</w:t>
      </w:r>
      <w:r>
        <w:rPr>
          <w:rFonts w:ascii="Times New Roman" w:hAnsi="Times New Roman"/>
          <w:color w:val="000000"/>
          <w:sz w:val="27"/>
        </w:rPr>
        <w:br/>
        <w:t>§ 6. Par konfidenciālu vai komercnoslēpumu neuzskata šādu informāciju:</w:t>
      </w:r>
      <w:r>
        <w:rPr>
          <w:rFonts w:ascii="Times New Roman" w:hAnsi="Times New Roman"/>
          <w:color w:val="000000"/>
          <w:sz w:val="27"/>
        </w:rPr>
        <w:br/>
        <w:t>1) sastāvdaļas, ko izmanto daudzumos, kas pārsniedz 0,1 % no šķidruma galīgās formulas;</w:t>
      </w:r>
      <w:r>
        <w:rPr>
          <w:rFonts w:ascii="Times New Roman" w:hAnsi="Times New Roman"/>
          <w:color w:val="000000"/>
          <w:sz w:val="27"/>
        </w:rPr>
        <w:br/>
        <w:t>2) pētījumi un dati, kas nosūtīti saskaņā ar šo pantu, jo īpaši attiecībā uz toksicitāti vai atkarību no produktiem. Ja šie pētījumi ir saistīti ar konkrētām preču zīmēm, svītro tiešas un netiešas atsauces uz preču zīmi un dara pieejamu pārskatīto versiju. Ikvienai personai, kas sniedz paziņojumu, jānosūta dienestam visi pētījumi un dati, kā arī pārskatītā versija.</w:t>
      </w:r>
      <w:r>
        <w:rPr>
          <w:rFonts w:ascii="Times New Roman" w:hAnsi="Times New Roman"/>
          <w:color w:val="000000"/>
          <w:sz w:val="27"/>
        </w:rPr>
        <w:br/>
        <w:t>§ 7. Jebkura persona, kas iesniedz paziņojumu dienestam saskaņā ar 1. līdz 4. punktu, maksā Budžeta fondam izejvielu un produktu maksu EUR 200 apmērā par katru produktu.</w:t>
      </w:r>
      <w:r>
        <w:rPr>
          <w:rFonts w:ascii="Times New Roman" w:hAnsi="Times New Roman"/>
          <w:color w:val="000000"/>
          <w:sz w:val="27"/>
        </w:rPr>
        <w:br/>
        <w:t>Šī maksa jāsamaksā 30 dienu laikā pēc rēķina nosūtīšanas.</w:t>
      </w:r>
      <w:r>
        <w:rPr>
          <w:rFonts w:ascii="Times New Roman" w:hAnsi="Times New Roman"/>
          <w:color w:val="000000"/>
          <w:sz w:val="27"/>
        </w:rPr>
        <w:br/>
        <w:t>Šī maksa ir jāmaksā, tiklīdz dati ir ievadīti paziņošanas sistēmā kā to noteicis ministrs saskaņā ar 3. panta 13. punktu, un tā ir neatgūstama.</w:t>
      </w:r>
      <w:r>
        <w:rPr>
          <w:rFonts w:ascii="Times New Roman" w:hAnsi="Times New Roman"/>
          <w:color w:val="000000"/>
          <w:sz w:val="27"/>
        </w:rPr>
        <w:br/>
        <w:t>§ 8. Ražotājs, importētājs vai importētājs Beļģijā, ja pirmajiem diviem nav juridiskās adreses Beļģijā un nav paziņojuši ražojumu, par katru ražojuma pārveidojumu, kura rezultātā mainās dati, kas nosūtīti saskaņā ar 1. līdz 4. punktu, iesniedz jaunu attiecīgo informāciju. Šīs izmaiņas tiek uzskatītas par būtiskām izmaiņām, izņemot izmaiņas, ko pieprasa dienests, kontaktinformācijas izmaiņas un iepriekšējā gada pārdošanas apjoma datu ieviešanu, kā noteikts šā panta 10. punktā.</w:t>
      </w:r>
      <w:r>
        <w:rPr>
          <w:rFonts w:ascii="Times New Roman" w:hAnsi="Times New Roman"/>
          <w:color w:val="000000"/>
          <w:sz w:val="27"/>
        </w:rPr>
        <w:br/>
        <w:t xml:space="preserve">§ 9. Jebkura persona, kas iesniedz būtiskas izmaiņas Pakalpojumā saskaņā ar 8. punktu, maksā Budžeta fondam izejvielu un produktu maksu EUR 100 apmērā par </w:t>
      </w:r>
      <w:r>
        <w:rPr>
          <w:rFonts w:ascii="Times New Roman" w:hAnsi="Times New Roman"/>
          <w:color w:val="000000"/>
          <w:sz w:val="27"/>
        </w:rPr>
        <w:lastRenderedPageBreak/>
        <w:t>katru produktu. Šī maksa jāsamaksā 30 dienu laikā pēc rēķina nosūtīšanas.</w:t>
      </w:r>
      <w:r>
        <w:rPr>
          <w:rFonts w:ascii="Times New Roman" w:hAnsi="Times New Roman"/>
          <w:color w:val="000000"/>
          <w:sz w:val="27"/>
        </w:rPr>
        <w:br/>
        <w:t>Šī maksa ir jāmaksā, tiklīdz dati ir grozīti paziņošanas sistēmā, ko ministrs noteicis saskaņā ar 3. panta 13. punktu, un tā ir neatgūstama.</w:t>
      </w:r>
      <w:r>
        <w:rPr>
          <w:rFonts w:ascii="Times New Roman" w:hAnsi="Times New Roman"/>
          <w:color w:val="000000"/>
          <w:sz w:val="27"/>
        </w:rPr>
        <w:br/>
        <w:t>§ 10. Ražotājs, importētājs vai importētājs Beļģijā, ja pirmajiem diviem nav juridiskās adreses Beļģijā un nav paziņojuši par produktu, katru gadu ne vēlāk kā līdz 1. martam iesniedz dienestam:</w:t>
      </w:r>
      <w:r>
        <w:rPr>
          <w:rFonts w:ascii="Times New Roman" w:hAnsi="Times New Roman"/>
          <w:color w:val="000000"/>
          <w:sz w:val="27"/>
        </w:rPr>
        <w:br/>
        <w:t>1) izsmeļošus datus par iepriekšējā gada pārdošanas apjomiem, pēc zīmola un produkta veida;</w:t>
      </w:r>
      <w:r>
        <w:rPr>
          <w:rFonts w:ascii="Times New Roman" w:hAnsi="Times New Roman"/>
          <w:color w:val="000000"/>
          <w:sz w:val="27"/>
        </w:rPr>
        <w:br/>
        <w:t>2) informāciju par dažādu patērētāju grupu, tai skaitā jauniešu, nesmēķētāju un galveno faktisko lietotāju, vēlmēm;</w:t>
      </w:r>
      <w:r>
        <w:rPr>
          <w:rFonts w:ascii="Times New Roman" w:hAnsi="Times New Roman"/>
          <w:color w:val="000000"/>
          <w:sz w:val="27"/>
        </w:rPr>
        <w:br/>
        <w:t>3) produktu pārdošanas metodi;</w:t>
      </w:r>
      <w:r>
        <w:rPr>
          <w:rFonts w:ascii="Times New Roman" w:hAnsi="Times New Roman"/>
          <w:color w:val="000000"/>
          <w:sz w:val="27"/>
        </w:rPr>
        <w:br/>
        <w:t>4) kopsavilkumus attiecībā uz iepriekš minēto veikto tirgus pētījumu, tai skaitā to tulkojumu angļu valodā.</w:t>
      </w:r>
      <w:r>
        <w:rPr>
          <w:rFonts w:ascii="Times New Roman" w:hAnsi="Times New Roman"/>
          <w:color w:val="000000"/>
          <w:sz w:val="27"/>
        </w:rPr>
        <w:br/>
        <w:t>§ 11. Ikviena persona, kas iesniedz gada datus dienestam saskaņā ar 10. punktu, maksā Budžeta fondam izejvielu un produktu maksu EUR 50 apmērā par katru produktu.</w:t>
      </w:r>
      <w:r>
        <w:rPr>
          <w:rFonts w:ascii="Times New Roman" w:hAnsi="Times New Roman"/>
          <w:color w:val="000000"/>
          <w:sz w:val="27"/>
        </w:rPr>
        <w:br/>
        <w:t>Šī maksa jāsamaksā 30 dienu laikā pēc rēķina nosūtīšanas.</w:t>
      </w:r>
      <w:r>
        <w:rPr>
          <w:rFonts w:ascii="Times New Roman" w:hAnsi="Times New Roman"/>
          <w:color w:val="000000"/>
          <w:sz w:val="27"/>
        </w:rPr>
        <w:br/>
        <w:t>Šī maksa ir jāmaksā, tiklīdz dati ir ievadīti paziņošanas sistēmā, kā to noteicis ministrs saskaņā ar 3. panta 13. punktu, un tā ir neatgūstama.</w:t>
      </w:r>
      <w:r>
        <w:rPr>
          <w:rFonts w:ascii="Times New Roman" w:hAnsi="Times New Roman"/>
          <w:color w:val="000000"/>
          <w:sz w:val="27"/>
        </w:rPr>
        <w:br/>
        <w:t>§ 12. Ja ražotājam, importētājam vai importētājam Beļģijā, ja pirmajiem diviem nav galvenā biroja Beļģijā, ir jāizveido un jāuztur sistēma informācijas iegūšanai par šo produktu iespējamo kaitīgo ietekmi uz cilvēku veselību.</w:t>
      </w:r>
      <w:r>
        <w:rPr>
          <w:rFonts w:ascii="Times New Roman" w:hAnsi="Times New Roman"/>
          <w:color w:val="000000"/>
          <w:sz w:val="27"/>
        </w:rPr>
        <w:br/>
        <w:t>Ja kāds no šiem uzņēmējiem uzskata vai viņam ir iemesls uzskatīt, ka tā rīcībā esošās elektroniskās cigaretes vai uzpildes flakoni, kurus paredzēts laist tirgū vai kuri laisti tirgū, nav droši, nav labas kvalitātes vai neatbilst šim dekrētam, tas nekavējoties veic nepieciešamos koriģējošos pasākumus, lai nodrošinātu attiecīgā ražojuma atbilstību šim dekrētam, atkarībā no konkrētā gadījuma to atsauc vai atsauc. Šādos gadījumos uzņēmējam ir arī nekavējoties jāinformē dienests, jo īpaši norādot riskus cilvēku veselībai un drošībai un visus veiktos koriģējošos pasākumus, kā arī šo korektīvo pasākumu rezultātus.</w:t>
      </w:r>
      <w:r>
        <w:rPr>
          <w:rFonts w:ascii="Times New Roman" w:hAnsi="Times New Roman"/>
          <w:color w:val="000000"/>
          <w:sz w:val="27"/>
        </w:rPr>
        <w:br/>
        <w:t>Dienests var arī pieprasīt no uzņēmējiem papildu informāciju, piemēram, par elektronisko cigarešu vai uzpildes flakonu drošuma un kvalitātes aspektiem vai jebkādu iespējamu nelabvēlīgu ietekmi.</w:t>
      </w:r>
      <w:r>
        <w:rPr>
          <w:rFonts w:ascii="Times New Roman" w:hAnsi="Times New Roman"/>
          <w:color w:val="000000"/>
          <w:sz w:val="27"/>
        </w:rPr>
        <w:br/>
        <w:t>§ 13. Šajā pantā minētās informācijas nosūtīšanas un pieejamības modeli un šajā pantā prasītās informācijas nosūtīšanas veidu var noteikt ministrs.</w:t>
      </w:r>
      <w:r>
        <w:rPr>
          <w:rFonts w:ascii="Times New Roman" w:hAnsi="Times New Roman"/>
          <w:color w:val="000000"/>
          <w:sz w:val="27"/>
        </w:rPr>
        <w:br/>
        <w:t xml:space="preserve">3. pants. 4. pantu tajā pašā dekrētā aizstāj ar šādu: </w:t>
      </w:r>
      <w:r>
        <w:rPr>
          <w:rFonts w:ascii="Times New Roman" w:hAnsi="Times New Roman"/>
          <w:color w:val="000000"/>
          <w:sz w:val="27"/>
        </w:rPr>
        <w:br/>
        <w:t xml:space="preserve">“ 4. pants. Sastāvs un tehniskie standarti </w:t>
      </w:r>
      <w:r>
        <w:rPr>
          <w:rFonts w:ascii="Times New Roman" w:hAnsi="Times New Roman"/>
          <w:color w:val="000000"/>
          <w:sz w:val="27"/>
        </w:rPr>
        <w:br/>
        <w:t>§ 1. Nikotīnu saturošu šķidrumu laiž tirgū tikai:</w:t>
      </w:r>
      <w:r>
        <w:rPr>
          <w:rFonts w:ascii="Times New Roman" w:hAnsi="Times New Roman"/>
          <w:color w:val="000000"/>
          <w:sz w:val="27"/>
        </w:rPr>
        <w:br/>
        <w:t>1) īpašos uzpildes konteineros, kuru maksimālais tilpums ir 10 mililitri;</w:t>
      </w:r>
      <w:r>
        <w:rPr>
          <w:rFonts w:ascii="Times New Roman" w:hAnsi="Times New Roman"/>
          <w:color w:val="000000"/>
          <w:sz w:val="27"/>
        </w:rPr>
        <w:br/>
        <w:t>2) vienreizējās lietošanas elektroniskajās cigaretēs;</w:t>
      </w:r>
      <w:r>
        <w:rPr>
          <w:rFonts w:ascii="Times New Roman" w:hAnsi="Times New Roman"/>
          <w:color w:val="000000"/>
          <w:sz w:val="27"/>
        </w:rPr>
        <w:br/>
        <w:t>3) vienreizējas lietošanas kārtridžos.</w:t>
      </w:r>
      <w:r>
        <w:rPr>
          <w:rFonts w:ascii="Times New Roman" w:hAnsi="Times New Roman"/>
          <w:color w:val="000000"/>
          <w:sz w:val="27"/>
        </w:rPr>
        <w:br/>
        <w:t>Kārtridži vai rezervuāri nedrīkst pārsniegt 2 mililitrus.</w:t>
      </w:r>
      <w:r>
        <w:rPr>
          <w:rFonts w:ascii="Times New Roman" w:hAnsi="Times New Roman"/>
          <w:color w:val="000000"/>
          <w:sz w:val="27"/>
        </w:rPr>
        <w:br/>
        <w:t>§ 2. Aizliegts laist tirgū elektroniskās cigaretes, kurām ir pievilcīgas iezīmes, kas nav noderīgas ierīces darbināšanai.</w:t>
      </w:r>
      <w:r>
        <w:rPr>
          <w:rFonts w:ascii="Times New Roman" w:hAnsi="Times New Roman"/>
          <w:color w:val="000000"/>
          <w:sz w:val="27"/>
        </w:rPr>
        <w:br/>
      </w:r>
      <w:r>
        <w:rPr>
          <w:rFonts w:ascii="Times New Roman" w:hAnsi="Times New Roman"/>
          <w:color w:val="000000"/>
          <w:sz w:val="27"/>
        </w:rPr>
        <w:lastRenderedPageBreak/>
        <w:t>§ 3. Nikotīnu saturošais šķidrums nesatur vairāk kā 20 miligramus nikotīna mililitrā.</w:t>
      </w:r>
      <w:r>
        <w:rPr>
          <w:rFonts w:ascii="Times New Roman" w:hAnsi="Times New Roman"/>
          <w:color w:val="000000"/>
          <w:sz w:val="27"/>
        </w:rPr>
        <w:br/>
        <w:t>§ 4. Nikotīnu saturošais šķidrums nesatur šādas piedevas:</w:t>
      </w:r>
      <w:r>
        <w:rPr>
          <w:rFonts w:ascii="Times New Roman" w:hAnsi="Times New Roman"/>
          <w:color w:val="000000"/>
          <w:sz w:val="27"/>
        </w:rPr>
        <w:br/>
        <w:t>1) vitamīni vai citas piedevas, kas rada iespaidu, ka elektroniskajai cigaretei ir labvēlīga ietekme uz veselību vai ka ir samazināts tās radītais veselības apdraudējums;</w:t>
      </w:r>
      <w:r>
        <w:rPr>
          <w:rFonts w:ascii="Times New Roman" w:hAnsi="Times New Roman"/>
          <w:color w:val="000000"/>
          <w:sz w:val="27"/>
        </w:rPr>
        <w:br/>
        <w:t>2) kofeīns vai taurīns, vai citas piedevas un stimulanti, kas saistīti ar enerģiju un/vai vitalitāti;</w:t>
      </w:r>
      <w:r>
        <w:rPr>
          <w:rFonts w:ascii="Times New Roman" w:hAnsi="Times New Roman"/>
          <w:color w:val="000000"/>
          <w:sz w:val="27"/>
        </w:rPr>
        <w:br/>
        <w:t>3) piedevas, kas emisijām piešķir krāsvielu īpašības;</w:t>
      </w:r>
      <w:r>
        <w:rPr>
          <w:rFonts w:ascii="Times New Roman" w:hAnsi="Times New Roman"/>
          <w:color w:val="000000"/>
          <w:sz w:val="27"/>
        </w:rPr>
        <w:br/>
        <w:t>4) piedevas, kurām bez sadegšanas ir CMR īpašības;</w:t>
      </w:r>
      <w:r>
        <w:rPr>
          <w:rFonts w:ascii="Times New Roman" w:hAnsi="Times New Roman"/>
          <w:color w:val="000000"/>
          <w:sz w:val="27"/>
        </w:rPr>
        <w:br/>
        <w:t>5) piedevas, kas veicina nikotīna ieelpošanu vai absorbciju.</w:t>
      </w:r>
      <w:r>
        <w:rPr>
          <w:rFonts w:ascii="Times New Roman" w:hAnsi="Times New Roman"/>
          <w:color w:val="000000"/>
          <w:sz w:val="27"/>
        </w:rPr>
        <w:br/>
        <w:t>Ministrs izveido citu aizliegto piedevu sarakstu un/vai atļauto piedevu sarakstu.</w:t>
      </w:r>
      <w:r>
        <w:rPr>
          <w:rFonts w:ascii="Times New Roman" w:hAnsi="Times New Roman"/>
          <w:color w:val="000000"/>
          <w:sz w:val="27"/>
        </w:rPr>
        <w:br/>
        <w:t>§ 5. Nikotīnu saturoša šķidruma ražošanā izmanto tikai augstas tīrības pakāpes sastāvdaļas. Vielām, kas nav 3. panta 2. punktā minētās sastāvdaļas, jābūt nikotīnu saturošā šķidrumā zīmju veidā, ja ražošanas laikā šādas pēdas tehniski nav iespējams novērst.</w:t>
      </w:r>
      <w:r>
        <w:rPr>
          <w:rFonts w:ascii="Times New Roman" w:hAnsi="Times New Roman"/>
          <w:color w:val="000000"/>
          <w:sz w:val="27"/>
        </w:rPr>
        <w:br/>
        <w:t>§ 6. Nikotīnu saturošā šķidrumā, izņemot nikotīnu, izmanto tikai tās sastāvdaļas, kas, neatkarīgi no tā, vai tās ir uzkarsētas vai neuzkarsētas, neapdraud cilvēku veselību.</w:t>
      </w:r>
      <w:r>
        <w:rPr>
          <w:rFonts w:ascii="Times New Roman" w:hAnsi="Times New Roman"/>
          <w:color w:val="000000"/>
          <w:sz w:val="27"/>
        </w:rPr>
        <w:br/>
        <w:t>§ 7. Elektroniskās cigaretes nodrošina konsekventas nikotīna devas normālas lietošanas apstākļos.</w:t>
      </w:r>
      <w:r>
        <w:rPr>
          <w:rFonts w:ascii="Times New Roman" w:hAnsi="Times New Roman"/>
          <w:color w:val="000000"/>
          <w:sz w:val="27"/>
        </w:rPr>
        <w:br/>
        <w:t>§ 8. Elektroniskās cigaretes un uzpildes flakoni ir aprīkoti ar bērniem neatveramu ierīci un ir droši pret viltojumiem; tie ir aizsargāti pret lūzumiem un noplūdēm un ir aprīkoti ar ierīci, kas nodrošina, ka piepildīšanas laikā tie nenoplūst. Tie atbilst ISO 8317 prasībām. Ministrs nosaka uzpildes mehānisma tehniskos standartus.</w:t>
      </w:r>
      <w:r>
        <w:rPr>
          <w:rFonts w:ascii="Times New Roman" w:hAnsi="Times New Roman"/>
          <w:color w:val="000000"/>
          <w:sz w:val="27"/>
        </w:rPr>
        <w:br/>
        <w:t xml:space="preserve">§ 9. Ministrs nosaka analīzes standartus un metodes, kas jāizmanto, lai pārbaudītu, kā tiek īstenoti šajā pantā paredzētie noteikumi par sastāvu un emisijām. </w:t>
      </w:r>
      <w:r>
        <w:rPr>
          <w:rFonts w:ascii="Times New Roman" w:hAnsi="Times New Roman"/>
          <w:color w:val="000000"/>
          <w:sz w:val="27"/>
        </w:rPr>
        <w:br/>
        <w:t>4. pants. Tā paša dekrēta 5. pantu aizstāj ar šādu:</w:t>
      </w:r>
      <w:r>
        <w:rPr>
          <w:rFonts w:ascii="Times New Roman" w:hAnsi="Times New Roman"/>
          <w:color w:val="000000"/>
          <w:sz w:val="27"/>
        </w:rPr>
        <w:br/>
        <w:t xml:space="preserve">“ 5. pants. Marķēšana </w:t>
      </w:r>
      <w:r>
        <w:rPr>
          <w:rFonts w:ascii="Times New Roman" w:hAnsi="Times New Roman"/>
          <w:color w:val="000000"/>
          <w:sz w:val="27"/>
        </w:rPr>
        <w:br/>
        <w:t>§ 1. Uz katras elektroniskās cigaretes vai uzpildes tvertnes iepakojuma vienības, kā arī uz jebkura ārējā iepakojuma ir šajā pantā paredzētais brīdinājums par ietekmi uz veselību holandiešu, franču un vācu valodā. Katru valodu drukā jaunā rindā.</w:t>
      </w:r>
      <w:r>
        <w:rPr>
          <w:rFonts w:ascii="Times New Roman" w:hAnsi="Times New Roman"/>
          <w:color w:val="000000"/>
          <w:sz w:val="27"/>
        </w:rPr>
        <w:br/>
        <w:t xml:space="preserve">§ 2. Brīdinājums par ietekmi uz veselību aizņem visu iepakojuma vienības vai tam paredzētā ārējā iepakojuma virsmu. To nekādā veidā nedrīkst komentēt, pārfrāzēt vai uz to atsaukties. </w:t>
      </w:r>
      <w:r>
        <w:rPr>
          <w:rFonts w:ascii="Times New Roman" w:hAnsi="Times New Roman"/>
          <w:color w:val="000000"/>
          <w:sz w:val="27"/>
        </w:rPr>
        <w:br/>
        <w:t>§ 3. Brīdinājums par ietekmi uz veselību uz iepakojuma vienības vai jebkura ārējā iepakojuma ir neatņemams, neizdzēšami uzdrukāts un pilnībā redzams. To pilnībā vai daļēji neaizsedz vai nepārtrauc ar nodokļu markām, cenu zīmēm, drošības ierīcēm, iesaiņojumiem, aploksnēm, kastēm vai citiem priekšmetiem.</w:t>
      </w:r>
      <w:r>
        <w:rPr>
          <w:rFonts w:ascii="Times New Roman" w:hAnsi="Times New Roman"/>
          <w:color w:val="000000"/>
          <w:sz w:val="27"/>
        </w:rPr>
        <w:br/>
        <w:t>§ 4. Kad iepakojuma vienība ir atvērta, brīdinājums par ietekmi uz veselību paliek neskarts.</w:t>
      </w:r>
      <w:r>
        <w:rPr>
          <w:rFonts w:ascii="Times New Roman" w:hAnsi="Times New Roman"/>
          <w:color w:val="000000"/>
          <w:sz w:val="27"/>
        </w:rPr>
        <w:br/>
        <w:t>§ 5. Brīdinājums par ietekmi uz veselību ir ierāmēts ar melnu apmali, kuras platums ir 1 mm un kura atrodas šim brīdinājumam paredzētajā zonā.</w:t>
      </w:r>
      <w:r>
        <w:rPr>
          <w:rFonts w:ascii="Times New Roman" w:hAnsi="Times New Roman"/>
          <w:color w:val="000000"/>
          <w:sz w:val="27"/>
        </w:rPr>
        <w:br/>
      </w:r>
      <w:r>
        <w:rPr>
          <w:rFonts w:ascii="Times New Roman" w:hAnsi="Times New Roman"/>
          <w:color w:val="000000"/>
          <w:sz w:val="27"/>
        </w:rPr>
        <w:lastRenderedPageBreak/>
        <w:t>§ 6. Elektronisko cigarešu un uzpildes flakonu iepakojuma vienības un ārējais iepakojums ietver šādu brīdinājumu par ietekmi uz veselību:</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[Šajā produktā esošais nikotīns rada spēcīgu atkarību. To nav ieteicams lietot nesmēķētājiem.]</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 einen Stoff, der sehr stark abhängig macht. Es wird nicht für den Gebrauch durch Nichtraucher empfohlen.”.</w:t>
      </w:r>
      <w:r>
        <w:rPr>
          <w:rFonts w:ascii="Times New Roman" w:hAnsi="Times New Roman"/>
          <w:color w:val="000000"/>
          <w:sz w:val="27"/>
        </w:rPr>
        <w:br/>
        <w:t>§ 7. Brīdinājums par ietekmi uz veselību:</w:t>
      </w:r>
      <w:r>
        <w:rPr>
          <w:rFonts w:ascii="Times New Roman" w:hAnsi="Times New Roman"/>
          <w:color w:val="000000"/>
          <w:sz w:val="27"/>
        </w:rPr>
        <w:br/>
        <w:t>1) parādās uz divām lielākajām iepakojuma vienības virsmām un uz jebkura ārējā iepakojuma.</w:t>
      </w:r>
      <w:r>
        <w:rPr>
          <w:rFonts w:ascii="Times New Roman" w:hAnsi="Times New Roman"/>
          <w:color w:val="000000"/>
          <w:sz w:val="27"/>
        </w:rPr>
        <w:br/>
        <w:t>Uz paralēlskaldņa iepakojuma vienībām ar četrām līdzīga izmēra virsmām brīdinājumam jābūt uz divām pretējām virsmām, no kurām viena ir galvenā virsma, kas attēlo zīmolu.</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sedz 35 % no attiecīgās iepakojuma vienības un jebkura ārējā iepakojuma virsmas;</w:t>
      </w:r>
      <w:r>
        <w:rPr>
          <w:rFonts w:ascii="Times New Roman" w:hAnsi="Times New Roman"/>
          <w:color w:val="000000"/>
          <w:sz w:val="27"/>
        </w:rPr>
        <w:br/>
        <w:t>3) jāatrodas iepakojuma vienības un jebkāda ārējā iepakojuma attiecīgās virsmas apakšā un uz paralēlām iepakošanas vienībām un jebkāda ārējā iepakojuma, atrodas paralēli iepakojuma vienības vai ārējā iepakojuma sānu malai.</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8. Brīdinājuma par ietekmi uz veselību teksts ir šāds:</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paralēli galvenajam tekstam, kas atrodas uz šim brīdinājumam paredzētās virsmas;</w:t>
      </w:r>
      <w:r>
        <w:rPr>
          <w:rFonts w:ascii="Times New Roman" w:hAnsi="Times New Roman"/>
          <w:color w:val="000000"/>
          <w:sz w:val="27"/>
        </w:rPr>
        <w:br/>
        <w:t>2) uzdrukāts treknrakstā melnā Helvetica uz balta fona ar rakstzīmju izmēru tā, ka teksts aizņem lielāko iespējamo tai paredzētās virsmas daļu, neietekmējot tā lasāmību; un</w:t>
      </w:r>
      <w:r>
        <w:rPr>
          <w:rFonts w:ascii="Times New Roman" w:hAnsi="Times New Roman"/>
          <w:color w:val="000000"/>
          <w:sz w:val="27"/>
        </w:rPr>
        <w:br/>
        <w:t>3) tai rezervētās virsmas centrā.</w:t>
      </w:r>
      <w:r>
        <w:rPr>
          <w:rFonts w:ascii="Times New Roman" w:hAnsi="Times New Roman"/>
          <w:color w:val="000000"/>
          <w:sz w:val="27"/>
        </w:rPr>
        <w:br/>
        <w:t>§ 9. Uz elektronisko cigarešu un uzpildes flakonu iepakojuma vienībām ir jābūt lietošanas instrukcijai vismaz holandiešu, franču un vācu valodās, kurā ir:</w:t>
      </w:r>
      <w:r>
        <w:rPr>
          <w:rFonts w:ascii="Times New Roman" w:hAnsi="Times New Roman"/>
          <w:color w:val="000000"/>
          <w:sz w:val="27"/>
        </w:rPr>
        <w:br/>
        <w:t>1) produkta lietošanas un uzglabāšanas instrukcijas, tai skaitā atzīme, kas norāda, ka jauniešiem un nesmēķētājiem nav ieteicams lietot produktu;</w:t>
      </w:r>
      <w:r>
        <w:rPr>
          <w:rFonts w:ascii="Times New Roman" w:hAnsi="Times New Roman"/>
          <w:color w:val="000000"/>
          <w:sz w:val="27"/>
        </w:rPr>
        <w:br/>
        <w:t>2) kontrindikācijas;</w:t>
      </w:r>
      <w:r>
        <w:rPr>
          <w:rFonts w:ascii="Times New Roman" w:hAnsi="Times New Roman"/>
          <w:color w:val="000000"/>
          <w:sz w:val="27"/>
        </w:rPr>
        <w:br/>
        <w:t>3) brīdinājumi konkrētām riska grupām;</w:t>
      </w:r>
      <w:r>
        <w:rPr>
          <w:rFonts w:ascii="Times New Roman" w:hAnsi="Times New Roman"/>
          <w:color w:val="000000"/>
          <w:sz w:val="27"/>
        </w:rPr>
        <w:br/>
        <w:t>4) iespējamās blakusparādības;</w:t>
      </w:r>
      <w:r>
        <w:rPr>
          <w:rFonts w:ascii="Times New Roman" w:hAnsi="Times New Roman"/>
          <w:color w:val="000000"/>
          <w:sz w:val="27"/>
        </w:rPr>
        <w:br/>
        <w:t>5) atkarība un toksicitāte;</w:t>
      </w:r>
      <w:r>
        <w:rPr>
          <w:rFonts w:ascii="Times New Roman" w:hAnsi="Times New Roman"/>
          <w:color w:val="000000"/>
          <w:sz w:val="27"/>
        </w:rPr>
        <w:br/>
        <w:t>6) ražotāja, importētāja vai importētāja Beļģijā un fiziskās vai juridiskās personas Eiropas Savienībā kontaktinformācija;</w:t>
      </w:r>
      <w:r>
        <w:rPr>
          <w:rFonts w:ascii="Times New Roman" w:hAnsi="Times New Roman"/>
          <w:color w:val="000000"/>
          <w:sz w:val="27"/>
        </w:rPr>
        <w:br/>
        <w:t>7) Indes apkarošanas centra numurs.</w:t>
      </w:r>
      <w:r>
        <w:rPr>
          <w:rFonts w:ascii="Times New Roman" w:hAnsi="Times New Roman"/>
          <w:color w:val="000000"/>
          <w:sz w:val="27"/>
        </w:rPr>
        <w:br/>
        <w:t>§ 10. Elektronisko cigarešu un uzpildes flakonu iepakojuma vienībās, kā arī visos ārējos iepakojumos iekļauj sarakstu vismaz holandiešu, franču un vācu valodā, kurā ir:</w:t>
      </w:r>
      <w:r>
        <w:rPr>
          <w:rFonts w:ascii="Times New Roman" w:hAnsi="Times New Roman"/>
          <w:color w:val="000000"/>
          <w:sz w:val="27"/>
        </w:rPr>
        <w:br/>
        <w:t>1) visas produktā esošās sastāvdaļas, tai skaitā aromatizētāji un alergēni; dilstošā secībā pēc svara;</w:t>
      </w:r>
      <w:r>
        <w:rPr>
          <w:rFonts w:ascii="Times New Roman" w:hAnsi="Times New Roman"/>
          <w:color w:val="000000"/>
          <w:sz w:val="27"/>
        </w:rPr>
        <w:br/>
        <w:t>2) norāde par produkta nikotīna saturu un vienā devā izplatīto daudzumu;</w:t>
      </w:r>
      <w:r>
        <w:rPr>
          <w:rFonts w:ascii="Times New Roman" w:hAnsi="Times New Roman"/>
          <w:color w:val="000000"/>
          <w:sz w:val="27"/>
        </w:rPr>
        <w:br/>
      </w:r>
      <w:r>
        <w:rPr>
          <w:rFonts w:ascii="Times New Roman" w:hAnsi="Times New Roman"/>
          <w:color w:val="000000"/>
          <w:sz w:val="27"/>
        </w:rPr>
        <w:lastRenderedPageBreak/>
        <w:t>3) partijas numurs, pirms kura ir vārds “partija”;</w:t>
      </w:r>
      <w:r>
        <w:rPr>
          <w:rFonts w:ascii="Times New Roman" w:hAnsi="Times New Roman"/>
          <w:color w:val="000000"/>
          <w:sz w:val="27"/>
        </w:rPr>
        <w:br/>
        <w:t>4) ieteikums, ka produkts jāglabā bērniem nepieejamā vietā teksta vai logotipa veidā;</w:t>
      </w:r>
      <w:r>
        <w:rPr>
          <w:rFonts w:ascii="Times New Roman" w:hAnsi="Times New Roman"/>
          <w:color w:val="000000"/>
          <w:sz w:val="27"/>
        </w:rPr>
        <w:br/>
        <w:t>5) produkta ID, ko izsniedz paziņošanas sistēma, ko ministrs noteicis saskaņā ar 3. panta 13. punktu.</w:t>
      </w:r>
      <w:r>
        <w:rPr>
          <w:rFonts w:ascii="Times New Roman" w:hAnsi="Times New Roman"/>
          <w:color w:val="000000"/>
          <w:sz w:val="27"/>
        </w:rPr>
        <w:br/>
        <w:t>§ 11. Uzpildes flakoniem ir derīguma termiņš. Uzpildes flakonus, kuru derīguma termiņš ir beidzies, vairs nedrīkst laist tirgū.</w:t>
      </w:r>
      <w:r>
        <w:rPr>
          <w:rFonts w:ascii="Times New Roman" w:hAnsi="Times New Roman"/>
          <w:color w:val="000000"/>
          <w:sz w:val="27"/>
        </w:rPr>
        <w:br/>
        <w:t>§ 12. Neskarot 10. punktu, elektronisko cigarešu un uzpildes flakonu iepakojuma vienības un ārējais iepakojums nesatur:</w:t>
      </w:r>
      <w:r>
        <w:rPr>
          <w:rFonts w:ascii="Times New Roman" w:hAnsi="Times New Roman"/>
          <w:color w:val="000000"/>
          <w:sz w:val="27"/>
        </w:rPr>
        <w:br/>
        <w:t>1) jebkādu ierosinājumu, ka konkrētā elektroniskā cigarete vai uzpildes konteiners ir mazāk kaitīgs nekā citi vai ka tas ir paredzēts, lai samazinātu dažu kaitīgu dūmu sastāvdaļu ietekmi, vai ka tam ir vitāla, stimulējoša, dziedinoša, atjaunojoša, dabiska, bioloģiska vai labvēlīga ietekme uz veselību vai dzīvesveidu;</w:t>
      </w:r>
      <w:r>
        <w:rPr>
          <w:rFonts w:ascii="Times New Roman" w:hAnsi="Times New Roman"/>
          <w:color w:val="000000"/>
          <w:sz w:val="27"/>
        </w:rPr>
        <w:br/>
        <w:t>2) jebkādu līdzību ar pārtikas vai kosmētikas līdzekļiem;</w:t>
      </w:r>
      <w:r>
        <w:rPr>
          <w:rFonts w:ascii="Times New Roman" w:hAnsi="Times New Roman"/>
          <w:color w:val="000000"/>
          <w:sz w:val="27"/>
        </w:rPr>
        <w:br/>
        <w:t>3) jebkādu ierosinājumu, ka konkrētā elektroniskā cigarete vai uzpildes konteiners ir vieglāk bioloģiski noārdāms vai ka tam ir cits ieguvums videi.</w:t>
      </w:r>
      <w:r>
        <w:rPr>
          <w:rFonts w:ascii="Times New Roman" w:hAnsi="Times New Roman"/>
          <w:color w:val="000000"/>
          <w:sz w:val="27"/>
        </w:rPr>
        <w:br/>
        <w:t>§ 13. Garšu, smaržu, jebkuru aromātu var norādīt tikai ar vienu vārdu noteikta izmēra, normālā, parastā Helvetica alfabētiskā burtveidolā, melnbaltā krāsā, fontā, kas nepārsniedz 10.</w:t>
      </w:r>
      <w:r>
        <w:rPr>
          <w:rFonts w:ascii="Times New Roman" w:hAnsi="Times New Roman"/>
          <w:color w:val="000000"/>
          <w:sz w:val="27"/>
        </w:rPr>
        <w:br/>
        <w:t>§ 14. Iepakojuma vienības un jebkāds ārējais iepakojums nesniedz ekonomisku labumu, izmantojot drukātus kuponus, atlaižu piedāvājumus, bezmaksas izplatīšanu, “divus par viena cenu ” vai citus līdzīgus piedāvājumus.</w:t>
      </w:r>
      <w:r>
        <w:rPr>
          <w:rFonts w:ascii="Times New Roman" w:hAnsi="Times New Roman"/>
          <w:color w:val="000000"/>
          <w:sz w:val="27"/>
        </w:rPr>
        <w:br/>
        <w:t>§ 15. Elementi un ierīces, kas aizliegtas saskaņā ar 13. un 14. punktu, cita starpā var ietvert ziņojumus, simbolus, nosaukumus, preču zīmes un grafiskas vai citas zīmes.</w:t>
      </w:r>
      <w:r>
        <w:rPr>
          <w:rFonts w:ascii="Times New Roman" w:hAnsi="Times New Roman"/>
          <w:color w:val="000000"/>
          <w:sz w:val="27"/>
        </w:rPr>
        <w:br/>
        <w:t>§ 16. Zīmols un apakšzīmols, kas parādās uz iepakojuma vienības un ārējā iepakojuma, ir identisks tiem, kas ievadīti paziņošanas sistēmā kā to noteicis ministrs saskaņā ar 3. panta 13. punktu.</w:t>
      </w:r>
      <w:r>
        <w:rPr>
          <w:rFonts w:ascii="Times New Roman" w:hAnsi="Times New Roman"/>
          <w:color w:val="000000"/>
          <w:sz w:val="27"/>
        </w:rPr>
        <w:br/>
        <w:t>17. pants. Ministrs var paredzēt papildu nosacījumus attiecībā uz šajā pantā minētās informācijas saturu un noformējumu, izņemot 13. punktu.”</w:t>
      </w:r>
      <w:r>
        <w:rPr>
          <w:rFonts w:ascii="Times New Roman" w:hAnsi="Times New Roman"/>
          <w:color w:val="000000"/>
          <w:sz w:val="27"/>
        </w:rPr>
        <w:br/>
        <w:t xml:space="preserve">5. pants. Tā paša dekrēta 6. pantu aizstāj ar šādu: </w:t>
      </w:r>
      <w:r>
        <w:rPr>
          <w:rFonts w:ascii="Times New Roman" w:hAnsi="Times New Roman"/>
          <w:color w:val="000000"/>
          <w:sz w:val="27"/>
        </w:rPr>
        <w:br/>
        <w:t>“6. pants.  Elektronisko cigarešu tālpārdošana</w:t>
      </w:r>
      <w:r>
        <w:rPr>
          <w:rFonts w:ascii="Times New Roman" w:hAnsi="Times New Roman"/>
          <w:color w:val="000000"/>
          <w:sz w:val="27"/>
        </w:rPr>
        <w:br/>
        <w:t>§ 1. Tālpārdošana patērētājiem un elektronisko cigarešu un uzpildes flakonu tālpārdošana patērētājiem ir aizliegta.</w:t>
      </w:r>
      <w:r>
        <w:rPr>
          <w:rFonts w:ascii="Times New Roman" w:hAnsi="Times New Roman"/>
          <w:color w:val="000000"/>
          <w:sz w:val="27"/>
        </w:rPr>
        <w:br/>
        <w:t>§ 2. Atkāpjoties no 1. punkta, pārrobežu tālpārdošana ir atļauta, ja to atļauj galamērķa dalībvalsts tiesību akti.”</w:t>
      </w:r>
      <w:r>
        <w:rPr>
          <w:rFonts w:ascii="Times New Roman" w:hAnsi="Times New Roman"/>
          <w:color w:val="000000"/>
          <w:sz w:val="27"/>
        </w:rPr>
        <w:br/>
        <w:t>6. pants. Tajā pašā dekrētā iekļauj 6. panta 1. punktu, kurā ir noteikts:</w:t>
      </w:r>
      <w:r>
        <w:rPr>
          <w:rFonts w:ascii="Times New Roman" w:hAnsi="Times New Roman"/>
          <w:color w:val="000000"/>
          <w:sz w:val="27"/>
        </w:rPr>
        <w:br/>
        <w:t>“6.1 pants.  Uzpildes flakoni bez nikotīna</w:t>
      </w:r>
      <w:r>
        <w:rPr>
          <w:rFonts w:ascii="Times New Roman" w:hAnsi="Times New Roman"/>
          <w:color w:val="000000"/>
          <w:sz w:val="27"/>
        </w:rPr>
        <w:br/>
        <w:t>§ 1. Noteikumus par paziņošanu, kas paredzēti 3. pantā, piemēro bez nikotīna uzpildes flakoniem.</w:t>
      </w:r>
      <w:r>
        <w:rPr>
          <w:rFonts w:ascii="Times New Roman" w:hAnsi="Times New Roman"/>
          <w:color w:val="000000"/>
          <w:sz w:val="27"/>
        </w:rPr>
        <w:br/>
        <w:t>§ 2. Regulas 4. panta noteikumus par sastāvu un tehniskajiem standartiem piemēro bez nikotīna uzpildes flakoniem, izņemot 1., 3. un 7. punktu.</w:t>
      </w:r>
      <w:r>
        <w:rPr>
          <w:rFonts w:ascii="Times New Roman" w:hAnsi="Times New Roman"/>
          <w:color w:val="000000"/>
          <w:sz w:val="27"/>
        </w:rPr>
        <w:br/>
        <w:t>§ 3. 5. panta noteikumus, izņemot 6. punktu, piemēro bez nikotīna uzpildes flakoniem.</w:t>
      </w:r>
      <w:r>
        <w:rPr>
          <w:rFonts w:ascii="Times New Roman" w:hAnsi="Times New Roman"/>
          <w:color w:val="000000"/>
          <w:sz w:val="27"/>
        </w:rPr>
        <w:br/>
      </w:r>
      <w:r>
        <w:rPr>
          <w:rFonts w:ascii="Times New Roman" w:hAnsi="Times New Roman"/>
          <w:color w:val="000000"/>
          <w:sz w:val="27"/>
        </w:rPr>
        <w:lastRenderedPageBreak/>
        <w:t>Brīdinājums par šāda veida produktu ietekmi uz veselību ir šāds:</w:t>
      </w:r>
      <w:r>
        <w:rPr>
          <w:rFonts w:ascii="Times New Roman" w:hAnsi="Times New Roman"/>
          <w:color w:val="000000"/>
          <w:sz w:val="27"/>
        </w:rPr>
        <w:br/>
        <w:t>“Ce produit nuit à votre santé. Son utilisation par les non-fumeurs n’est pas recommandée. [Šis produkts kaitē jūsu veselībai. To nav ieteicams lietot nesmēķētājiem.]</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 4. 6. pants par tālpārdošanu attiecas uz bez nikotīna uzpildes flakoniem.”</w:t>
      </w:r>
      <w:r>
        <w:rPr>
          <w:rFonts w:ascii="Times New Roman" w:hAnsi="Times New Roman"/>
          <w:color w:val="000000"/>
          <w:sz w:val="27"/>
        </w:rPr>
        <w:br/>
        <w:t>7. pants. Šis dekrēts stājas spēkā sešus mēnešus pēc tā publicēšanas Beļģijas Oficiālajā Vēstnesī (</w:t>
      </w:r>
      <w:r>
        <w:rPr>
          <w:rFonts w:ascii="Times New Roman" w:hAnsi="Times New Roman"/>
          <w:i/>
          <w:color w:val="000000"/>
          <w:sz w:val="27"/>
        </w:rPr>
        <w:t>Moniteur belge</w:t>
      </w:r>
      <w:r>
        <w:rPr>
          <w:rFonts w:ascii="Times New Roman" w:hAnsi="Times New Roman"/>
          <w:color w:val="000000"/>
          <w:sz w:val="27"/>
        </w:rPr>
        <w:t>), izņemot mazumtirgotāju, kuram šis dekrēts stājas spēkā divpadsmit mēnešus pēc tā publicēšanas Beļģijas Oficiālajā Vēstnesī.</w:t>
      </w:r>
      <w:r>
        <w:rPr>
          <w:rFonts w:ascii="Times New Roman" w:hAnsi="Times New Roman"/>
          <w:color w:val="000000"/>
          <w:sz w:val="27"/>
        </w:rPr>
        <w:br/>
        <w:t>8. pants. Sabiedrības veselības ministrs ir atbildīgs par šā dekrēta īstenošanu.</w:t>
      </w:r>
      <w:r>
        <w:rPr>
          <w:rFonts w:ascii="Times New Roman" w:hAnsi="Times New Roman"/>
          <w:color w:val="000000"/>
          <w:sz w:val="27"/>
        </w:rPr>
        <w:br/>
        <w:t>Izdots Briselē, 2022. gada 7. novembrī.</w:t>
      </w:r>
      <w:r>
        <w:rPr>
          <w:rFonts w:ascii="Times New Roman" w:hAnsi="Times New Roman"/>
          <w:color w:val="000000"/>
          <w:sz w:val="27"/>
        </w:rPr>
        <w:br/>
        <w:t>FILIPS</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Karalis:</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Sabiedrības veselības ministrs,</w:t>
      </w:r>
    </w:p>
    <w:p w14:paraId="6843BC87" w14:textId="5D41D61E" w:rsidR="00062534" w:rsidRPr="006D0573" w:rsidRDefault="00062534" w:rsidP="00062534">
      <w:pPr>
        <w:spacing w:after="0" w:line="240" w:lineRule="auto"/>
        <w:rPr>
          <w:rFonts w:ascii="Times New Roman" w:eastAsia="Times New Roman" w:hAnsi="Times New Roman" w:cs="Times New Roman"/>
          <w:sz w:val="24"/>
          <w:szCs w:val="24"/>
        </w:rPr>
      </w:pPr>
      <w:r w:rsidRPr="006D0573">
        <w:rPr>
          <w:rFonts w:ascii="Times New Roman" w:hAnsi="Times New Roman"/>
          <w:color w:val="000000"/>
          <w:sz w:val="27"/>
        </w:rPr>
        <w:t>F. VANDENBROUCKE</w:t>
      </w:r>
      <w:r w:rsidRPr="006D0573">
        <w:rPr>
          <w:rFonts w:ascii="Times New Roman" w:hAnsi="Times New Roman"/>
          <w:color w:val="000000"/>
          <w:sz w:val="27"/>
        </w:rPr>
        <w:br/>
      </w:r>
      <w:bookmarkStart w:id="0" w:name="end"/>
      <w:bookmarkEnd w:id="0"/>
      <w:r w:rsidRPr="006D0573">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top"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Publicēts: 2023-01-11</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6D0573"/>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5995</Words>
  <Characters>38728</Characters>
  <Application>Microsoft Office Word</Application>
  <DocSecurity>0</DocSecurity>
  <Lines>704</Lines>
  <Paragraphs>133</Paragraphs>
  <ScaleCrop>false</ScaleCrop>
  <Company/>
  <LinksUpToDate>false</LinksUpToDate>
  <CharactersWithSpaces>44590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2023-02-22T09:48:00Z</dcterms:created>
  <dcterms:modified xsi:type="dcterms:W3CDTF">2023-02-22T09:48:00Z</dcterms:modified>
</cp:coreProperties>
</file>