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Ministryně zdravotnictví,</w:t>
      </w:r>
    </w:p>
    <w:p w14:paraId="4277AAE7" w14:textId="0746FA92" w:rsidR="001D3DA3" w:rsidRDefault="00AD598F" w:rsidP="008D3E19">
      <w:pPr>
        <w:pStyle w:val="NoSpacing"/>
        <w:spacing w:line="276" w:lineRule="auto"/>
        <w:rPr>
          <w:color w:val="000000" w:themeColor="text1"/>
        </w:rPr>
      </w:pPr>
      <w:r>
        <w:t xml:space="preserve"> </w:t>
      </w:r>
      <w:r>
        <w:br/>
      </w:r>
      <w:r>
        <w:t xml:space="preserve">s ohledem na:</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články 36 a 38 nařízení Evropského parlamentu a Rady (EU) č. 1169/2011 ze dne 25. října 2011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 (Úř. věst. L 304);</w:t>
      </w:r>
    </w:p>
    <w:p w14:paraId="4F7579B4" w14:textId="00829AA7" w:rsidR="00BD77BD" w:rsidRDefault="00BD77BD" w:rsidP="00BD77BD">
      <w:pPr>
        <w:pStyle w:val="ListParagraph"/>
        <w:numPr>
          <w:ilvl w:val="0"/>
          <w:numId w:val="26"/>
        </w:numPr>
        <w:autoSpaceDN/>
        <w:spacing w:line="276" w:lineRule="auto"/>
        <w:textAlignment w:val="auto"/>
      </w:pPr>
      <w:r>
        <w:t xml:space="preserve">články 8 a 23 nařízení Evropského parlamentu a Rady (ES) č. 1924/2006 ze dne 20. prosince 2006 o výživových a zdravotních tvrzeních při označování potravin (Úř. věst. L 404);</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článek 11;</w:t>
      </w:r>
      <w:r>
        <w:t xml:space="preserve"> </w:t>
      </w:r>
      <w:r>
        <w:t xml:space="preserve">první a třetí odstavec výnosu, který se týká zákona o komoditách v oblasti potravin;</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tímto nařizuje následující:</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Článek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V tomto nařízení se použijí tyto pojmy a definice:</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w:t>
      </w:r>
      <w:r>
        <w:rPr>
          <w:color w:val="000000" w:themeColor="text1"/>
          <w:i/>
        </w:rPr>
        <w:t xml:space="preserve"> </w:t>
      </w:r>
      <w:r>
        <w:rPr>
          <w:color w:val="000000" w:themeColor="text1"/>
        </w:rPr>
        <w:t xml:space="preserve">Ochranná známka EU registrovaná u Úřadu Evropské unie pro duševní vlastnictví společností Santé publique France (l’agence nationale de santé publique);</w:t>
      </w:r>
      <w:r>
        <w:rPr>
          <w:color w:val="000000" w:themeColor="text1"/>
        </w:rPr>
        <w:br/>
      </w:r>
      <w:r>
        <w:rPr>
          <w:color w:val="000000" w:themeColor="text1"/>
          <w:i/>
        </w:rPr>
        <w:br/>
      </w:r>
      <w:r>
        <w:t xml:space="preserve">podmínky použití: pravidla pro používání označení Nutri-Score, zveřejněné na </w:t>
      </w:r>
      <w:r>
        <w:rPr>
          <w:b/>
        </w:rPr>
        <w:t xml:space="preserve">P.M</w:t>
      </w:r>
      <w:r>
        <w:t xml:space="preserve">, s názvem „Podmínky pro použití loga „Nutri-Score“, verze z 10. července 2020.</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Článek 2</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Logo „Nutri-Score“ a jeho podmínky použití se označují jako logo pro volbu potravin.</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Článek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Toto ujednání vstupuje v platnost dnem </w:t>
      </w:r>
      <w:r>
        <w:rPr>
          <w:b/>
        </w:rPr>
        <w:t xml:space="preserve">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Článek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Toto rozhodnutí se uvádí jako:</w:t>
      </w:r>
      <w:r>
        <w:rPr>
          <w:color w:val="000000" w:themeColor="text1"/>
        </w:rPr>
        <w:t xml:space="preserve"> </w:t>
      </w:r>
      <w:r>
        <w:rPr>
          <w:color w:val="000000" w:themeColor="text1"/>
        </w:rPr>
        <w:t xml:space="preserve">nařízení k zákonu o komoditách o označení loga pro volbu potravin.</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Toto nařízení a vysvětlivky se zveřejní ve Vládním věstníku.</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Ministryně zdravotnictví,</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VYSVĚTLUJÍCÍ POZNÁMKY</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Obecná ustanovení</w:t>
      </w:r>
    </w:p>
    <w:p w14:paraId="522F9288" w14:textId="42F9642B" w:rsidR="00CE650A" w:rsidRDefault="00D83FCC" w:rsidP="00D83FCC">
      <w:pPr>
        <w:pStyle w:val="NoSpacing"/>
        <w:spacing w:line="276" w:lineRule="auto"/>
        <w:rPr>
          <w:i/>
        </w:rPr>
      </w:pPr>
      <w:r>
        <w:rPr>
          <w:i/>
        </w:rPr>
        <w:br/>
      </w:r>
      <w:r>
        <w:rPr>
          <w:i/>
        </w:rPr>
        <w:t xml:space="preserve">Důvod</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Dne 23. listopadu 2018 byla přijata Národní dohoda o prevenci</w:t>
      </w:r>
      <w:r w:rsidR="00125CD6">
        <w:rPr>
          <w:rStyle w:val="FootnoteReference"/>
        </w:rPr>
        <w:footnoteReference w:id="1"/>
      </w:r>
      <w:r>
        <w:t xml:space="preserve">.</w:t>
      </w:r>
      <w:r>
        <w:t xml:space="preserve"> </w:t>
      </w:r>
      <w:r>
        <w:t xml:space="preserve">Ta zahrnuje dohody uzavřené vládou a více než 70 stranami o zavedení opatření pro boj proti nadváze, kouření a konzumaci alkoholu.</w:t>
      </w:r>
      <w:r>
        <w:t xml:space="preserve"> </w:t>
      </w:r>
      <w:r>
        <w:t xml:space="preserve">Mezi signatáře patří zastřešující organizace v oblasti péče, organizace pacientů, společnosti, obce a vzdělávací instituce.</w:t>
      </w:r>
      <w:r>
        <w:t xml:space="preserve"> </w:t>
      </w:r>
      <w:r>
        <w:t xml:space="preserve">Národní dohoda o prevenci zahrnuje řadu opatření v oblasti zdravé výživy.</w:t>
      </w:r>
      <w:r>
        <w:t xml:space="preserve"> </w:t>
      </w:r>
      <w:r>
        <w:t xml:space="preserve">Zdravá strava je důležitá pro každého, netýká se jen lidí s nadváhou.</w:t>
      </w:r>
      <w:r>
        <w:t xml:space="preserve"> </w:t>
      </w:r>
      <w:r>
        <w:t xml:space="preserve">S cílem usnadnit informovanost spotřebitelů o možnostech zdravější volby bylo v dohodě o národní prevenci přijato, že nizozemská vláda v roce 2020 zavede nové, široce využívané logo pro volbu potravin.</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Podmínkou bylo, aby výběr loga byl založen na řádném a nezávislém spotřebitelském výzkumu.</w:t>
      </w:r>
      <w:r>
        <w:t xml:space="preserve"> </w:t>
      </w:r>
      <w:r>
        <w:t xml:space="preserve">Bylo rovněž považováno za velmi důležité, aby zvolené logo bylo v souladu se způsobem, jakým se lidé rozhodují: hlavním hlediskem musí být chápání spotřebitelů.</w:t>
      </w:r>
      <w:r>
        <w:t xml:space="preserve"> </w:t>
      </w:r>
      <w:r>
        <w:t xml:space="preserve">V procesu výběru je třeba vzít v úvahu i Five Disk a v neposlední řadě evropský vývoj v oblasti log za účelem volby potravin.</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Průběh</w:t>
      </w:r>
      <w:r>
        <w:rPr>
          <w:i/>
        </w:rPr>
        <w:br/>
      </w:r>
    </w:p>
    <w:p w14:paraId="15D74CD7" w14:textId="77777777" w:rsidR="004F54A5" w:rsidRDefault="004F54A5" w:rsidP="008D3E19">
      <w:pPr>
        <w:pStyle w:val="NoSpacing"/>
        <w:spacing w:line="276" w:lineRule="auto"/>
      </w:pPr>
      <w:r>
        <w:t xml:space="preserve">Od listopadu 2018 začala práce na realizaci výše uvedené dohody obsažené v dohodě o národní prevenci.</w:t>
      </w:r>
    </w:p>
    <w:p w14:paraId="7FAB8B53" w14:textId="77777777" w:rsidR="001110B2" w:rsidRDefault="0029125D" w:rsidP="008D3E19">
      <w:pPr>
        <w:pStyle w:val="NoSpacing"/>
        <w:spacing w:line="276" w:lineRule="auto"/>
      </w:pPr>
      <w:r>
        <w:t xml:space="preserve">Při přípravě podmínek za účelem výběru loga pro volbu potravin byly konzultovány různé strany.</w:t>
      </w:r>
      <w:r>
        <w:t xml:space="preserve"> </w:t>
      </w:r>
      <w:r>
        <w:t xml:space="preserve">Na rozhodovacím procesu se podílelo sdružení spotřebitelů, sdružené zdravotní fondy (Hartstichting, Nierstichting, Diabetesfonds), organizace Centraal Bureau Levensmiddelenhandel (CBL), Federace nizozemského potravinářského průmyslu (FNLI), Koninklijke Horeca Nederland (KHN), Vereniging Nederlandse Cateraars (Veneca), středisko pro výživu (Nutrition Centre), Národní ústav pro veřejné zdraví a životní prostředí (RIVM) a Ministerstvo zemědělství.</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Nezávislý spotřebitelský výzkum</w:t>
      </w:r>
      <w:r w:rsidR="00A978BD">
        <w:rPr>
          <w:rStyle w:val="FootnoteReference"/>
        </w:rPr>
        <w:footnoteReference w:id="2"/>
      </w:r>
      <w:r>
        <w:t xml:space="preserve"> srovnával tři loga určená pro volbu potravin, která se v současnosti používají v evropských zemích.</w:t>
      </w:r>
      <w:r>
        <w:t xml:space="preserve"> </w:t>
      </w:r>
      <w:r>
        <w:t xml:space="preserve">Bylo zkoumáno, do jaké míry tato loga pomáhají spotřebitelům učinit zdravější volbu.</w:t>
      </w:r>
      <w:r>
        <w:t xml:space="preserve"> </w:t>
      </w:r>
      <w:r>
        <w:t xml:space="preserve">Spotřebitelský průzkum ukazuje, že prostřednictvím označení Nutri-Score mohou být spotřebitelé nejlépe vedeni ke zdravější volbě.</w:t>
      </w:r>
      <w:r>
        <w:t xml:space="preserve"> </w:t>
      </w:r>
      <w:r>
        <w:t xml:space="preserve">V prodejnách lze podobné výrobky snadno a rychle srovnat: spotřebitelé mohou na první pohled vidět, který výrobek je nejzdravější volbou.</w:t>
      </w:r>
      <w:r>
        <w:t xml:space="preserve"> </w:t>
      </w:r>
      <w:r>
        <w:t xml:space="preserve">Tím se proces provedení zdravější volby usnadňuje.</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Průzkum spotřebitelů však také ukazuje, že někteří respondenti nejsou nadále schopni učinit zdravější volbu v případě neshodných informací ze strany Five Disk a loga.</w:t>
      </w:r>
      <w:r>
        <w:t xml:space="preserve"> </w:t>
      </w:r>
      <w:r>
        <w:t xml:space="preserve">Národní ústav pro veřejné zdraví a životní prostředí (RIVM) a středisko pro výživu (Nutrition Centre) provedly studii týkající se Nutri-Score,&amp;LT</w:t>
      </w:r>
      <w:r w:rsidR="00A978BD">
        <w:rPr>
          <w:rStyle w:val="FootnoteReference"/>
        </w:rPr>
        <w:footnoteReference w:id="3"/>
      </w:r>
      <w:r>
        <w:t xml:space="preserve">;</w:t>
      </w:r>
      <w:r>
        <w:t xml:space="preserve"> </w:t>
      </w:r>
      <w:r>
        <w:t xml:space="preserve">v níž se dospělo k závěru, že u řady výrobků v různých kategoriích se výživová doporučení ze strany Nutri-Score a Disk of Five zcela neshodují.</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Na základě výsledků šetření a v koordinaci s výše uvedenými stranami se ministryně zdravotnictví, sociálních věcí a sportu rozhodla určit Nutri-Score jako logo pro volbu potravin.</w:t>
      </w:r>
      <w:r w:rsidR="00125CD6">
        <w:rPr>
          <w:rStyle w:val="FootnoteReference"/>
        </w:rPr>
        <w:footnoteReference w:id="4"/>
      </w:r>
      <w:r>
        <w:t xml:space="preserve">;</w:t>
      </w:r>
      <w:r>
        <w:t xml:space="preserve"> </w:t>
      </w:r>
      <w:r>
        <w:t xml:space="preserve">Základní kalkulaci ve vztahu Nutri-Score je však třeba upravit tak, aby mezi nizozemskými spotřebiteli logo mohlo působit co nejméně nejasností ohledně zdravější volby.</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Na začátku roku 2020 informoval státní tajemník francouzskou vládu o výběru označení Nutri-Score.</w:t>
      </w:r>
      <w:r>
        <w:t xml:space="preserve"> </w:t>
      </w:r>
      <w:r>
        <w:t xml:space="preserve">Nizozemsko se účastní mezinárodní konzultace, v jejímž rámci jsou uzavřeny dohody týkající se provedení a organizace.</w:t>
      </w:r>
      <w:r>
        <w:t xml:space="preserve"> </w:t>
      </w:r>
      <w:r>
        <w:t xml:space="preserve">Nezávislý vědecký výbor zkoumá kalkulaci ve vztahu k Nutri-Score a má za úkol zajistit, aby výživová kritéria Nutri-Score byla v souladu s výživovými pokyny zúčastněných zemí.</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Označení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 xml:space="preserve">Nutri-Score</w:t>
      </w:r>
      <w:r>
        <w:t xml:space="preserve"> je dobrovolné logo pro výběr potravin, které pomáhá spotřebitelům při nákupu v rámci skupiny výrobků činit zdravější rozhodnutí.</w:t>
      </w:r>
      <w:r>
        <w:t xml:space="preserve"> </w:t>
      </w:r>
      <w:r>
        <w:rPr>
          <w:i/>
        </w:rPr>
        <w:t xml:space="preserve">Nutri-Score</w:t>
      </w:r>
      <w:r>
        <w:t xml:space="preserve"> se stanoví přidělením bodů pro množství bílkovin, vlákniny, ovoce, zeleniny, luštěnin a ořechů obsažených v potravinách.</w:t>
      </w:r>
      <w:r>
        <w:t xml:space="preserve"> </w:t>
      </w:r>
      <w:r>
        <w:t xml:space="preserve">Z tohoto skóre se odečtou body za energetický obsah (kilokalorie), množství cukrů, nasycených tuků a soli.</w:t>
      </w:r>
      <w:r>
        <w:t xml:space="preserve"> </w:t>
      </w:r>
      <w:r>
        <w:t xml:space="preserve">Na základě dosaženého celkového výsledku obdrží výrobek označení písmeny A, B, C, D nebo E. Tmavě zelené písmeno A představuje zdravější složení.</w:t>
      </w:r>
      <w:r>
        <w:t xml:space="preserve"> </w:t>
      </w:r>
      <w:r>
        <w:t xml:space="preserve">Produkty s méně zdravým složením mají tmavě oranžové písmeno E. Pokud potravinářské podniky použijí označení </w:t>
      </w:r>
      <w:r>
        <w:rPr>
          <w:i/>
        </w:rPr>
        <w:t xml:space="preserve">Nutri-Score</w:t>
      </w:r>
      <w:r>
        <w:t xml:space="preserve">, musí splňovat podmínky použití a umístit logo na přední stranu svého potravinářského výrobku.</w:t>
      </w:r>
      <w:r>
        <w:t xml:space="preserve"> </w:t>
      </w:r>
      <w:r>
        <w:t xml:space="preserve">To spotřebitelům umožňuje na první pohled vidět, který výrobek je zdravější volbou.</w:t>
      </w:r>
      <w:r>
        <w:br/>
      </w:r>
    </w:p>
    <w:p w14:paraId="023F652F" w14:textId="3742B79E" w:rsidR="00DC7A50" w:rsidRDefault="00D83FCC" w:rsidP="008D3E19">
      <w:pPr>
        <w:pStyle w:val="NoSpacing"/>
        <w:spacing w:line="276" w:lineRule="auto"/>
      </w:pPr>
      <w:r>
        <w:rPr>
          <w:color w:val="333333"/>
        </w:rPr>
        <w:t xml:space="preserve">V tomto systému se logo </w:t>
      </w:r>
      <w:r>
        <w:rPr>
          <w:color w:val="333333"/>
          <w:i/>
        </w:rPr>
        <w:t xml:space="preserve">Nutri-Score</w:t>
      </w:r>
      <w:r>
        <w:rPr>
          <w:color w:val="333333"/>
        </w:rPr>
        <w:t xml:space="preserve"> určuje jako logo pro volbu potravin.</w:t>
      </w:r>
      <w:r>
        <w:rPr>
          <w:color w:val="333333"/>
        </w:rPr>
        <w:t xml:space="preserve"> </w:t>
      </w:r>
      <w:r>
        <w:rPr>
          <w:color w:val="000000" w:themeColor="text1"/>
        </w:rPr>
        <w:t xml:space="preserve">Podmínky používání se zveřejňují na internetových stránkách přístupných podnikatelům a široké veřejnosti.</w:t>
      </w:r>
      <w:r>
        <w:rPr>
          <w:color w:val="333333"/>
        </w:rPr>
        <w:t xml:space="preserve"> </w:t>
      </w:r>
      <w:r>
        <w:rPr>
          <w:color w:val="333333"/>
        </w:rPr>
        <w:t xml:space="preserve">Podmínky používání uvádějí, že při použití loga Nutri-Score musí být dodrženy požadavky grafické specifikace.</w:t>
      </w:r>
      <w:r>
        <w:rPr>
          <w:color w:val="333333"/>
        </w:rPr>
        <w:t xml:space="preserve"> </w:t>
      </w:r>
      <w:r>
        <w:rPr>
          <w:color w:val="333333"/>
        </w:rPr>
        <w:t xml:space="preserve">Grafická specifikace ukládá požadavky na rozměry loga, použití barvy a umístění loga na obalu a prostředky komunikace.</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Vzhledem k tomu, že logo není povinné, mohou potravinářské podniky zvážit použití označení </w:t>
      </w:r>
      <w:r>
        <w:rPr>
          <w:i/>
        </w:rPr>
        <w:t xml:space="preserve">Nutri-Score</w:t>
      </w:r>
      <w:r>
        <w:t xml:space="preserve"> jako loga pro volbu potravin.</w:t>
      </w:r>
      <w:r>
        <w:t xml:space="preserve"> </w:t>
      </w:r>
      <w:r>
        <w:t xml:space="preserve">Pokud se potravinářský podnik rozhodne tak učinit, musí splňovat požadavky stanovené v podmínkách použití.</w:t>
      </w:r>
      <w:r>
        <w:t xml:space="preserve"> </w:t>
      </w:r>
      <w:r>
        <w:rPr>
          <w:rStyle w:val="Marker"/>
          <w:color w:val="000000" w:themeColor="text1"/>
        </w:rPr>
        <w:t xml:space="preserve">Nutri-Score je ochranná známka EU registrovaná majitelem, jímž je společnost Santé publique France (l’agence nationale de santé publique), u Úřadu Evropské unie pro duševní vlastnictví (EUIPO).</w:t>
      </w:r>
      <w:r>
        <w:rPr>
          <w:rStyle w:val="Marker"/>
          <w:color w:val="000000" w:themeColor="text1"/>
        </w:rPr>
        <w:t xml:space="preserve"> </w:t>
      </w:r>
      <w:r>
        <w:rPr>
          <w:rStyle w:val="Marker"/>
          <w:color w:val="000000" w:themeColor="text1"/>
        </w:rPr>
        <w:t xml:space="preserve">Při použití loga Nutri-Score by se měly dodržovat nejen podmínky užívání ochranné známky stanovené majitelem, ale také zohlednit </w:t>
      </w:r>
      <w:r>
        <w:t xml:space="preserve">obecná pravidla ochrany ochranných známek, která je třeba dodržovat v oblasti práva ochranných známek, práva spravedlivého obchodu a trestního práva.</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Vnitrostátní právní rámec</w:t>
      </w:r>
    </w:p>
    <w:p w14:paraId="57E6E4A9" w14:textId="230342F8" w:rsidR="00D8085E" w:rsidRPr="00A92440" w:rsidRDefault="004336A6" w:rsidP="008D3E19">
      <w:pPr>
        <w:pStyle w:val="NoSpacing"/>
        <w:spacing w:line="276" w:lineRule="auto"/>
      </w:pPr>
      <w:r>
        <w:rPr>
          <w:i/>
        </w:rPr>
        <w:br/>
      </w:r>
      <w:r>
        <w:rPr>
          <w:color w:val="000000" w:themeColor="text1"/>
        </w:rPr>
        <w:t xml:space="preserve">Článek 1 výnosu k zákonu o potravinářských komoditách definuje logo pro volbu potravin jako logo, které spotřebitelům usnadňuje výběr potravin, které jsou zdravější ve srovnání s podobnými potravinami v určité kategorii výrobků.</w:t>
      </w:r>
      <w:r>
        <w:rPr>
          <w:color w:val="000000" w:themeColor="text1"/>
        </w:rPr>
        <w:t xml:space="preserve"> </w:t>
      </w:r>
      <w:r>
        <w:rPr>
          <w:color w:val="000000" w:themeColor="text1"/>
        </w:rPr>
        <w:t xml:space="preserve">Podle článku 11 výnosu k zákonu o potravinářských komoditách může být při uvádění potraviny na trh použito logo pro volbu potravin, pokud jsou splněny podmínky stanovené v uvedeném článku.</w:t>
      </w:r>
      <w:r>
        <w:rPr>
          <w:color w:val="000000" w:themeColor="text1"/>
        </w:rPr>
        <w:t xml:space="preserve"> </w:t>
      </w:r>
      <w:r>
        <w:t xml:space="preserve">V roce 2021 se počítá s novelou výnosu k zákonu o potravinách v oblasti informací, který již nevyžaduje, aby odvětví požádalo o schválení loga pro volbu potravin.</w:t>
      </w:r>
      <w:r>
        <w:rPr>
          <w:color w:val="333333"/>
        </w:rPr>
        <w:t xml:space="preserve"> </w:t>
      </w:r>
      <w:r>
        <w:t xml:space="preserve">V době vypracování oznámení s touto vysvětlující poznámkou nebyla v </w:t>
      </w:r>
      <w:r>
        <w:rPr>
          <w:color w:val="333333"/>
        </w:rPr>
        <w:t xml:space="preserve">Úředním věstníku dosud zveřejněna změna výnosu </w:t>
      </w:r>
      <w:r>
        <w:t xml:space="preserve">k zákonu o komoditách v oblasti potravin.</w:t>
      </w:r>
      <w:r>
        <w:t xml:space="preserve"> </w:t>
      </w:r>
      <w:r>
        <w:t xml:space="preserve">Ze zásady vzájemného uznávání vyplývá, že členský stát EU nesmí zakázat prodej zboží, které bylo zákonně uvedeno na trh v jiném členském státě EU, na svém vlastním území z důvodů, že toto zboží nesplňuje jeho vlastní vnitrostátní předpisy.</w:t>
      </w:r>
      <w:r>
        <w:t xml:space="preserve"> </w:t>
      </w:r>
      <w:r>
        <w:t xml:space="preserve">Je však důležité, aby zboží z jiného evropského členského státu poskytovalo alespoň rovnocennou úroveň ochrany.</w:t>
      </w:r>
      <w:r>
        <w:t xml:space="preserve"> </w:t>
      </w:r>
      <w:r>
        <w:t xml:space="preserve">Tato doložka o vzájemném uznávání je obsažena v článku 13d zákona o komoditách. Uvádění zboží pocházejícího z jiných evropských členských států na trh není zakázáno na základě požadavků stanovených v tomto systému.</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Dopad na regulační zátěž</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Poradní výbor pro regulační zátěž (ATR) nevybral toto oznámení, aby k němu vydal formální stanovisko, neboť nemá žádný dopad na regulační zátěž občanů a podniků.</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Poradní skupina pro řádné provádění zákona o komoditách</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Tento návrh nařízení byl předložen účastníkům pravidelné poradní skupiny k zákonu o komoditách [ROW]</w:t>
      </w:r>
      <w:r w:rsidRPr="00B658D6">
        <w:rPr>
          <w:bCs/>
          <w:vertAlign w:val="superscript"/>
        </w:rPr>
        <w:footnoteReference w:id="5"/>
      </w:r>
      <w:r>
        <w:t xml:space="preserve">.</w:t>
      </w:r>
      <w:r>
        <w:t xml:space="preserve"> </w:t>
      </w:r>
      <w:r>
        <w:rPr>
          <w:b/>
        </w:rPr>
        <w:t xml:space="preserve">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Vymahatelnost a proveditelnost</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Návrh tohoto systému byl posouzen NVWA z hlediska vymahatelnosti, vymahatelnosti a ochrany proti podvodům.</w:t>
      </w:r>
      <w:r>
        <w:rPr>
          <w:color w:val="333333"/>
          <w:b/>
        </w:rPr>
        <w:t xml:space="preserve"> </w:t>
      </w:r>
      <w:r>
        <w:rPr>
          <w:color w:val="333333"/>
          <w:b/>
        </w:rPr>
        <w:t xml:space="preserve">P.M.</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Oznámení</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Nařízení Evropského parlamentu a Rady (ES) č. 1924/2006 ze dne 20. prosince 2006 o výživových a zdravotních tvrzeních při označování potravin (Úř. věst. 2006, L 404) (dále jen nařízení o tvrzení) stanovilo obecné zásady pro všechna tvrzení týkající se potravin.</w:t>
      </w:r>
      <w:r>
        <w:rPr>
          <w:color w:val="333333"/>
        </w:rPr>
        <w:t xml:space="preserve"> </w:t>
      </w:r>
      <w:r>
        <w:rPr>
          <w:color w:val="333333"/>
        </w:rPr>
        <w:t xml:space="preserve">Logo pro volbu potravin </w:t>
      </w:r>
      <w:r>
        <w:rPr>
          <w:color w:val="333333"/>
          <w:i/>
        </w:rPr>
        <w:t xml:space="preserve">Nutri-Score</w:t>
      </w:r>
      <w:r>
        <w:rPr>
          <w:color w:val="333333"/>
        </w:rPr>
        <w:t xml:space="preserve"> se považuje za výživové tvrzení podle čl. 2 odst. 2 bodu 4 tohoto nařízení.</w:t>
      </w:r>
      <w:r>
        <w:rPr>
          <w:color w:val="333333"/>
        </w:rPr>
        <w:t xml:space="preserve"> </w:t>
      </w:r>
      <w:r>
        <w:rPr>
          <w:color w:val="333333"/>
        </w:rPr>
        <w:t xml:space="preserve">Ustanovení čl. 8 odst. 1 nařízení o tvrzeních povoluje pouze výživová tvrzení uvedená v příloze k tomuto nařízení.</w:t>
      </w:r>
      <w:r>
        <w:rPr>
          <w:color w:val="333333"/>
        </w:rPr>
        <w:t xml:space="preserve"> </w:t>
      </w:r>
      <w:r>
        <w:rPr>
          <w:color w:val="333333"/>
        </w:rPr>
        <w:t xml:space="preserve">Tato výživová tvrzení se vždy vztahují pouze na energetické množství potraviny nebo na množství jedné látky nebo živiny.</w:t>
      </w:r>
      <w:r>
        <w:rPr>
          <w:color w:val="333333"/>
        </w:rPr>
        <w:t xml:space="preserve"> </w:t>
      </w:r>
      <w:r>
        <w:rPr>
          <w:color w:val="333333"/>
        </w:rPr>
        <w:t xml:space="preserve">Logo pro volbu potravin </w:t>
      </w:r>
      <w:r>
        <w:rPr>
          <w:color w:val="333333"/>
          <w:i/>
        </w:rPr>
        <w:t xml:space="preserve">Nutri-Score</w:t>
      </w:r>
      <w:r>
        <w:rPr>
          <w:color w:val="333333"/>
        </w:rPr>
        <w:t xml:space="preserve"> není vhodné za tímto účelem doplnit do této přílohy: při kalkulaci na základě </w:t>
      </w:r>
      <w:r>
        <w:rPr>
          <w:color w:val="333333"/>
          <w:i/>
        </w:rPr>
        <w:t xml:space="preserve">Nutri-Score</w:t>
      </w:r>
      <w:r>
        <w:rPr>
          <w:color w:val="333333"/>
        </w:rPr>
        <w:t xml:space="preserve"> se bere v úvahu celé složení potraviny.</w:t>
      </w:r>
      <w:r>
        <w:rPr>
          <w:color w:val="333333"/>
        </w:rPr>
        <w:t xml:space="preserve"> </w:t>
      </w:r>
      <w:r>
        <w:rPr>
          <w:color w:val="333333"/>
        </w:rPr>
        <w:t xml:space="preserve">Článek 23 nařízení o tvrzeních vyžaduje, aby členský stát oznámil použití tvrzení na svém území, pokud tato tvrzení nejsou v souladu s nařízením o tvrzeních.</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V zájmu ochrany řádných informací pro spotřebitele by měl článek 36 nařízení Evropského parlamentu a Rady (EU) č. 1169/2011 ze dne 25. října 2011 o poskytování informací o potravinách spotřebitelům</w:t>
      </w:r>
      <w:r>
        <w:rPr>
          <w:rStyle w:val="FootnoteReference"/>
          <w:rFonts w:eastAsia="Times New Roman" w:cs="Arial"/>
          <w:color w:val="333333"/>
        </w:rPr>
        <w:footnoteReference w:id="6"/>
      </w:r>
      <w:r>
        <w:rPr>
          <w:color w:val="333333"/>
        </w:rPr>
        <w:t xml:space="preserve"> dobrovolné informace o potravinách splňovat řadu požadavků.</w:t>
      </w:r>
      <w:r>
        <w:rPr>
          <w:color w:val="333333"/>
        </w:rPr>
        <w:t xml:space="preserve"> </w:t>
      </w:r>
      <w:r>
        <w:rPr>
          <w:color w:val="333333"/>
        </w:rPr>
        <w:t xml:space="preserve">Komise byla rovněž v této souvislosti informována o znění v rámci tohoto systému.</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Návrh týkající se systému byl oznámen Evropské komisi dne..., s cílem vyhovět </w:t>
      </w:r>
      <w:r>
        <w:rPr>
          <w:b/>
        </w:rPr>
        <w:t xml:space="preserve">P.M.</w:t>
      </w:r>
      <w:r>
        <w:t xml:space="preserve"> Po oznámení </w:t>
      </w:r>
      <w:r>
        <w:rPr>
          <w:b/>
        </w:rPr>
        <w:t xml:space="preserve">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Příloha parlamentárních dokumentů II, 2018/19, 32793, č.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Podnět, „</w:t>
      </w:r>
      <w:r>
        <w:rPr>
          <w:sz w:val="16"/>
          <w:i/>
          <w:rFonts w:ascii="Verdana" w:hAnsi="Verdana"/>
        </w:rPr>
        <w:t xml:space="preserve">Účinnost figurativních značek tří log při výběru potravin</w:t>
      </w:r>
      <w:r>
        <w:rPr>
          <w:sz w:val="16"/>
          <w:rFonts w:ascii="Verdana" w:hAnsi="Verdana"/>
        </w:rPr>
        <w:t xml:space="preserve">", 30. října 2019, naleznete na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Národní ústav pro veřejné zdraví a životní prostředí (RIVM) a středisko pro výživu (Nutrition Centre), „</w:t>
      </w:r>
      <w:r>
        <w:rPr>
          <w:sz w:val="16"/>
          <w:i/>
          <w:rFonts w:ascii="Verdana" w:hAnsi="Verdana"/>
        </w:rPr>
        <w:t xml:space="preserve">Desk Study Food Choice Logos under the spointlight</w:t>
      </w:r>
      <w:r>
        <w:rPr>
          <w:sz w:val="16"/>
          <w:rFonts w:ascii="Verdana" w:hAnsi="Verdana"/>
        </w:rPr>
        <w:t xml:space="preserve">", 28. listopadu 2019.</w:t>
      </w:r>
      <w:r>
        <w:rPr>
          <w:sz w:val="16"/>
          <w:rFonts w:ascii="Verdana" w:hAnsi="Verdana"/>
        </w:rPr>
        <w:t xml:space="preserve"> </w:t>
      </w:r>
      <w:r>
        <w:t xml:space="preserve">Naleznete na</w:t>
      </w:r>
      <w:r>
        <w:rPr>
          <w:sz w:val="16"/>
          <w:rFonts w:ascii="Verdana" w:hAnsi="Verdana"/>
        </w:rPr>
        <w:t xml:space="preserve"> </w:t>
      </w:r>
      <w:hyperlink r:id="rId2"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t xml:space="preserve"> </w:t>
      </w:r>
      <w:r>
        <w:rPr>
          <w:sz w:val="16"/>
          <w:rFonts w:ascii="Verdana" w:hAnsi="Verdana"/>
        </w:rPr>
        <w:t xml:space="preserve">Parlamentní dokumenty II 2019/20, 32793, č.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Poradní skupina ROW je složena ze zástupců podniků (průmyslových a obchodních), spotřebitelů, ministerstev (konkrétně ministerstva pro veřejné zdraví, sociální péči a sport a ministerstva pro zemědělství, přírodu a kvalitu potravin) a Nizozemského úřadu pro bezpečnost potravin a spotřebního zboží [NVWA].</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Plný název </w:t>
      </w:r>
      <w:r>
        <w:rPr>
          <w:sz w:val="16"/>
          <w:color w:val="333333"/>
          <w:rFonts w:ascii="Verdana" w:hAnsi="Verdana"/>
        </w:rPr>
        <w:t xml:space="preserve">nařízení Evropského parlamentu a Rady (EU) č. 1169/2011 ze dne 25. října 2011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 (Úř. věst.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Strana </w:t>
                          </w:r>
                          <w:r>
                            <w:fldChar w:fldCharType="begin"/>
                          </w:r>
                          <w:r>
                            <w:instrText>PAGE</w:instrText>
                          </w:r>
                          <w:r>
                            <w:fldChar w:fldCharType="separate"/>
                          </w:r>
                          <w:r w:rsidR="002A4E62">
                            <w:t>4</w:t>
                          </w:r>
                          <w:r>
                            <w:fldChar w:fldCharType="end"/>
                          </w:r>
                          <w:r>
                            <w:t xml:space="preserve"> z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Strana </w:t>
                    </w:r>
                    <w:r>
                      <w:fldChar w:fldCharType="begin"/>
                    </w:r>
                    <w:r>
                      <w:instrText>PAGE</w:instrText>
                    </w:r>
                    <w:r>
                      <w:fldChar w:fldCharType="separate"/>
                    </w:r>
                    <w:r w:rsidR="002A4E62">
                      <w:t>4</w:t>
                    </w:r>
                    <w:r>
                      <w:fldChar w:fldCharType="end"/>
                    </w:r>
                    <w:r>
                      <w:t xml:space="preserve"> z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Ministerstvo zdravotnictví, sociální péče a sportu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Ministerstvo zdravotnictví, sociální péče a sportu</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Nařízení ministryně zdravotnictví – VGP,</w:t>
                          </w:r>
                        </w:p>
                        <w:p w14:paraId="6DDC92F8" w14:textId="77777777" w:rsidR="001D3DA3" w:rsidRDefault="00AD598F">
                          <w:r>
                            <w:t xml:space="preserve">označení Nutri-Score jako loga pro výběr potravin a jeho podmínek použití (nařízení o označení loga pro volbu potravin)</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Nařízení ministryně zdravotnictví – VGP,</w:t>
                    </w:r>
                  </w:p>
                  <w:p w14:paraId="6DDC92F8" w14:textId="77777777" w:rsidR="001D3DA3" w:rsidRDefault="00AD598F">
                    <w:r>
                      <w:t xml:space="preserve">označení Nutri-Score jako loga pro výběr potravin a jeho podmínek použití (nařízení o označení loga pro volbu potravin)</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Strana </w:t>
                          </w:r>
                          <w:r>
                            <w:fldChar w:fldCharType="begin"/>
                          </w:r>
                          <w:r>
                            <w:instrText>PAGE</w:instrText>
                          </w:r>
                          <w:r>
                            <w:fldChar w:fldCharType="separate"/>
                          </w:r>
                          <w:r w:rsidR="002A4E62">
                            <w:t>1</w:t>
                          </w:r>
                          <w:r>
                            <w:fldChar w:fldCharType="end"/>
                          </w:r>
                          <w:r>
                            <w:t xml:space="preserve"> z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Strana </w:t>
                    </w:r>
                    <w:r>
                      <w:fldChar w:fldCharType="begin"/>
                    </w:r>
                    <w:r>
                      <w:instrText>PAGE</w:instrText>
                    </w:r>
                    <w:r>
                      <w:fldChar w:fldCharType="separate"/>
                    </w:r>
                    <w:r w:rsidR="002A4E62">
                      <w:t>1</w:t>
                    </w:r>
                    <w:r>
                      <w:fldChar w:fldCharType="end"/>
                    </w:r>
                    <w:r>
                      <w:t xml:space="preserve"> z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cs-CZ"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