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D499" w14:textId="77777777" w:rsidR="001D3DA3" w:rsidRDefault="00AD598F" w:rsidP="008D3E19">
      <w:pPr>
        <w:pStyle w:val="NoSpacing"/>
        <w:spacing w:line="276" w:lineRule="auto"/>
      </w:pPr>
      <w:r>
        <w:t>Az egészségügyi ellátásért felelős miniszter,</w:t>
      </w:r>
    </w:p>
    <w:p w14:paraId="4277AAE7" w14:textId="0746FA92" w:rsidR="001D3DA3" w:rsidRDefault="00AD598F" w:rsidP="008D3E19">
      <w:pPr>
        <w:pStyle w:val="NoSpacing"/>
        <w:spacing w:line="276" w:lineRule="auto"/>
        <w:rPr>
          <w:color w:val="000000" w:themeColor="text1"/>
        </w:rPr>
      </w:pPr>
      <w:r>
        <w:t xml:space="preserve"> </w:t>
      </w:r>
      <w:r>
        <w:br/>
        <w:t xml:space="preserve">tekintettel az alábbiakra: </w:t>
      </w:r>
      <w:r>
        <w:br/>
      </w:r>
    </w:p>
    <w:p w14:paraId="5EC1E4DA" w14:textId="7777777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>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 1169/2011/EU európai parlamenti és tanácsi rendelet (HL 2011., L 304.) 36. és 38. cikke;</w:t>
      </w:r>
    </w:p>
    <w:p w14:paraId="4F7579B4" w14:textId="00829AA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>az élelmiszerekkel kapcsolatos, tápanyag-összetételre és egészségre vonatkozó állításokról szóló, 2006. december 20-i 1924/2006/EK európai parlamenti és tanácsi rendelet (HL 2006. L 404.) 8. és 23. cikke;</w:t>
      </w:r>
    </w:p>
    <w:p w14:paraId="2D73B211" w14:textId="2E98BB2D" w:rsidR="00BD77BD" w:rsidRPr="00BD77BD" w:rsidRDefault="00BD77BD" w:rsidP="00BD77BD">
      <w:pPr>
        <w:pStyle w:val="NoSpacing"/>
        <w:numPr>
          <w:ilvl w:val="0"/>
          <w:numId w:val="26"/>
        </w:numPr>
        <w:spacing w:line="276" w:lineRule="auto"/>
        <w:rPr>
          <w:color w:val="000000" w:themeColor="text1"/>
        </w:rPr>
      </w:pPr>
      <w:r>
        <w:t>az élelmiszerekkel kapcsolatos tájékoztatásról szóló rendelet 11. cikkének első és harmadik bekezdése;</w:t>
      </w:r>
    </w:p>
    <w:p w14:paraId="4A14CCD7" w14:textId="77777777" w:rsidR="00BD77BD" w:rsidRDefault="00BD77BD" w:rsidP="008D3E19">
      <w:pPr>
        <w:pStyle w:val="NoSpacing"/>
        <w:spacing w:line="276" w:lineRule="auto"/>
      </w:pPr>
    </w:p>
    <w:p w14:paraId="03E4380A" w14:textId="77777777" w:rsidR="001D3DA3" w:rsidRDefault="00AD598F" w:rsidP="008D3E19">
      <w:pPr>
        <w:pStyle w:val="NoSpacing"/>
        <w:spacing w:line="276" w:lineRule="auto"/>
      </w:pPr>
      <w:r>
        <w:t> </w:t>
      </w:r>
    </w:p>
    <w:p w14:paraId="65467C1F" w14:textId="77777777" w:rsidR="001D3DA3" w:rsidRDefault="00AD598F" w:rsidP="008D3E19">
      <w:pPr>
        <w:pStyle w:val="NoSpacing"/>
        <w:spacing w:line="276" w:lineRule="auto"/>
      </w:pPr>
      <w:r>
        <w:t>a következőket rendeli el:</w:t>
      </w:r>
    </w:p>
    <w:p w14:paraId="5C149CB5" w14:textId="77777777" w:rsidR="001D3DA3" w:rsidRDefault="00AD598F" w:rsidP="008D3E19">
      <w:pPr>
        <w:pStyle w:val="NoSpacing"/>
        <w:spacing w:line="276" w:lineRule="auto"/>
      </w:pPr>
      <w:r>
        <w:t> </w:t>
      </w:r>
    </w:p>
    <w:p w14:paraId="1DCCB7BA" w14:textId="77777777" w:rsidR="00EE25A3" w:rsidRDefault="00CB0E9D" w:rsidP="008D3E19">
      <w:pPr>
        <w:pStyle w:val="NoSpacing"/>
        <w:spacing w:line="276" w:lineRule="auto"/>
        <w:rPr>
          <w:color w:val="000000" w:themeColor="text1"/>
        </w:rPr>
      </w:pPr>
      <w:r>
        <w:rPr>
          <w:b/>
        </w:rPr>
        <w:t>1. cikk</w:t>
      </w:r>
    </w:p>
    <w:p w14:paraId="51B12A98" w14:textId="77777777" w:rsidR="00EE25A3" w:rsidRDefault="00EE25A3" w:rsidP="008D3E19">
      <w:pPr>
        <w:pStyle w:val="NoSpacing"/>
        <w:spacing w:line="276" w:lineRule="auto"/>
        <w:rPr>
          <w:color w:val="000000" w:themeColor="text1"/>
        </w:rPr>
      </w:pPr>
    </w:p>
    <w:p w14:paraId="14BBE2C3" w14:textId="77777777" w:rsidR="00CB0E9D" w:rsidRPr="00EE25A3" w:rsidRDefault="00CB0E9D" w:rsidP="008D3E19">
      <w:pPr>
        <w:pStyle w:val="NoSpacing"/>
        <w:spacing w:line="276" w:lineRule="auto"/>
      </w:pPr>
      <w:r>
        <w:rPr>
          <w:color w:val="000000" w:themeColor="text1"/>
        </w:rPr>
        <w:t>A rendeletben a következő fogalmakat és fogalommeghatározásokat kell alkalmazni:</w:t>
      </w:r>
    </w:p>
    <w:p w14:paraId="5CF05977" w14:textId="38C5D6EC" w:rsidR="00EE25A3" w:rsidRDefault="004126C3" w:rsidP="00D83FCC">
      <w:pPr>
        <w:pStyle w:val="NoSpacing"/>
        <w:spacing w:line="276" w:lineRule="auto"/>
        <w:rPr>
          <w:color w:val="000000" w:themeColor="text1"/>
        </w:rPr>
      </w:pPr>
      <w:r>
        <w:rPr>
          <w:i/>
          <w:color w:val="000000" w:themeColor="text1"/>
        </w:rPr>
        <w:br/>
        <w:t xml:space="preserve">Nutri-Score: </w:t>
      </w:r>
      <w:r>
        <w:rPr>
          <w:color w:val="000000" w:themeColor="text1"/>
        </w:rPr>
        <w:t xml:space="preserve">az Európai Unió Szellemi Tulajdoni Hivatalánál a Santé publique France (l’agence nationale de santé publique, Nemzeti Közegészségügyi Hivatal) által bejegyzett uniós védjegy; </w:t>
      </w:r>
      <w:r>
        <w:rPr>
          <w:i/>
          <w:color w:val="000000" w:themeColor="text1"/>
        </w:rPr>
        <w:br/>
      </w:r>
      <w:r>
        <w:t>felhasználási feltételek: a Nutri-Score használatára vonatkozó szabályok, közzétéve:</w:t>
      </w:r>
      <w:r>
        <w:rPr>
          <w:b/>
          <w:bCs/>
        </w:rPr>
        <w:t xml:space="preserve"> .</w:t>
      </w:r>
      <w:r>
        <w:rPr>
          <w:b/>
        </w:rPr>
        <w:t>..-án/-én</w:t>
      </w:r>
      <w:r>
        <w:t>, „A Nutri-Score logó használatának feltételei, 2020. július 10-i változat”.</w:t>
      </w:r>
    </w:p>
    <w:p w14:paraId="5A2C51D8" w14:textId="77777777" w:rsidR="008E3830" w:rsidRPr="00F00BDC" w:rsidRDefault="008E3830" w:rsidP="008D3E19">
      <w:pPr>
        <w:pStyle w:val="NoSpacing"/>
        <w:spacing w:line="276" w:lineRule="auto"/>
        <w:rPr>
          <w:color w:val="000000" w:themeColor="text1"/>
        </w:rPr>
      </w:pPr>
    </w:p>
    <w:p w14:paraId="59206417" w14:textId="77777777" w:rsidR="00CB0E9D" w:rsidRPr="00F00BDC" w:rsidRDefault="00CB0E9D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>2. cikk</w:t>
      </w:r>
    </w:p>
    <w:p w14:paraId="3122E91A" w14:textId="48F9899F" w:rsidR="00EE25A3" w:rsidRDefault="00A17BBC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br/>
        <w:t xml:space="preserve">A „Nutri-Score” logót a tudatos élelmiszerválasztást támogató logóként kell </w:t>
      </w:r>
      <w:r>
        <w:rPr>
          <w:color w:val="000000" w:themeColor="text1"/>
        </w:rPr>
        <w:lastRenderedPageBreak/>
        <w:t>kijelölni, és meg kell határozni a használati feltételeit.</w:t>
      </w:r>
      <w:r>
        <w:rPr>
          <w:color w:val="000000" w:themeColor="text1"/>
        </w:rPr>
        <w:br/>
      </w:r>
    </w:p>
    <w:p w14:paraId="235544F7" w14:textId="77777777" w:rsidR="0040278F" w:rsidRPr="003B06DE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19438C41" w14:textId="77777777" w:rsidR="00CB0E9D" w:rsidRPr="003B06DE" w:rsidRDefault="00087490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b/>
          <w:color w:val="000000" w:themeColor="text1"/>
        </w:rPr>
        <w:t>3. cikk</w:t>
      </w:r>
    </w:p>
    <w:p w14:paraId="4F6848E4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EC14444" w14:textId="00E19AD1" w:rsidR="008D3E19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t xml:space="preserve">Ez a rendelet </w:t>
      </w:r>
      <w:r>
        <w:rPr>
          <w:b/>
        </w:rPr>
        <w:t>...-tól/-től</w:t>
      </w:r>
      <w:r>
        <w:t xml:space="preserve"> lép hatályba.</w:t>
      </w:r>
    </w:p>
    <w:p w14:paraId="0764E50F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4B429C5" w14:textId="77777777" w:rsidR="0040278F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EB342AE" w14:textId="77777777" w:rsidR="008D3E19" w:rsidRPr="00EE25A3" w:rsidRDefault="008D3E19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>4. cikk</w:t>
      </w:r>
    </w:p>
    <w:p w14:paraId="4E11FE6D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235A870C" w14:textId="77777777" w:rsidR="00CB0E9D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>A rendeletre a következőképpen kell hivatkozni: Az árucikkekről szóló törvényhez kapcsolódó rendelet a tudatos élelmiszerválasztást támogató logó kijelöléséről.</w:t>
      </w:r>
    </w:p>
    <w:p w14:paraId="62FB9CF7" w14:textId="77777777" w:rsidR="00A86455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9C1A61D" w14:textId="77777777" w:rsidR="00CB0E9D" w:rsidRPr="003B06DE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>A rendeletet és az indoklást a Kormányzati Közlönyben teszik közzé.</w:t>
      </w:r>
    </w:p>
    <w:p w14:paraId="450EA670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5E13F2D9" w14:textId="77777777" w:rsidR="00CB0E9D" w:rsidRDefault="00CB0E9D" w:rsidP="008D3E19">
      <w:pPr>
        <w:pStyle w:val="NoSpacing"/>
        <w:spacing w:line="276" w:lineRule="auto"/>
      </w:pPr>
    </w:p>
    <w:p w14:paraId="3E5858B5" w14:textId="77777777" w:rsidR="0040278F" w:rsidRDefault="0040278F" w:rsidP="008D3E19">
      <w:pPr>
        <w:pStyle w:val="NoSpacing"/>
        <w:spacing w:line="276" w:lineRule="auto"/>
      </w:pPr>
    </w:p>
    <w:p w14:paraId="5E4FE47B" w14:textId="77777777" w:rsidR="001D3DA3" w:rsidRDefault="00972418" w:rsidP="008D3E19">
      <w:pPr>
        <w:pStyle w:val="NoSpacing"/>
        <w:spacing w:line="276" w:lineRule="auto"/>
      </w:pPr>
      <w:r>
        <w:t>Az egészségügyi ellátásért felelős miniszter,</w:t>
      </w:r>
    </w:p>
    <w:p w14:paraId="39FD1C86" w14:textId="77777777" w:rsidR="001D3DA3" w:rsidRDefault="001D3DA3" w:rsidP="008D3E19">
      <w:pPr>
        <w:pStyle w:val="NoSpacing"/>
        <w:spacing w:line="276" w:lineRule="auto"/>
      </w:pPr>
    </w:p>
    <w:p w14:paraId="3E3C125A" w14:textId="77777777" w:rsidR="001D3DA3" w:rsidRDefault="001D3DA3" w:rsidP="008D3E19">
      <w:pPr>
        <w:pStyle w:val="NoSpacing"/>
        <w:spacing w:line="276" w:lineRule="auto"/>
      </w:pPr>
    </w:p>
    <w:p w14:paraId="2198E016" w14:textId="77777777" w:rsidR="001D3DA3" w:rsidRDefault="001D3DA3" w:rsidP="008D3E19">
      <w:pPr>
        <w:pStyle w:val="NoSpacing"/>
        <w:spacing w:line="276" w:lineRule="auto"/>
      </w:pPr>
    </w:p>
    <w:p w14:paraId="00D97A39" w14:textId="77777777" w:rsidR="001D3DA3" w:rsidRDefault="001D3DA3" w:rsidP="008D3E19">
      <w:pPr>
        <w:pStyle w:val="NoSpacing"/>
        <w:spacing w:line="276" w:lineRule="auto"/>
      </w:pPr>
    </w:p>
    <w:p w14:paraId="32328219" w14:textId="77777777" w:rsidR="001D3DA3" w:rsidRDefault="00922266" w:rsidP="008D3E19">
      <w:pPr>
        <w:pStyle w:val="NoSpacing"/>
        <w:spacing w:line="276" w:lineRule="auto"/>
      </w:pPr>
      <w:r>
        <w:t>T. van Ark</w:t>
      </w:r>
    </w:p>
    <w:p w14:paraId="56B5C50F" w14:textId="77777777" w:rsidR="0068359E" w:rsidRDefault="0068359E" w:rsidP="008D3E19">
      <w:pPr>
        <w:pStyle w:val="NoSpacing"/>
        <w:spacing w:line="276" w:lineRule="auto"/>
      </w:pPr>
    </w:p>
    <w:p w14:paraId="1655BCD6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  <w:r>
        <w:br w:type="page"/>
      </w:r>
    </w:p>
    <w:p w14:paraId="7A0310FC" w14:textId="77777777" w:rsidR="007374B7" w:rsidRDefault="00CE650A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lastRenderedPageBreak/>
        <w:t>INDOKLÁS</w:t>
      </w:r>
      <w:r>
        <w:rPr>
          <w:b/>
        </w:rPr>
        <w:br/>
      </w:r>
    </w:p>
    <w:p w14:paraId="62AF9EB0" w14:textId="77777777" w:rsidR="007374B7" w:rsidRPr="007374B7" w:rsidRDefault="007374B7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t>1. Általános rendelkezések</w:t>
      </w:r>
    </w:p>
    <w:p w14:paraId="522F9288" w14:textId="42F9642B" w:rsidR="00CE650A" w:rsidRDefault="00D83FCC" w:rsidP="00D83FCC">
      <w:pPr>
        <w:pStyle w:val="NoSpacing"/>
        <w:spacing w:line="276" w:lineRule="auto"/>
        <w:rPr>
          <w:i/>
        </w:rPr>
      </w:pPr>
      <w:r>
        <w:rPr>
          <w:i/>
        </w:rPr>
        <w:br/>
        <w:t>Ok</w:t>
      </w:r>
    </w:p>
    <w:p w14:paraId="061545D9" w14:textId="77777777" w:rsidR="00CE650A" w:rsidRDefault="00CE650A" w:rsidP="008D3E19">
      <w:pPr>
        <w:pStyle w:val="NoSpacing"/>
        <w:spacing w:line="276" w:lineRule="auto"/>
        <w:rPr>
          <w:i/>
        </w:rPr>
      </w:pPr>
    </w:p>
    <w:p w14:paraId="79255285" w14:textId="29306F1B" w:rsidR="007374B7" w:rsidRDefault="000E5170" w:rsidP="008D3E19">
      <w:pPr>
        <w:pStyle w:val="NoSpacing"/>
        <w:spacing w:line="276" w:lineRule="auto"/>
      </w:pPr>
      <w:r>
        <w:t>A nemzeti megelőzési megállapodást</w:t>
      </w:r>
      <w:r w:rsidR="00125CD6">
        <w:rPr>
          <w:rStyle w:val="FootnoteReference"/>
        </w:rPr>
        <w:footnoteReference w:id="1"/>
      </w:r>
      <w:r>
        <w:t xml:space="preserve"> 2018. november 23-án fogadták el. Ez magában foglalja a kormány és több mint 70 fél által kötött megállapodásokat a túlsúly, a dohányzás és a problémás alkoholfogyasztás elleni küzdelem érdekében. Az aláírók közé tartoznak egészségügyi ernyőszervezetek, betegképviseleti szervezetek, vállalatok, önkormányzatok és oktatási intézmények. A nemzeti megelőzési megállapodás számos intézkedést tartalmaz az egészséges táplálkozás területén. Az egészséges táplálkozás mindenki számára fontos, nem csak a túlsúlyos emberek számára. Annak érdekében, hogy a fogyasztók jobban megismerjék az egészségesebb alternatívákat, a nemzeti megelőzési megállapodás keretében megegyeztek arról, hogy Hollandia kormánya 2020-ban új, széles körben elterjedt, a tudatos élelmiszerválasztást támogató logót vezet be. </w:t>
      </w:r>
    </w:p>
    <w:p w14:paraId="27DBBD77" w14:textId="77777777" w:rsidR="007374B7" w:rsidRDefault="007374B7" w:rsidP="008D3E19">
      <w:pPr>
        <w:pStyle w:val="NoSpacing"/>
        <w:spacing w:line="276" w:lineRule="auto"/>
      </w:pPr>
    </w:p>
    <w:p w14:paraId="34004F87" w14:textId="77777777" w:rsidR="000E5170" w:rsidRPr="001110B2" w:rsidRDefault="00CE650A" w:rsidP="008D3E19">
      <w:pPr>
        <w:pStyle w:val="NoSpacing"/>
        <w:spacing w:line="276" w:lineRule="auto"/>
      </w:pPr>
      <w:r>
        <w:t>A követelmény az volt, hogy a logó kiválasztásának megbízható és független fogyasztói kutatáson kell alapulnia. Az is nagy jelentőséggel bírt, hogy a kiválasztandó logó összhangban legyen azzal, ahogyan az emberek meghozzák a választásaikat: a fogyasztók általi megértésnek kellett a fő tényezőnek lennie. A választás során figyelembe kell venni az ötszintű betűskálát is, és végül a tudatos élelmiszerválasztást támogató logók európai fejlődését.</w:t>
      </w:r>
    </w:p>
    <w:p w14:paraId="0AF7CAF5" w14:textId="77777777" w:rsidR="000E5170" w:rsidRPr="001110B2" w:rsidRDefault="000E5170" w:rsidP="008D3E19">
      <w:pPr>
        <w:pStyle w:val="NoSpacing"/>
        <w:spacing w:line="276" w:lineRule="auto"/>
      </w:pPr>
    </w:p>
    <w:p w14:paraId="5F31D578" w14:textId="77777777" w:rsidR="000E5170" w:rsidRPr="008D3E19" w:rsidRDefault="000E5170" w:rsidP="008D3E19">
      <w:pPr>
        <w:pStyle w:val="NoSpacing"/>
        <w:spacing w:line="276" w:lineRule="auto"/>
        <w:rPr>
          <w:i/>
        </w:rPr>
      </w:pPr>
      <w:r>
        <w:rPr>
          <w:i/>
        </w:rPr>
        <w:t>Folyamat</w:t>
      </w:r>
      <w:r>
        <w:rPr>
          <w:i/>
        </w:rPr>
        <w:br/>
      </w:r>
    </w:p>
    <w:p w14:paraId="15D74CD7" w14:textId="77777777" w:rsidR="004F54A5" w:rsidRDefault="004F54A5" w:rsidP="008D3E19">
      <w:pPr>
        <w:pStyle w:val="NoSpacing"/>
        <w:spacing w:line="276" w:lineRule="auto"/>
      </w:pPr>
      <w:r>
        <w:t>2018 novemberében megkezdődött a munka a fent említett nemzeti megelőzési megállapodás érvényre juttatása érdekében.</w:t>
      </w:r>
    </w:p>
    <w:p w14:paraId="7FAB8B53" w14:textId="77777777" w:rsidR="001110B2" w:rsidRDefault="0029125D" w:rsidP="008D3E19">
      <w:pPr>
        <w:pStyle w:val="NoSpacing"/>
        <w:spacing w:line="276" w:lineRule="auto"/>
      </w:pPr>
      <w:r>
        <w:t>A tudatos élelmiszerválasztást támogató logó kiválasztására vonatkozó feltételek kidolgozása során különböző felekkel konzultáltak. A döntéshozatali folyamatban részt vesznek a Fogyasztóvédelmi Szövetség, a Szövetkezeti Egészségügyi Alapok (Hartstichting, Nierstichting, Diabetesfonds), a Centraal Bureau Levensmiddelenhandel (CBL), a Holland Élelmiszeripari Szövetség (FNLI), a Koninklijke Horeca Nederland (KHN), a Vereniging Nederlandse Cateraars (Veneca), a Táplálkozásügyi Központ, az RIVM és a Mezőgazdasági Minisztérium.</w:t>
      </w:r>
    </w:p>
    <w:p w14:paraId="730CEA55" w14:textId="77777777" w:rsidR="001110B2" w:rsidRDefault="001110B2" w:rsidP="008D3E19">
      <w:pPr>
        <w:pStyle w:val="NoSpacing"/>
        <w:spacing w:line="276" w:lineRule="auto"/>
      </w:pPr>
    </w:p>
    <w:p w14:paraId="5186B065" w14:textId="16D64986" w:rsidR="00672904" w:rsidRDefault="001110B2" w:rsidP="008D3E19">
      <w:pPr>
        <w:pStyle w:val="NoSpacing"/>
        <w:spacing w:line="276" w:lineRule="auto"/>
      </w:pPr>
      <w:r>
        <w:t>A fogyasztók körében végzett független kutatás</w:t>
      </w:r>
      <w:r w:rsidR="00A978BD">
        <w:rPr>
          <w:rStyle w:val="FootnoteReference"/>
        </w:rPr>
        <w:footnoteReference w:id="2"/>
      </w:r>
      <w:r>
        <w:t xml:space="preserve"> keretében összehasonlítottak három, a tudatos élelmiszerválasztást támogató logót, amelyeket jelenleg az európai országokban használnak. Megvizsgálták, hogy ezek a logók milyen mértékben segítik a fogyasztókat abban, hogy egészségesebb döntést hozzanak. A fogyasztói felmérés azt mutatja, hogy a Nutri-Score segítségével lehet a fogyasztókat leginkább az egészségesebb döntésekre ösztönözni. A boltok polcain a hasonló termékek könnyen és gyorsan összehasonlíthatók: a fogyasztók azonnal láthatják, hogy melyik termék az egészségesebb választás. Ez megkönnyíti az egészségesebb választást. </w:t>
      </w:r>
    </w:p>
    <w:p w14:paraId="3729F3B9" w14:textId="77777777" w:rsidR="00672904" w:rsidRDefault="00672904" w:rsidP="008D3E19">
      <w:pPr>
        <w:pStyle w:val="NoSpacing"/>
        <w:spacing w:line="276" w:lineRule="auto"/>
      </w:pPr>
    </w:p>
    <w:p w14:paraId="5F77E2A9" w14:textId="70D4DAE7" w:rsidR="00672904" w:rsidRDefault="00672904" w:rsidP="008D3E19">
      <w:pPr>
        <w:pStyle w:val="NoSpacing"/>
        <w:spacing w:line="276" w:lineRule="auto"/>
      </w:pPr>
      <w:r>
        <w:t>A fogyasztói felmérés azonban azt is mutatta, hogy egyes válaszadók már nem tudnak egészségesebb döntést hozni abban az esetben, ha az ötszintű betűskálából és a logóból származó információk nem felelnek meg egymásnak. Az RIVM és a Táplálkozási Központ tanulmányt készített a Nutri-Score-ról,&amp;LT</w:t>
      </w:r>
      <w:r w:rsidR="00A978BD">
        <w:rPr>
          <w:rStyle w:val="FootnoteReference"/>
        </w:rPr>
        <w:footnoteReference w:id="3"/>
      </w:r>
      <w:r>
        <w:t xml:space="preserve">; amelyben azt a következtetést vonták le, hogy a Nutri-Score és az ötszintű betűskála táplálkozási tanácsai a különböző kategóriákba tartozó számos termék esetében nem felelnek meg pontosan. </w:t>
      </w:r>
    </w:p>
    <w:p w14:paraId="153F6129" w14:textId="77777777" w:rsidR="00672904" w:rsidRDefault="00672904" w:rsidP="008D3E19">
      <w:pPr>
        <w:pStyle w:val="NoSpacing"/>
        <w:spacing w:line="276" w:lineRule="auto"/>
      </w:pPr>
    </w:p>
    <w:p w14:paraId="3B7F2DB9" w14:textId="6C31260B" w:rsidR="00A31F7A" w:rsidRDefault="00672904" w:rsidP="00A31F7A">
      <w:pPr>
        <w:pStyle w:val="NoSpacing"/>
        <w:spacing w:line="276" w:lineRule="auto"/>
      </w:pPr>
      <w:r>
        <w:t>A vizsgálatok eredményei alapján és a fent említett felekkel együttműködve az egészségügyi, jólléti és sportminiszter úgy döntött, hogy a Nutri-Score-t a tudatos élelmiszerválasztást támogató logóként jelöli ki.&amp;LT</w:t>
      </w:r>
      <w:r w:rsidR="00125CD6">
        <w:rPr>
          <w:rStyle w:val="FootnoteReference"/>
        </w:rPr>
        <w:footnoteReference w:id="4"/>
      </w:r>
      <w:r>
        <w:t xml:space="preserve">; A Nutri-Score alapját képező számítást azonban oly módon kell kiigazítani, hogy a logó a lehető legkisebb zavart keltse a holland fogyasztók körében azzal kapcsolatban, hogy mi az egészségesebb választás. </w:t>
      </w:r>
    </w:p>
    <w:p w14:paraId="1909E528" w14:textId="77777777" w:rsidR="00A31F7A" w:rsidRDefault="00A31F7A" w:rsidP="00A31F7A">
      <w:pPr>
        <w:pStyle w:val="NoSpacing"/>
        <w:spacing w:line="276" w:lineRule="auto"/>
      </w:pPr>
    </w:p>
    <w:p w14:paraId="2BA8E5EE" w14:textId="77777777" w:rsidR="00A31F7A" w:rsidRDefault="00A31F7A" w:rsidP="00A31F7A">
      <w:pPr>
        <w:pStyle w:val="NoSpacing"/>
        <w:spacing w:line="276" w:lineRule="auto"/>
      </w:pPr>
      <w:r>
        <w:t xml:space="preserve">2020 elején a miniszter tájékoztatta a francia kormányt a Nutri-Score kiválasztásáról. Hollandia részt vesz a nemzetközi konzultációban, amelynek során megállapodásokat kötnek a végrehajtásról és a szervezésről. Egy független tudományos bizottság megvizsgálja a Nutri-Score alapját képező számításokat, és feladata annak biztosítása, hogy a Nutri-Score táplálkozási kritériumai összhangban legyenek a részt vevő országok táplálkozási iránymutatásaival. </w:t>
      </w:r>
    </w:p>
    <w:p w14:paraId="0989B05C" w14:textId="4C61DF1D" w:rsidR="00672904" w:rsidRDefault="00672904" w:rsidP="008D3E19">
      <w:pPr>
        <w:pStyle w:val="NoSpacing"/>
        <w:spacing w:line="276" w:lineRule="auto"/>
      </w:pPr>
    </w:p>
    <w:p w14:paraId="409ED4BF" w14:textId="20A36412" w:rsidR="00D83FCC" w:rsidRDefault="00D83FCC" w:rsidP="00D83FCC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i/>
        </w:rPr>
        <w:t>Nutri-Score jelölés</w:t>
      </w:r>
    </w:p>
    <w:p w14:paraId="0A5AD5FA" w14:textId="77777777" w:rsidR="00D83FCC" w:rsidRPr="008D3E19" w:rsidRDefault="00D83FCC" w:rsidP="00D83FCC">
      <w:pPr>
        <w:pStyle w:val="NoSpacing"/>
        <w:spacing w:line="276" w:lineRule="auto"/>
        <w:rPr>
          <w:i/>
        </w:rPr>
      </w:pPr>
    </w:p>
    <w:p w14:paraId="39E7DC9E" w14:textId="73E0D864" w:rsidR="00D83FCC" w:rsidRDefault="00D83FCC" w:rsidP="00D83FCC">
      <w:pPr>
        <w:pStyle w:val="NoSpacing"/>
        <w:spacing w:line="276" w:lineRule="auto"/>
      </w:pPr>
      <w:r>
        <w:t xml:space="preserve">A </w:t>
      </w:r>
      <w:r>
        <w:rPr>
          <w:i/>
        </w:rPr>
        <w:t>Nutri-Score</w:t>
      </w:r>
      <w:r>
        <w:t xml:space="preserve"> egy önkéntes, a tudatos élelmiszerválasztást támogató logó, amely segíti a fogyasztókat abban, hogy egészségesebb döntéseket hozzanak, amikor egy adott termékcsoporton belül vásárolnak. A </w:t>
      </w:r>
      <w:r>
        <w:rPr>
          <w:i/>
        </w:rPr>
        <w:t>Nutri-Score</w:t>
      </w:r>
      <w:r>
        <w:t xml:space="preserve"> az élelmiszerekben található fehérjék, rostok, gyümölcsök, zöldségek, hüvelyesek és diófélék mennyiségére vonatkozó pontok megadásával kerül megállapításra. Ebből a pontszámból levonásra kerülnek az energiatartalom (kilokalóriák), a cukor-, telítettzsír- és sótartalom tekintetében kapott pontok. A teljes pontszám alapján a termék A, B, C, D vagy E besorolást kap. A sötétzöld „A” az egészségesebb összetételt jelöli. A kevésbé egészséges összetételű termékek sötét narancssárga „E” jelölést kapnak. Ha az élelmiszer-vállalkozások a </w:t>
      </w:r>
      <w:r>
        <w:rPr>
          <w:i/>
        </w:rPr>
        <w:t>Nutri-Score</w:t>
      </w:r>
      <w:r>
        <w:t>-t alkalmazzák, meg kell felelniük a használati feltételeknek, és a logót az élelmiszer csomagolásának elülső részén kell elhelyezniük. Ez segíti a fogyasztókat abban, hogy azonnal megállapíthassák, melyik termék az egészségesebb választás.</w:t>
      </w:r>
      <w:r>
        <w:br/>
      </w:r>
    </w:p>
    <w:p w14:paraId="023F652F" w14:textId="3742B79E" w:rsidR="00DC7A50" w:rsidRDefault="00D83FCC" w:rsidP="008D3E19">
      <w:pPr>
        <w:pStyle w:val="NoSpacing"/>
        <w:spacing w:line="276" w:lineRule="auto"/>
      </w:pPr>
      <w:r>
        <w:rPr>
          <w:color w:val="333333"/>
        </w:rPr>
        <w:t xml:space="preserve">Ez a rendszer a </w:t>
      </w:r>
      <w:r>
        <w:rPr>
          <w:i/>
          <w:color w:val="333333"/>
        </w:rPr>
        <w:t>Nutri-Score-</w:t>
      </w:r>
      <w:r>
        <w:rPr>
          <w:color w:val="333333"/>
        </w:rPr>
        <w:t xml:space="preserve">t a tudatos élelmiszerválasztást támogató logóként jelöli meg. </w:t>
      </w:r>
      <w:r>
        <w:rPr>
          <w:color w:val="000000" w:themeColor="text1"/>
        </w:rPr>
        <w:t>A használati feltételeket közzé kell tenni egy, a vállalkozók és a nyilvánosság számára hozzáférhető weboldalon.</w:t>
      </w:r>
      <w:r>
        <w:rPr>
          <w:color w:val="333333"/>
        </w:rPr>
        <w:t xml:space="preserve"> A használati feltételek szerint a Nutri-Score logó használatakor be kell tartani a grafikai skála követelményeit. A grafikai skála követelményeket ír elő a logó méretére, a szín használatára, valamint a logó csomagoláson és kommunikációs felületeken való elhelyezésére vonatkozóan. </w:t>
      </w:r>
    </w:p>
    <w:p w14:paraId="736891C2" w14:textId="77777777" w:rsidR="0040278F" w:rsidRDefault="0040278F" w:rsidP="008D3E19">
      <w:pPr>
        <w:pStyle w:val="NoSpacing"/>
        <w:spacing w:line="276" w:lineRule="auto"/>
      </w:pPr>
    </w:p>
    <w:p w14:paraId="7394EBF4" w14:textId="2C420781" w:rsidR="00602B7B" w:rsidRPr="00311799" w:rsidRDefault="00E8090B" w:rsidP="008D3E19">
      <w:pPr>
        <w:pStyle w:val="NoSpacing"/>
        <w:spacing w:line="276" w:lineRule="auto"/>
      </w:pPr>
      <w:r>
        <w:t xml:space="preserve">Mivel a logó elhelyezése nem kötelező, az élelmiszer-vállalkozások fontolóra vehetik a tudatos élelmiszerválasztást támogató </w:t>
      </w:r>
      <w:r>
        <w:rPr>
          <w:i/>
        </w:rPr>
        <w:t>Nutri-Score</w:t>
      </w:r>
      <w:r>
        <w:t xml:space="preserve"> logó használatát. Ha egy élelmiszer-vállalkozás ezt választja, meg kell felelnie a használati feltételekben megállapított követelményeknek. </w:t>
      </w:r>
      <w:r>
        <w:rPr>
          <w:rStyle w:val="Marker"/>
          <w:color w:val="000000" w:themeColor="text1"/>
        </w:rPr>
        <w:t xml:space="preserve">A Nutri-Score a jogosult, a Santé publique France (l’agence nationale de santé publique, Nemzeti Közegészségügyi Hatóság) által az Európai Unió Szellemi Tulajdoni Hivatalánál (EUIPO) bejegyzett európai uniós védjegy. A Nutri-Score logó alkalmazásakor a védjegyjogosultnak nemcsak a védjegy használatának feltételeit kell betartania, hanem figyelembe kell vennie a </w:t>
      </w:r>
      <w:r>
        <w:t>védjegyjog, a tisztességes kereskedelmi jog és a büntetőjog területén betartandó általános védjegyoltalmi szabályokat is.</w:t>
      </w:r>
    </w:p>
    <w:p w14:paraId="332CDBD7" w14:textId="77777777" w:rsidR="00820C71" w:rsidRDefault="00820C71" w:rsidP="008D3E19">
      <w:pPr>
        <w:pStyle w:val="NoSpacing"/>
        <w:spacing w:line="276" w:lineRule="auto"/>
        <w:rPr>
          <w:i/>
        </w:rPr>
      </w:pPr>
    </w:p>
    <w:p w14:paraId="5AFA85AB" w14:textId="7C26A1A6" w:rsidR="00602B7B" w:rsidRPr="008D3E19" w:rsidRDefault="00BC191E" w:rsidP="008D3E19">
      <w:pPr>
        <w:pStyle w:val="NoSpacing"/>
        <w:spacing w:line="276" w:lineRule="auto"/>
        <w:rPr>
          <w:i/>
        </w:rPr>
      </w:pPr>
      <w:r>
        <w:rPr>
          <w:i/>
        </w:rPr>
        <w:t>Nemzeti jogi keret</w:t>
      </w:r>
    </w:p>
    <w:p w14:paraId="57E6E4A9" w14:textId="230342F8" w:rsidR="00D8085E" w:rsidRPr="00A92440" w:rsidRDefault="004336A6" w:rsidP="008D3E19">
      <w:pPr>
        <w:pStyle w:val="NoSpacing"/>
        <w:spacing w:line="276" w:lineRule="auto"/>
      </w:pPr>
      <w:r>
        <w:rPr>
          <w:i/>
        </w:rPr>
        <w:br/>
      </w:r>
      <w:r>
        <w:rPr>
          <w:color w:val="000000" w:themeColor="text1"/>
        </w:rPr>
        <w:t xml:space="preserve">Az élelmiszerekről szóló törvényerejű rendelet 1. cikke a tudatos élelmiszerválasztást támogató logót olyan logóként határozza meg, amely megkönnyíti a fogyasztók számára az adott termékkategóriába sorolt hasonló élelmiszerekhez képest egészségesebb élelmiszerek kiválasztását. Az élelmiszerekről szóló törvényerejű rendelet 11. cikke értelmében az élelmiszerek forgalmazása során használható a tudatos élelmiszerválasztást támogató logó, feltéve, hogy teljesülnek az említett cikkben meghatározott feltételek. </w:t>
      </w:r>
      <w:r>
        <w:t>2021-ben az élelmiszerekkel kapcsolatos tájékoztatásról szóló rendelet módosítását tervezik, amely már nem írja elő az iparág számára, hogy kérelmezze a tudatos élelmiszerválasztást támogató logó jóváhagyását.</w:t>
      </w:r>
      <w:r>
        <w:rPr>
          <w:color w:val="333333"/>
        </w:rPr>
        <w:t xml:space="preserve"> </w:t>
      </w:r>
      <w:r>
        <w:t>Ezen indokolás megfogalmazásának időpontjában a Hivatalos Közlönyben még nem tették közzé az élelmiszerekkel kapcsolatos tájékoztatásról szóló, az árucikkekre vonatkozó törvényhez kapcsolódó rendelet módosítását. A kölcsönös elismerés elvéből következik, hogy egy uniós tagállam nem tilthatja meg más uniós tagállamokban jogszerűen forgalomba hozott termékek értékesítését saját területén arra való hivatkozással, hogy az áruk nem felelnek meg a saját nemzeti előírásainak. Fontos azonban, hogy a más európai tagállamból származó áruk legalább azonos szintű védelmet nyújtsanak. Ezt a kölcsönös elismerési záradékot az árucikkekről szóló törvény 13d. cikke tartalmazza. A más európai tagállamokból származó áruk forgalmazása az ezen rendszerben megállapított követelmények alapján nem tilos.</w:t>
      </w:r>
    </w:p>
    <w:p w14:paraId="4FDF04AE" w14:textId="77777777" w:rsidR="0073118A" w:rsidRPr="00CA0B75" w:rsidRDefault="0073118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9C36685" w14:textId="77777777" w:rsidR="007E23BC" w:rsidRPr="00CA0B75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 xml:space="preserve">2. A szabályozásból eredő terhekre gyakorolt hatás </w:t>
      </w:r>
    </w:p>
    <w:p w14:paraId="1840D7F5" w14:textId="77777777" w:rsidR="007E23BC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AA98B1A" w14:textId="3A78736A" w:rsidR="00130455" w:rsidRPr="00B4175F" w:rsidRDefault="00B4175F" w:rsidP="008D3E19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>A szabályozásból eredő terhek felülvizsgálatát végző testület (ATR) nem választotta ki az ügyet hivatalos véleményezésre, mivel az nincs hatással a polgárok és a vállalkozások szabályozásból eredő terheire.</w:t>
      </w:r>
      <w:r>
        <w:rPr>
          <w:color w:val="333333"/>
        </w:rPr>
        <w:br/>
      </w:r>
    </w:p>
    <w:p w14:paraId="254A27A8" w14:textId="77777777" w:rsidR="009D6971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>3. Rendszeres konzultáció az árucikkekről szóló törvény értelmében</w:t>
      </w:r>
    </w:p>
    <w:p w14:paraId="28E02F40" w14:textId="77777777" w:rsidR="0069144E" w:rsidRDefault="0069144E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B816E36" w14:textId="77777777" w:rsidR="00CA0B75" w:rsidRPr="00CA0B75" w:rsidRDefault="009D6971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t>A rendelettervezetet benyújtották az árucikkekről szóló törvény rendszeres egyeztető csoportjának (ROW) résztvevőinek</w:t>
      </w:r>
      <w:r w:rsidRPr="00B658D6">
        <w:rPr>
          <w:bCs/>
          <w:vertAlign w:val="superscript"/>
        </w:rPr>
        <w:footnoteReference w:id="5"/>
      </w:r>
      <w:r>
        <w:t xml:space="preserve">. </w:t>
      </w:r>
      <w:r>
        <w:rPr>
          <w:b/>
        </w:rPr>
        <w:t>P.M.</w:t>
      </w:r>
    </w:p>
    <w:p w14:paraId="6F6DDDCA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64E275DB" w14:textId="77777777" w:rsidR="0069144E" w:rsidRDefault="007E23BC" w:rsidP="008E3830">
      <w:pPr>
        <w:pStyle w:val="NoSpacing"/>
        <w:keepNext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lastRenderedPageBreak/>
        <w:t>4. Végrehajthatóság és megvalósíthatóság</w:t>
      </w:r>
    </w:p>
    <w:p w14:paraId="5ED04CEA" w14:textId="77777777" w:rsidR="00CA0B75" w:rsidRPr="00CA0B75" w:rsidRDefault="002A0E04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br/>
      </w:r>
      <w:r>
        <w:rPr>
          <w:color w:val="333333"/>
        </w:rPr>
        <w:t>A rendszer kialakítását az NVWA értékelte a végrehajthatóság, a megvalósíthatóság és a csalásbiztosság szempontjából.</w:t>
      </w:r>
      <w:r>
        <w:rPr>
          <w:b/>
          <w:color w:val="333333"/>
        </w:rPr>
        <w:t xml:space="preserve"> P.M. </w:t>
      </w:r>
    </w:p>
    <w:p w14:paraId="78239E99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9883B83" w14:textId="77777777" w:rsidR="00CA0B75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 xml:space="preserve">5. Értesítés </w:t>
      </w:r>
    </w:p>
    <w:p w14:paraId="4A5FC1AB" w14:textId="77777777" w:rsidR="008E7EEA" w:rsidRDefault="008E7EE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569595FC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 xml:space="preserve">Az élelmiszerekkel kapcsolatos, tápanyag-összetételre és egészségre vonatkozó állításokról szóló, 2006. december 20-i 1924/2006/EK európai parlamenti és tanácsi rendelet (HL L 404., a továbbiakban: az élelmiszerekkel kapcsolatos állításokról szóló rendelet) általános elveket állapított meg az élelmiszerekkel kapcsolatos valamennyi állításra vonatkozóan. A tudatos élelmiszerválasztást támogató </w:t>
      </w:r>
      <w:r>
        <w:rPr>
          <w:i/>
          <w:color w:val="333333"/>
        </w:rPr>
        <w:t>Nutri-Score</w:t>
      </w:r>
      <w:r>
        <w:rPr>
          <w:color w:val="333333"/>
        </w:rPr>
        <w:t xml:space="preserve"> logót az ezen rendelet 2. cikke (2) bekezdésének 4. pontjában említett, tápanyag-összetételre vonatkozó állításnak kell tekinteni. Az élelmiszerekkel kapcsolatos állításokról szóló rendelet 8. cikkének (1) bekezdése csak az ezen rendelet mellékletében felsorolt, tápanyag-összetételre vonatkozó állításokat engedélyezi. Ezek a tápanyag-összetételre vonatkozó állítások mindig csak az élelmiszer energiatartalmára vagy egy adott anyag vagy tápanyag mennyiségére vonatkozhatnak. A tudatos élelmiszerválasztást támogató </w:t>
      </w:r>
      <w:r>
        <w:rPr>
          <w:i/>
          <w:color w:val="333333"/>
        </w:rPr>
        <w:t>Nutri-Score</w:t>
      </w:r>
      <w:r>
        <w:rPr>
          <w:color w:val="333333"/>
        </w:rPr>
        <w:t xml:space="preserve"> logó nem alkalmas arra, hogy ebbe a mellékletbe felvegyék: a </w:t>
      </w:r>
      <w:r>
        <w:rPr>
          <w:i/>
          <w:color w:val="333333"/>
        </w:rPr>
        <w:t>Nutri-Score</w:t>
      </w:r>
      <w:r>
        <w:rPr>
          <w:color w:val="333333"/>
        </w:rPr>
        <w:t xml:space="preserve"> kiszámításakor az élelmiszer teljes összetételét figyelembe kell venni. Az élelmiszerekkel kapcsolatos állításokról szóló rendelet 23. cikke előírja, hogy a tagállamoknak be kell jelenteniük az ilyen állításoknak a területükön történő felhasználását, amennyiben az ilyen állítások nem felelnek meg az élelmiszerekkel kapcsolatos állításokról szóló rendeletnek.</w:t>
      </w:r>
    </w:p>
    <w:p w14:paraId="43A7CEB8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</w:p>
    <w:p w14:paraId="17B25172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>A fogyasztók megfelelő tájékoztatásának védelme érdekében a fogyasztók élelmiszerekkel kapcsolatos tájékoztatásáról szóló, 2011. október 25-i 1169/2011/EU európai parlamenti és tanácsi rendelet</w:t>
      </w:r>
      <w:r>
        <w:rPr>
          <w:rStyle w:val="FootnoteReference"/>
          <w:rFonts w:eastAsia="Times New Roman" w:cs="Arial"/>
          <w:color w:val="333333"/>
        </w:rPr>
        <w:footnoteReference w:id="6"/>
      </w:r>
      <w:r>
        <w:rPr>
          <w:color w:val="333333"/>
        </w:rPr>
        <w:t xml:space="preserve"> 36. cikke szerint az élelmiszerekkel kapcsolatos tájékoztatásnak számos követelménynek meg kell felelnie. Ezzel összefüggésben a Bizottságot is tájékoztatták a rendszer szövegéről. </w:t>
      </w:r>
    </w:p>
    <w:p w14:paraId="2EEB4BC5" w14:textId="77777777" w:rsidR="006C4D06" w:rsidRDefault="006C4D06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13C697BD" w14:textId="77777777" w:rsidR="008E7EEA" w:rsidRPr="00CA0B75" w:rsidRDefault="008E7EE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t xml:space="preserve">A </w:t>
      </w:r>
      <w:r>
        <w:rPr>
          <w:b/>
        </w:rPr>
        <w:t>...-nak</w:t>
      </w:r>
      <w:r>
        <w:t xml:space="preserve"> való megfelelés érdekében a rendszer tervezetéről ...-án/-én értesítették az Európai Bizottságot (</w:t>
      </w:r>
      <w:r>
        <w:rPr>
          <w:b/>
        </w:rPr>
        <w:t>... sz.</w:t>
      </w:r>
      <w:r>
        <w:t xml:space="preserve"> értesítés).</w:t>
      </w:r>
    </w:p>
    <w:p w14:paraId="1EB1823F" w14:textId="1C1F97BC" w:rsidR="008C7083" w:rsidRPr="00B658D6" w:rsidRDefault="00915D8D">
      <w:pPr>
        <w:pStyle w:val="NoSpacing"/>
        <w:spacing w:line="276" w:lineRule="auto"/>
        <w:rPr>
          <w:b/>
          <w:bCs/>
        </w:rPr>
      </w:pPr>
      <w:r>
        <w:rPr>
          <w:color w:val="333333"/>
        </w:rPr>
        <w:br/>
      </w:r>
    </w:p>
    <w:p w14:paraId="1ADE6D80" w14:textId="77777777" w:rsidR="00647286" w:rsidRDefault="00647286" w:rsidP="008D3E19">
      <w:pPr>
        <w:pStyle w:val="NoSpacing"/>
        <w:spacing w:line="276" w:lineRule="auto"/>
        <w:rPr>
          <w:bCs/>
        </w:rPr>
      </w:pPr>
    </w:p>
    <w:p w14:paraId="621B8D55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</w:p>
    <w:sectPr w:rsidR="003670DB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CCED" w14:textId="77777777" w:rsidR="00481E81" w:rsidRDefault="00481E81">
      <w:pPr>
        <w:spacing w:line="240" w:lineRule="auto"/>
      </w:pPr>
      <w:r>
        <w:separator/>
      </w:r>
    </w:p>
  </w:endnote>
  <w:endnote w:type="continuationSeparator" w:id="0">
    <w:p w14:paraId="22F161BA" w14:textId="77777777" w:rsidR="00481E81" w:rsidRDefault="0048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D74E" w14:textId="77777777" w:rsidR="00481E81" w:rsidRDefault="00481E81">
      <w:pPr>
        <w:spacing w:line="240" w:lineRule="auto"/>
      </w:pPr>
      <w:r>
        <w:separator/>
      </w:r>
    </w:p>
  </w:footnote>
  <w:footnote w:type="continuationSeparator" w:id="0">
    <w:p w14:paraId="688EDC7F" w14:textId="77777777" w:rsidR="00481E81" w:rsidRDefault="00481E81">
      <w:pPr>
        <w:spacing w:line="240" w:lineRule="auto"/>
      </w:pPr>
      <w:r>
        <w:continuationSeparator/>
      </w:r>
    </w:p>
  </w:footnote>
  <w:footnote w:id="1">
    <w:p w14:paraId="08612ED2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>A II. minisztertanácsi dokumentum melléklete, 2018/19, 32793, 339. sz.</w:t>
      </w:r>
    </w:p>
  </w:footnote>
  <w:footnote w:id="2">
    <w:p w14:paraId="134DD927" w14:textId="0F382223" w:rsidR="00A978BD" w:rsidRDefault="00A978BD">
      <w:pPr>
        <w:pStyle w:val="FootnoteText"/>
      </w:pPr>
      <w:r>
        <w:rPr>
          <w:rStyle w:val="FootnoteReference"/>
        </w:rPr>
        <w:footnoteRef/>
      </w:r>
      <w:r>
        <w:rPr>
          <w:rFonts w:ascii="Verdana" w:hAnsi="Verdana"/>
          <w:sz w:val="16"/>
        </w:rPr>
        <w:t xml:space="preserve"> Motivaction, „</w:t>
      </w:r>
      <w:r>
        <w:rPr>
          <w:rFonts w:ascii="Verdana" w:hAnsi="Verdana"/>
          <w:i/>
          <w:sz w:val="16"/>
        </w:rPr>
        <w:t>Effectivity of figurative marks of three food choice logos</w:t>
      </w:r>
      <w:r>
        <w:rPr>
          <w:rFonts w:ascii="Verdana" w:hAnsi="Verdana"/>
          <w:sz w:val="16"/>
        </w:rPr>
        <w:t xml:space="preserve">", 2019. október 30., Elérhető az alábbi linken: </w:t>
      </w:r>
      <w:hyperlink r:id="rId1" w:history="1">
        <w:r>
          <w:rPr>
            <w:rStyle w:val="Hyperlink"/>
            <w:rFonts w:ascii="Verdana" w:hAnsi="Verdana"/>
            <w:sz w:val="16"/>
          </w:rPr>
          <w:t>https://www.rijksoverheid.nl/</w:t>
        </w:r>
      </w:hyperlink>
      <w:r>
        <w:rPr>
          <w:rFonts w:ascii="Verdana" w:hAnsi="Verdana"/>
          <w:sz w:val="16"/>
        </w:rPr>
        <w:t>.</w:t>
      </w:r>
      <w:r>
        <w:t xml:space="preserve"> </w:t>
      </w:r>
    </w:p>
  </w:footnote>
  <w:footnote w:id="3">
    <w:p w14:paraId="2C905CC0" w14:textId="778258C7" w:rsidR="00A978BD" w:rsidRDefault="00A978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>Nemzeti Közegészségügyi és Környezetvédelmi Intézet (RIVM) és a Táplálkozásügyi Központ, „</w:t>
      </w:r>
      <w:r>
        <w:rPr>
          <w:rFonts w:ascii="Verdana" w:hAnsi="Verdana"/>
          <w:i/>
          <w:sz w:val="16"/>
        </w:rPr>
        <w:t>Desk Study Food Choice Logos in the spotlight</w:t>
      </w:r>
      <w:r>
        <w:rPr>
          <w:rFonts w:ascii="Verdana" w:hAnsi="Verdana"/>
          <w:sz w:val="16"/>
        </w:rPr>
        <w:t xml:space="preserve">", 2019. november 28. </w:t>
      </w:r>
      <w:r>
        <w:t>Megtekinthető az alábbi linken:</w:t>
      </w:r>
      <w:r>
        <w:rPr>
          <w:rFonts w:ascii="Verdana" w:hAnsi="Verdana"/>
          <w:sz w:val="16"/>
        </w:rPr>
        <w:t xml:space="preserve"> </w:t>
      </w:r>
      <w:hyperlink r:id="rId2" w:history="1">
        <w:r>
          <w:rPr>
            <w:rStyle w:val="Hyperlink"/>
            <w:rFonts w:ascii="Verdana" w:hAnsi="Verdana"/>
            <w:sz w:val="16"/>
          </w:rPr>
          <w:t>https://www.rijksoverheid.nl/</w:t>
        </w:r>
      </w:hyperlink>
      <w:r>
        <w:rPr>
          <w:rFonts w:ascii="Verdana" w:hAnsi="Verdana"/>
          <w:sz w:val="16"/>
        </w:rPr>
        <w:t>.</w:t>
      </w:r>
      <w:r>
        <w:t xml:space="preserve"> </w:t>
      </w:r>
    </w:p>
  </w:footnote>
  <w:footnote w:id="4">
    <w:p w14:paraId="3942F257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rPr>
          <w:rFonts w:ascii="Verdana" w:hAnsi="Verdana"/>
          <w:sz w:val="16"/>
        </w:rPr>
        <w:t xml:space="preserve"> Parlamenti dokumentumok II 2019/20, 32793, 459. sz.</w:t>
      </w:r>
    </w:p>
  </w:footnote>
  <w:footnote w:id="5">
    <w:p w14:paraId="5857BD1C" w14:textId="0AB27301" w:rsidR="009D6971" w:rsidRPr="006B20B3" w:rsidRDefault="009D6971" w:rsidP="009D6971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Reference"/>
          <w:rFonts w:ascii="Verdana" w:hAnsi="Verdana"/>
          <w:sz w:val="16"/>
          <w:szCs w:val="16"/>
        </w:rPr>
        <w:footnoteRef/>
      </w:r>
      <w:r w:rsidR="00543811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A ROW a vállalkozások (ipar és kereskedelem), a fogyasztók, a minisztériumok (különös tekintettel a Közegészségügyi, Jólléti és Sportminisztériumra, illetve a Mezőgazdasági, Természetvédelmi és Élelmiszer-minőségügyi Minisztériumra) és a Holland Élelmiszerbiztonsági és Fogyasztóvédelmi Hatóság [NVWA] képviselőiből áll.</w:t>
      </w:r>
    </w:p>
  </w:footnote>
  <w:footnote w:id="6">
    <w:p w14:paraId="38FEBC48" w14:textId="77777777" w:rsidR="006C4D06" w:rsidRDefault="006C4D06" w:rsidP="006C4D06">
      <w:pPr>
        <w:pStyle w:val="FootnoteText"/>
      </w:pPr>
      <w:r>
        <w:rPr>
          <w:rStyle w:val="FootnoteReference"/>
        </w:rPr>
        <w:footnoteRef/>
      </w:r>
      <w:r>
        <w:rPr>
          <w:rFonts w:ascii="Verdana" w:hAnsi="Verdana"/>
          <w:sz w:val="16"/>
        </w:rPr>
        <w:t xml:space="preserve"> Teljes cím: Az Európai Parlament és a Tanács 1169/2011/EU rendelete (2011. október 25.) 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</w:t>
      </w:r>
      <w:r>
        <w:rPr>
          <w:rFonts w:ascii="Verdana" w:hAnsi="Verdana"/>
          <w:color w:val="333333"/>
          <w:sz w:val="16"/>
        </w:rPr>
        <w:t>(HL 2011., L 304.).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3F9A" w14:textId="77777777" w:rsidR="001D3DA3" w:rsidRDefault="00AD598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A4C7470" wp14:editId="321BAFE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F02A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4C747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Cfz+uP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14:paraId="065F02A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B37E1C5" wp14:editId="59DD2CE3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BE5F1" w14:textId="559A626A" w:rsidR="001D3DA3" w:rsidRDefault="00AD598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  <w:r>
                            <w:t>. oldal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37E1C5" id="Paginanummer_3" o:spid="_x0000_s1027" type="#_x0000_t202" style="position:absolute;margin-left:464.85pt;margin-top:805pt;width:99.2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Rt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F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O2ehG2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0FEBE5F1" w14:textId="559A626A" w:rsidR="001D3DA3" w:rsidRDefault="00AD598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4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  <w:r>
                      <w:t>. oldal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B68C" w14:textId="4E299139" w:rsidR="001D3DA3" w:rsidRDefault="008E3830">
    <w:pPr>
      <w:spacing w:after="6746"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BB507A8" wp14:editId="35A3B021">
              <wp:simplePos x="0" y="0"/>
              <wp:positionH relativeFrom="column">
                <wp:posOffset>3023870</wp:posOffset>
              </wp:positionH>
              <wp:positionV relativeFrom="paragraph">
                <wp:posOffset>828675</wp:posOffset>
              </wp:positionV>
              <wp:extent cx="2299335" cy="466725"/>
              <wp:effectExtent l="0" t="0" r="571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933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769891" w14:textId="5BFF1079" w:rsidR="008E3830" w:rsidRPr="008E3830" w:rsidRDefault="008E383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Közegészségügyi, Jólléti és Sportminisztérium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507A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38.1pt;margin-top:65.25pt;width:181.05pt;height:36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" fillcolor="white [3201]" stroked="f" strokeweight=".5pt">
              <v:textbox>
                <w:txbxContent>
                  <w:p w14:paraId="79769891" w14:textId="5BFF1079" w:rsidR="008E3830" w:rsidRPr="008E3830" w:rsidRDefault="008E3830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Közegészségügyi, Jólléti és Sportminisztérium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50FF714" wp14:editId="2086825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0F485" w14:textId="77777777" w:rsidR="001D3DA3" w:rsidRDefault="00AD59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4353B" wp14:editId="50BAEBFA">
                                <wp:extent cx="467995" cy="1583865"/>
                                <wp:effectExtent l="0" t="0" r="0" b="0"/>
                                <wp:docPr id="2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FF714" id="Logo_2" o:spid="_x0000_s1029" type="#_x0000_t202" style="position:absolute;margin-left:277.75pt;margin-top:0;width:36.85pt;height:124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j45A7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130F485" w14:textId="77777777" w:rsidR="001D3DA3" w:rsidRDefault="00AD59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44353B" wp14:editId="50BAEBFA">
                          <wp:extent cx="467995" cy="1583865"/>
                          <wp:effectExtent l="0" t="0" r="0" b="0"/>
                          <wp:docPr id="2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436021" wp14:editId="2ACBBCF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3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335B4" w14:textId="77777777" w:rsidR="001D3DA3" w:rsidRDefault="00AD59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FBC3F7" wp14:editId="2E99B505">
                                <wp:extent cx="2339975" cy="1582834"/>
                                <wp:effectExtent l="0" t="0" r="0" b="0"/>
                                <wp:docPr id="4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VWS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436021" id="Woordmerk_2" o:spid="_x0000_s1030" type="#_x0000_t202" style="position:absolute;margin-left:314.6pt;margin-top:0;width:184.25pt;height:140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" filled="f" stroked="f">
              <v:textbox inset="0,0,0,0">
                <w:txbxContent>
                  <w:p w14:paraId="353335B4" w14:textId="77777777" w:rsidR="001D3DA3" w:rsidRDefault="00AD59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FBC3F7" wp14:editId="2E99B505">
                          <wp:extent cx="2339975" cy="1582834"/>
                          <wp:effectExtent l="0" t="0" r="0" b="0"/>
                          <wp:docPr id="4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51DF812" wp14:editId="49C2B3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A1BA9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DF812" id="Retourregel_2" o:spid="_x0000_s1031" type="#_x0000_t202" style="position:absolute;margin-left:79.35pt;margin-top:133.2pt;width:280.45pt;height:11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GwjH3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14:paraId="7C2A1BA9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64F52C" wp14:editId="351E8A4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BEFD4" w14:textId="77777777" w:rsidR="004A705B" w:rsidRDefault="00B838BB" w:rsidP="004A705B">
                          <w:r>
                            <w:t>Az egészségügyi ellátásért felelős miniszter rendelete</w:t>
                          </w:r>
                        </w:p>
                        <w:p w14:paraId="6DDC92F8" w14:textId="77777777" w:rsidR="001D3DA3" w:rsidRDefault="00AD598F">
                          <w:r>
                            <w:t>a Nutri-Score tudatos élelmiszerválasztást támogató logóként történő kijelöléséről és használati feltételei meghatározásáról (rendelet a tudatos élelmiszerválasztást támogató logóról)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4F52C" id="Toezendgegevens_2" o:spid="_x0000_s1032" type="#_x0000_t202" style="position:absolute;margin-left:79.35pt;margin-top:153.05pt;width:274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AR5/N4sQEAAEEDAAAOAAAAAAAAAAAAAAAAAC4CAABkcnMvZTJvRG9j&#10;LnhtbFBLAQItABQABgAIAAAAIQCW7QUW4AAAAAsBAAAPAAAAAAAAAAAAAAAAAAsEAABkcnMvZG93&#10;bnJldi54bWxQSwUGAAAAAAQABADzAAAAGAUAAAAA&#10;" filled="f" stroked="f">
              <v:textbox inset="0,0,0,0">
                <w:txbxContent>
                  <w:p w14:paraId="5E6BEFD4" w14:textId="77777777" w:rsidR="004A705B" w:rsidRDefault="00B838BB" w:rsidP="004A705B">
                    <w:r>
                      <w:t>Az egészségügyi ellátásért felelős miniszter rendelete</w:t>
                    </w:r>
                  </w:p>
                  <w:p w14:paraId="6DDC92F8" w14:textId="77777777" w:rsidR="001D3DA3" w:rsidRDefault="00AD598F">
                    <w:r>
                      <w:t>a Nutri-Score tudatos élelmiszerválasztást támogató logóként történő kijelöléséről és használati feltételei meghatározásáról (rendelet a tudatos élelmiszerválasztást támogató logóról)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AB91D8" wp14:editId="2406F35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0747E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AB91D8" id="Colofon_2" o:spid="_x0000_s1033" type="#_x0000_t202" style="position:absolute;margin-left:466.25pt;margin-top:153.05pt;width:99.2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Dz456z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76F0747E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9B16156" wp14:editId="64F0043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8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038BD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16156" id="Documentgegevens" o:spid="_x0000_s1034" type="#_x0000_t202" style="position:absolute;margin-left:79.35pt;margin-top:286.25pt;width:323.25pt;height:49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BurUUe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p w14:paraId="25B038BD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6DDD7D7" wp14:editId="67AE3F9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3C5B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DD7D7" id="Rubricering onder vervolgpagina" o:spid="_x0000_s1035" type="#_x0000_t202" style="position:absolute;margin-left:79.35pt;margin-top:805pt;width:141.7pt;height:14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2C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GvOvHTUou+7&#10;FokVkp0MfG4P9XcPdghyMF5my6YQG6p8DlSb5g8wU+uXfKRkdmLu0eUvaWR0TuYfzobrOTGVi27X&#10;65s7elnRGW1u65sMU71VB4zpSYNjORAcqaHFZ7n/HNPx6nIlP+bh0Vib85nikUqO0tzOJ5Un+i10&#10;B2JP0gh2BPzJ2URjIHh83UnUnNlPnnzOM7MEuATtEkivqFTwxNkx/JjKbC0EqGlFzWnA8lT8vi80&#10;336D7S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gFL9g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14:paraId="0C03C5B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2CAD163" wp14:editId="59CF7FA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994F7" w14:textId="3F98A9E6" w:rsidR="001D3DA3" w:rsidRDefault="00AD598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  <w:r>
                            <w:t>. oldal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AD163" id="Paginanummer_2" o:spid="_x0000_s1036" type="#_x0000_t202" style="position:absolute;margin-left:466.25pt;margin-top:805pt;width:99.2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" filled="f" stroked="f">
              <v:textbox inset="0,0,0,0">
                <w:txbxContent>
                  <w:p w14:paraId="7BF994F7" w14:textId="3F98A9E6" w:rsidR="001D3DA3" w:rsidRDefault="00AD598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  <w:r>
                      <w:t>. oldal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98EB1"/>
    <w:multiLevelType w:val="multilevel"/>
    <w:tmpl w:val="B68C1749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9F78B0"/>
    <w:multiLevelType w:val="multilevel"/>
    <w:tmpl w:val="056E134F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F67178F"/>
    <w:multiLevelType w:val="multilevel"/>
    <w:tmpl w:val="0D384133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B4F845B"/>
    <w:multiLevelType w:val="multilevel"/>
    <w:tmpl w:val="5975836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B326273"/>
    <w:multiLevelType w:val="multilevel"/>
    <w:tmpl w:val="0F4DEF7B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B0576"/>
    <w:multiLevelType w:val="hybridMultilevel"/>
    <w:tmpl w:val="A568F126"/>
    <w:lvl w:ilvl="0" w:tplc="F8242666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F02C"/>
    <w:multiLevelType w:val="multilevel"/>
    <w:tmpl w:val="4D06B33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21354C"/>
    <w:multiLevelType w:val="multilevel"/>
    <w:tmpl w:val="CC2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6A485"/>
    <w:multiLevelType w:val="multilevel"/>
    <w:tmpl w:val="626A65D8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2628A"/>
    <w:multiLevelType w:val="hybridMultilevel"/>
    <w:tmpl w:val="A1EEB4C2"/>
    <w:lvl w:ilvl="0" w:tplc="06B0CA34">
      <w:start w:val="2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3AE8"/>
    <w:multiLevelType w:val="multilevel"/>
    <w:tmpl w:val="2D2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A0500"/>
    <w:multiLevelType w:val="multilevel"/>
    <w:tmpl w:val="DE04C887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4C4937"/>
    <w:multiLevelType w:val="multilevel"/>
    <w:tmpl w:val="120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84E59"/>
    <w:multiLevelType w:val="multilevel"/>
    <w:tmpl w:val="B6BE33F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D6F5C"/>
    <w:multiLevelType w:val="multilevel"/>
    <w:tmpl w:val="F54C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30F6E"/>
    <w:multiLevelType w:val="multilevel"/>
    <w:tmpl w:val="ECC4E471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D0AE5"/>
    <w:multiLevelType w:val="hybridMultilevel"/>
    <w:tmpl w:val="E3E8E01A"/>
    <w:lvl w:ilvl="0" w:tplc="25048684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4B0"/>
    <w:multiLevelType w:val="hybridMultilevel"/>
    <w:tmpl w:val="9496EB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2754F"/>
    <w:multiLevelType w:val="multilevel"/>
    <w:tmpl w:val="345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808F8"/>
    <w:multiLevelType w:val="multilevel"/>
    <w:tmpl w:val="A8C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5CA64"/>
    <w:multiLevelType w:val="multilevel"/>
    <w:tmpl w:val="B34E25D5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B521B"/>
    <w:multiLevelType w:val="hybridMultilevel"/>
    <w:tmpl w:val="36CEC976"/>
    <w:lvl w:ilvl="0" w:tplc="4EF20B6A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F0370"/>
    <w:multiLevelType w:val="hybridMultilevel"/>
    <w:tmpl w:val="41C45572"/>
    <w:lvl w:ilvl="0" w:tplc="DCECCE5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D7643"/>
    <w:multiLevelType w:val="multilevel"/>
    <w:tmpl w:val="4E55278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40978"/>
    <w:multiLevelType w:val="multilevel"/>
    <w:tmpl w:val="FD5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E5FB6"/>
    <w:multiLevelType w:val="multilevel"/>
    <w:tmpl w:val="29F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23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24"/>
  </w:num>
  <w:num w:numId="19">
    <w:abstractNumId w:val="25"/>
  </w:num>
  <w:num w:numId="20">
    <w:abstractNumId w:val="9"/>
  </w:num>
  <w:num w:numId="21">
    <w:abstractNumId w:val="18"/>
  </w:num>
  <w:num w:numId="22">
    <w:abstractNumId w:val="19"/>
  </w:num>
  <w:num w:numId="23">
    <w:abstractNumId w:val="16"/>
  </w:num>
  <w:num w:numId="24">
    <w:abstractNumId w:val="21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5B"/>
    <w:rsid w:val="00002054"/>
    <w:rsid w:val="0000238B"/>
    <w:rsid w:val="00003D21"/>
    <w:rsid w:val="000069F4"/>
    <w:rsid w:val="000201E5"/>
    <w:rsid w:val="00032061"/>
    <w:rsid w:val="00056E4F"/>
    <w:rsid w:val="00073CDC"/>
    <w:rsid w:val="00087490"/>
    <w:rsid w:val="00091CAD"/>
    <w:rsid w:val="00092AD0"/>
    <w:rsid w:val="00093790"/>
    <w:rsid w:val="000B6DD5"/>
    <w:rsid w:val="000C0D4F"/>
    <w:rsid w:val="000C20F0"/>
    <w:rsid w:val="000C3C08"/>
    <w:rsid w:val="000C5F37"/>
    <w:rsid w:val="000E5170"/>
    <w:rsid w:val="000F3600"/>
    <w:rsid w:val="000F7DA6"/>
    <w:rsid w:val="001110B2"/>
    <w:rsid w:val="001138E4"/>
    <w:rsid w:val="00125CD6"/>
    <w:rsid w:val="00130455"/>
    <w:rsid w:val="001318E0"/>
    <w:rsid w:val="001411A4"/>
    <w:rsid w:val="0015731D"/>
    <w:rsid w:val="0016417C"/>
    <w:rsid w:val="001645BA"/>
    <w:rsid w:val="00173BE7"/>
    <w:rsid w:val="001773F0"/>
    <w:rsid w:val="0018665B"/>
    <w:rsid w:val="001926CF"/>
    <w:rsid w:val="001A6DE3"/>
    <w:rsid w:val="001D3DA3"/>
    <w:rsid w:val="001E6094"/>
    <w:rsid w:val="001F7164"/>
    <w:rsid w:val="002137C3"/>
    <w:rsid w:val="00222C7D"/>
    <w:rsid w:val="00225B04"/>
    <w:rsid w:val="00234127"/>
    <w:rsid w:val="0029125D"/>
    <w:rsid w:val="00295818"/>
    <w:rsid w:val="002A0E04"/>
    <w:rsid w:val="002A1E8B"/>
    <w:rsid w:val="002A39A6"/>
    <w:rsid w:val="002A4E62"/>
    <w:rsid w:val="002A6EAE"/>
    <w:rsid w:val="002A729E"/>
    <w:rsid w:val="002B5B58"/>
    <w:rsid w:val="002C14F0"/>
    <w:rsid w:val="002C2BDC"/>
    <w:rsid w:val="002E406B"/>
    <w:rsid w:val="002E6BBA"/>
    <w:rsid w:val="002F452C"/>
    <w:rsid w:val="002F7161"/>
    <w:rsid w:val="00311799"/>
    <w:rsid w:val="0032000B"/>
    <w:rsid w:val="00342B94"/>
    <w:rsid w:val="00354642"/>
    <w:rsid w:val="00356387"/>
    <w:rsid w:val="003670DB"/>
    <w:rsid w:val="003764D1"/>
    <w:rsid w:val="00380B6B"/>
    <w:rsid w:val="003A1990"/>
    <w:rsid w:val="003B6D53"/>
    <w:rsid w:val="0040278F"/>
    <w:rsid w:val="00410870"/>
    <w:rsid w:val="0041194B"/>
    <w:rsid w:val="004126C3"/>
    <w:rsid w:val="00417775"/>
    <w:rsid w:val="004336A6"/>
    <w:rsid w:val="00442EB9"/>
    <w:rsid w:val="0044500C"/>
    <w:rsid w:val="00445B54"/>
    <w:rsid w:val="00481E81"/>
    <w:rsid w:val="004A4147"/>
    <w:rsid w:val="004A6521"/>
    <w:rsid w:val="004A705B"/>
    <w:rsid w:val="004C6188"/>
    <w:rsid w:val="004D1294"/>
    <w:rsid w:val="004E6CE8"/>
    <w:rsid w:val="004F13EE"/>
    <w:rsid w:val="004F54A5"/>
    <w:rsid w:val="004F6FBB"/>
    <w:rsid w:val="00515A37"/>
    <w:rsid w:val="0054329A"/>
    <w:rsid w:val="00543811"/>
    <w:rsid w:val="00550565"/>
    <w:rsid w:val="005539D0"/>
    <w:rsid w:val="00583A2E"/>
    <w:rsid w:val="005853E0"/>
    <w:rsid w:val="005854A3"/>
    <w:rsid w:val="0059735F"/>
    <w:rsid w:val="005B411C"/>
    <w:rsid w:val="005C164B"/>
    <w:rsid w:val="005C3011"/>
    <w:rsid w:val="005E020A"/>
    <w:rsid w:val="005E0A76"/>
    <w:rsid w:val="005E6870"/>
    <w:rsid w:val="005F7494"/>
    <w:rsid w:val="00602B7B"/>
    <w:rsid w:val="0060779A"/>
    <w:rsid w:val="00631A11"/>
    <w:rsid w:val="006343E2"/>
    <w:rsid w:val="00647286"/>
    <w:rsid w:val="006500B2"/>
    <w:rsid w:val="00657D09"/>
    <w:rsid w:val="00672904"/>
    <w:rsid w:val="0068359E"/>
    <w:rsid w:val="0069144E"/>
    <w:rsid w:val="006A1888"/>
    <w:rsid w:val="006B58CF"/>
    <w:rsid w:val="006C4D06"/>
    <w:rsid w:val="00722709"/>
    <w:rsid w:val="0073118A"/>
    <w:rsid w:val="007374B7"/>
    <w:rsid w:val="007410CE"/>
    <w:rsid w:val="007477D4"/>
    <w:rsid w:val="007B2222"/>
    <w:rsid w:val="007C5CEB"/>
    <w:rsid w:val="007E23BC"/>
    <w:rsid w:val="007E7AA4"/>
    <w:rsid w:val="00820C71"/>
    <w:rsid w:val="00825935"/>
    <w:rsid w:val="00827498"/>
    <w:rsid w:val="00832798"/>
    <w:rsid w:val="0084066C"/>
    <w:rsid w:val="00844C95"/>
    <w:rsid w:val="00847DB7"/>
    <w:rsid w:val="008540DE"/>
    <w:rsid w:val="0086208F"/>
    <w:rsid w:val="00865636"/>
    <w:rsid w:val="008819B1"/>
    <w:rsid w:val="008A1456"/>
    <w:rsid w:val="008C7083"/>
    <w:rsid w:val="008D3E19"/>
    <w:rsid w:val="008E00E1"/>
    <w:rsid w:val="008E3830"/>
    <w:rsid w:val="008E7EEA"/>
    <w:rsid w:val="008F7DC6"/>
    <w:rsid w:val="00903408"/>
    <w:rsid w:val="00912F2D"/>
    <w:rsid w:val="00915D8D"/>
    <w:rsid w:val="00922266"/>
    <w:rsid w:val="00960A53"/>
    <w:rsid w:val="00972418"/>
    <w:rsid w:val="0097542A"/>
    <w:rsid w:val="00975BC7"/>
    <w:rsid w:val="00985F0D"/>
    <w:rsid w:val="009A2163"/>
    <w:rsid w:val="009A2707"/>
    <w:rsid w:val="009B120B"/>
    <w:rsid w:val="009D0081"/>
    <w:rsid w:val="009D56E6"/>
    <w:rsid w:val="009D6971"/>
    <w:rsid w:val="009E2ED4"/>
    <w:rsid w:val="00A05B97"/>
    <w:rsid w:val="00A06BBD"/>
    <w:rsid w:val="00A17BBC"/>
    <w:rsid w:val="00A20C01"/>
    <w:rsid w:val="00A31F7A"/>
    <w:rsid w:val="00A478A5"/>
    <w:rsid w:val="00A5198C"/>
    <w:rsid w:val="00A55A02"/>
    <w:rsid w:val="00A80B59"/>
    <w:rsid w:val="00A81303"/>
    <w:rsid w:val="00A86455"/>
    <w:rsid w:val="00A92440"/>
    <w:rsid w:val="00A978BD"/>
    <w:rsid w:val="00AB3C6B"/>
    <w:rsid w:val="00AB4316"/>
    <w:rsid w:val="00AB690C"/>
    <w:rsid w:val="00AD0F88"/>
    <w:rsid w:val="00AD13A3"/>
    <w:rsid w:val="00AD598F"/>
    <w:rsid w:val="00AE3978"/>
    <w:rsid w:val="00AF381B"/>
    <w:rsid w:val="00AF5380"/>
    <w:rsid w:val="00AF7CFF"/>
    <w:rsid w:val="00B0354D"/>
    <w:rsid w:val="00B06D38"/>
    <w:rsid w:val="00B26812"/>
    <w:rsid w:val="00B318C5"/>
    <w:rsid w:val="00B4164D"/>
    <w:rsid w:val="00B4175F"/>
    <w:rsid w:val="00B47EB5"/>
    <w:rsid w:val="00B51511"/>
    <w:rsid w:val="00B551A8"/>
    <w:rsid w:val="00B658D6"/>
    <w:rsid w:val="00B722CE"/>
    <w:rsid w:val="00B73326"/>
    <w:rsid w:val="00B838BB"/>
    <w:rsid w:val="00B8560F"/>
    <w:rsid w:val="00B942E3"/>
    <w:rsid w:val="00BA4030"/>
    <w:rsid w:val="00BB27FD"/>
    <w:rsid w:val="00BC191E"/>
    <w:rsid w:val="00BD77BD"/>
    <w:rsid w:val="00BF0CBB"/>
    <w:rsid w:val="00C17BC6"/>
    <w:rsid w:val="00C21A25"/>
    <w:rsid w:val="00C34790"/>
    <w:rsid w:val="00C37714"/>
    <w:rsid w:val="00C45077"/>
    <w:rsid w:val="00C46947"/>
    <w:rsid w:val="00C6036F"/>
    <w:rsid w:val="00CA0B75"/>
    <w:rsid w:val="00CA72B7"/>
    <w:rsid w:val="00CB0E9D"/>
    <w:rsid w:val="00CE56A3"/>
    <w:rsid w:val="00CE650A"/>
    <w:rsid w:val="00D075B6"/>
    <w:rsid w:val="00D308B3"/>
    <w:rsid w:val="00D40FA0"/>
    <w:rsid w:val="00D4113B"/>
    <w:rsid w:val="00D8085E"/>
    <w:rsid w:val="00D83FCC"/>
    <w:rsid w:val="00DA7887"/>
    <w:rsid w:val="00DB0C47"/>
    <w:rsid w:val="00DC7A50"/>
    <w:rsid w:val="00DD19AA"/>
    <w:rsid w:val="00DE13B4"/>
    <w:rsid w:val="00DF62F0"/>
    <w:rsid w:val="00E12674"/>
    <w:rsid w:val="00E3309F"/>
    <w:rsid w:val="00E8090B"/>
    <w:rsid w:val="00E9001A"/>
    <w:rsid w:val="00EA0AE5"/>
    <w:rsid w:val="00EB0438"/>
    <w:rsid w:val="00ED4A6F"/>
    <w:rsid w:val="00EE25A3"/>
    <w:rsid w:val="00EF18D5"/>
    <w:rsid w:val="00F00BDC"/>
    <w:rsid w:val="00F46049"/>
    <w:rsid w:val="00F71B2E"/>
    <w:rsid w:val="00F74B52"/>
    <w:rsid w:val="00F81810"/>
    <w:rsid w:val="00F86F42"/>
    <w:rsid w:val="00F92495"/>
    <w:rsid w:val="00F95E33"/>
    <w:rsid w:val="00F97220"/>
    <w:rsid w:val="00FB1A2B"/>
    <w:rsid w:val="00FB514C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98DB"/>
  <w15:docId w15:val="{AA7816C2-04C9-4FE6-92AD-B47609E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hu-HU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BGAdviesaanvraagLijst">
    <w:name w:val="CIBG Adviesaanvraag Lijst"/>
    <w:basedOn w:val="Normal"/>
    <w:next w:val="Normal"/>
    <w:pPr>
      <w:spacing w:after="60"/>
    </w:pPr>
    <w:rPr>
      <w:b/>
    </w:rPr>
  </w:style>
  <w:style w:type="paragraph" w:customStyle="1" w:styleId="CIBGAdviesaanvraagLijstKop1">
    <w:name w:val="CIBG Adviesaanvraag Lijst Kop 1"/>
    <w:basedOn w:val="Normal"/>
    <w:next w:val="Normal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Normal"/>
    <w:next w:val="Normal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Normal"/>
    <w:next w:val="Normal"/>
    <w:pPr>
      <w:spacing w:before="240"/>
    </w:pPr>
  </w:style>
  <w:style w:type="paragraph" w:customStyle="1" w:styleId="CIBGBezwaarschriftenbrief">
    <w:name w:val="CIBG Bezwaarschriftenbrief"/>
    <w:basedOn w:val="Normal"/>
    <w:next w:val="Normal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Normal"/>
    <w:next w:val="Normal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Normal"/>
    <w:next w:val="Normal"/>
    <w:rPr>
      <w:color w:val="EF0A0A"/>
    </w:rPr>
  </w:style>
  <w:style w:type="paragraph" w:customStyle="1" w:styleId="CIBGVoorlegmemoitalicV10">
    <w:name w:val="CIBG Voorlegmemo italic V10"/>
    <w:basedOn w:val="Normal"/>
    <w:next w:val="Normal"/>
    <w:rPr>
      <w:i/>
      <w:sz w:val="20"/>
      <w:szCs w:val="20"/>
    </w:rPr>
  </w:style>
  <w:style w:type="paragraph" w:customStyle="1" w:styleId="CIBGVoorlegmemoTitel">
    <w:name w:val="CIBG Voorlegmemo Titel"/>
    <w:basedOn w:val="Normal"/>
    <w:next w:val="Normal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Normal"/>
    <w:next w:val="Normal"/>
    <w:rPr>
      <w:b/>
      <w:i/>
      <w:sz w:val="13"/>
      <w:szCs w:val="13"/>
    </w:rPr>
  </w:style>
  <w:style w:type="paragraph" w:customStyle="1" w:styleId="CIBGDocumentnaamv14vet">
    <w:name w:val="CIBG_Documentnaam v14 vet"/>
    <w:basedOn w:val="Normal"/>
    <w:next w:val="Normal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Normal"/>
    <w:next w:val="Normal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Normal"/>
    <w:next w:val="Normal"/>
    <w:pPr>
      <w:spacing w:after="720" w:line="300" w:lineRule="exact"/>
    </w:p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Normal"/>
    <w:next w:val="Normal"/>
  </w:style>
  <w:style w:type="paragraph" w:customStyle="1" w:styleId="Huisstijlnummering">
    <w:name w:val="Huisstijl nummering"/>
    <w:basedOn w:val="Normal"/>
    <w:next w:val="Normal"/>
    <w:pPr>
      <w:tabs>
        <w:tab w:val="left" w:pos="0"/>
      </w:tabs>
      <w:ind w:left="-1120"/>
    </w:pPr>
  </w:style>
  <w:style w:type="paragraph" w:customStyle="1" w:styleId="IGJAgenda">
    <w:name w:val="IGJ Agenda"/>
    <w:basedOn w:val="Normal"/>
    <w:next w:val="Normal"/>
  </w:style>
  <w:style w:type="paragraph" w:customStyle="1" w:styleId="IGJMinuteVerdana7">
    <w:name w:val="IGJ Minute Verdana 7"/>
    <w:basedOn w:val="Normal"/>
    <w:next w:val="Normal"/>
    <w:rPr>
      <w:sz w:val="14"/>
      <w:szCs w:val="14"/>
    </w:rPr>
  </w:style>
  <w:style w:type="paragraph" w:customStyle="1" w:styleId="IGJNotaterbesluitvorming">
    <w:name w:val="IGJ Nota ter besluitvorming"/>
    <w:basedOn w:val="Normal"/>
    <w:next w:val="Normal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Normal"/>
    <w:next w:val="Normal"/>
    <w:pPr>
      <w:numPr>
        <w:numId w:val="5"/>
      </w:numPr>
    </w:pPr>
  </w:style>
  <w:style w:type="paragraph" w:customStyle="1" w:styleId="IGJNotaterbesluitvorminglijst">
    <w:name w:val="IGJ Nota ter besluitvorming lijst"/>
    <w:basedOn w:val="Normal"/>
    <w:next w:val="Normal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Normal"/>
    <w:next w:val="Normal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Normal"/>
    <w:next w:val="Normal"/>
  </w:style>
  <w:style w:type="paragraph" w:customStyle="1" w:styleId="IGJVoorhangv7">
    <w:name w:val="IGJ Voorhang v7"/>
    <w:basedOn w:val="Normal"/>
    <w:next w:val="Normal"/>
    <w:rPr>
      <w:sz w:val="14"/>
      <w:szCs w:val="14"/>
    </w:rPr>
  </w:style>
  <w:style w:type="paragraph" w:customStyle="1" w:styleId="IGJVoorhangv7b">
    <w:name w:val="IGJ Voorhang v7 b"/>
    <w:basedOn w:val="Normal"/>
    <w:next w:val="Normal"/>
    <w:rPr>
      <w:b/>
      <w:sz w:val="14"/>
      <w:szCs w:val="14"/>
    </w:rPr>
  </w:style>
  <w:style w:type="paragraph" w:customStyle="1" w:styleId="IGJVoorhangnota">
    <w:name w:val="IGJ Voorhangnota"/>
    <w:basedOn w:val="Normal"/>
    <w:next w:val="Normal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Normal"/>
    <w:next w:val="Normal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Normal"/>
    <w:next w:val="Normal"/>
    <w:pPr>
      <w:spacing w:before="200"/>
    </w:pPr>
    <w:rPr>
      <w:b/>
    </w:rPr>
  </w:style>
  <w:style w:type="paragraph" w:customStyle="1" w:styleId="IJZPlanvanAanpaknummer">
    <w:name w:val="IJZ Plan van Aanpak nummer"/>
    <w:basedOn w:val="Normal"/>
    <w:next w:val="Normal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Normal"/>
    <w:next w:val="Normal"/>
    <w:pPr>
      <w:spacing w:before="240"/>
    </w:pPr>
    <w:rPr>
      <w:b/>
    </w:rPr>
  </w:style>
  <w:style w:type="paragraph" w:customStyle="1" w:styleId="IJZRapportA">
    <w:name w:val="IJZ Rapport A"/>
    <w:basedOn w:val="Normal"/>
    <w:next w:val="Normal"/>
    <w:pPr>
      <w:spacing w:before="240"/>
    </w:pPr>
    <w:rPr>
      <w:b/>
    </w:rPr>
  </w:style>
  <w:style w:type="paragraph" w:customStyle="1" w:styleId="IJZUitvoeringsplan">
    <w:name w:val="IJZ Uitvoeringsplan"/>
    <w:basedOn w:val="Normal"/>
    <w:next w:val="Normal"/>
    <w:pPr>
      <w:numPr>
        <w:ilvl w:val="1"/>
        <w:numId w:val="7"/>
      </w:numPr>
      <w:spacing w:before="240"/>
    </w:pPr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ind w:left="-1120"/>
    </w:pPr>
  </w:style>
  <w:style w:type="paragraph" w:styleId="TOC2">
    <w:name w:val="toc 2"/>
    <w:basedOn w:val="TOC1"/>
    <w:next w:val="Normal"/>
    <w:pPr>
      <w:spacing w:before="240"/>
    </w:pPr>
    <w:rPr>
      <w:b/>
    </w:rPr>
  </w:style>
  <w:style w:type="paragraph" w:styleId="TOC3">
    <w:name w:val="toc 3"/>
    <w:basedOn w:val="TOC2"/>
    <w:next w:val="Normal"/>
    <w:pPr>
      <w:spacing w:before="0"/>
    </w:pPr>
    <w:rPr>
      <w:b w:val="0"/>
    </w:rPr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Lijstniveau1">
    <w:name w:val="Lijst niveau 1"/>
    <w:basedOn w:val="Normal"/>
    <w:pPr>
      <w:numPr>
        <w:numId w:val="8"/>
      </w:numPr>
    </w:pPr>
  </w:style>
  <w:style w:type="paragraph" w:customStyle="1" w:styleId="Lijstniveau2">
    <w:name w:val="Lijst niveau 2"/>
    <w:basedOn w:val="Normal"/>
    <w:pPr>
      <w:numPr>
        <w:ilvl w:val="1"/>
        <w:numId w:val="8"/>
      </w:numPr>
    </w:pPr>
  </w:style>
  <w:style w:type="paragraph" w:customStyle="1" w:styleId="Lijstniveau3">
    <w:name w:val="Lijst niveau 3"/>
    <w:basedOn w:val="Normal"/>
    <w:pPr>
      <w:numPr>
        <w:ilvl w:val="2"/>
        <w:numId w:val="8"/>
      </w:numPr>
    </w:p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Normal"/>
    <w:next w:val="Normal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Normal"/>
    <w:next w:val="Normal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Normal"/>
    <w:next w:val="Normal"/>
    <w:pPr>
      <w:spacing w:before="100" w:after="240"/>
    </w:pPr>
  </w:style>
  <w:style w:type="paragraph" w:customStyle="1" w:styleId="StandaardAfzendgegevens">
    <w:name w:val="Standaard_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Normal"/>
    <w:next w:val="Normal"/>
    <w:rPr>
      <w:i/>
      <w:sz w:val="13"/>
      <w:szCs w:val="13"/>
    </w:rPr>
  </w:style>
  <w:style w:type="paragraph" w:customStyle="1" w:styleId="StandaardAfzendgegevenskop">
    <w:name w:val="Standaard_Afzend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Normal"/>
    <w:next w:val="Normal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Normal"/>
    <w:rPr>
      <w:i/>
    </w:rPr>
  </w:style>
  <w:style w:type="paragraph" w:customStyle="1" w:styleId="StandaardReferentiegegevenskop">
    <w:name w:val="Standaard_Referentiegegevens_kop"/>
    <w:basedOn w:val="Normal"/>
    <w:next w:val="Normal"/>
    <w:rPr>
      <w:b/>
      <w:sz w:val="13"/>
      <w:szCs w:val="13"/>
    </w:rPr>
  </w:style>
  <w:style w:type="paragraph" w:customStyle="1" w:styleId="StandaardSlotzin">
    <w:name w:val="Standaard_Slotzin"/>
    <w:basedOn w:val="Normal"/>
    <w:next w:val="Normal"/>
    <w:pPr>
      <w:spacing w:before="240"/>
    </w:pPr>
  </w:style>
  <w:style w:type="paragraph" w:customStyle="1" w:styleId="StandaardV9Italic">
    <w:name w:val="Standaard_V9_Italic"/>
    <w:basedOn w:val="Normal"/>
    <w:next w:val="Normal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Normal"/>
    <w:next w:val="Normal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Normal"/>
    <w:next w:val="Normal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Normal"/>
    <w:next w:val="Normal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Normal"/>
    <w:next w:val="Normal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Normal"/>
    <w:next w:val="Normal"/>
    <w:rPr>
      <w:b/>
    </w:rPr>
  </w:style>
  <w:style w:type="paragraph" w:customStyle="1" w:styleId="VWSAMvB">
    <w:name w:val="VWS AMvB"/>
    <w:basedOn w:val="Normal"/>
    <w:next w:val="Normal"/>
    <w:pPr>
      <w:spacing w:before="480"/>
    </w:pPr>
  </w:style>
  <w:style w:type="paragraph" w:customStyle="1" w:styleId="VWSBlauweBrief">
    <w:name w:val="VWS Blauwe Brief"/>
    <w:basedOn w:val="Normal"/>
    <w:next w:val="Normal"/>
    <w:pPr>
      <w:spacing w:before="760" w:after="240"/>
    </w:pPr>
  </w:style>
  <w:style w:type="paragraph" w:customStyle="1" w:styleId="VWSColofonItalic65Bold">
    <w:name w:val="VWS Colofon Italic 6;5 Bold"/>
    <w:basedOn w:val="Normal"/>
    <w:next w:val="Normal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Normal"/>
    <w:next w:val="Normal"/>
    <w:pPr>
      <w:jc w:val="right"/>
    </w:pPr>
  </w:style>
  <w:style w:type="paragraph" w:customStyle="1" w:styleId="VWSNtb">
    <w:name w:val="VWS Ntb"/>
    <w:basedOn w:val="Normal"/>
    <w:next w:val="Normal"/>
    <w:pPr>
      <w:numPr>
        <w:ilvl w:val="1"/>
        <w:numId w:val="11"/>
      </w:numPr>
    </w:pPr>
  </w:style>
  <w:style w:type="paragraph" w:customStyle="1" w:styleId="VWSNtb-inspringen">
    <w:name w:val="VWS Ntb - inspringen"/>
    <w:basedOn w:val="Normal"/>
    <w:next w:val="Normal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Normal"/>
    <w:next w:val="Normal"/>
  </w:style>
  <w:style w:type="paragraph" w:customStyle="1" w:styleId="VWSNtbinspringenklik">
    <w:name w:val="VWS Ntb inspringen klik"/>
    <w:basedOn w:val="Normal"/>
    <w:next w:val="Normal"/>
    <w:pPr>
      <w:numPr>
        <w:numId w:val="10"/>
      </w:numPr>
    </w:pPr>
  </w:style>
  <w:style w:type="paragraph" w:customStyle="1" w:styleId="VWSNtbKop">
    <w:name w:val="VWS Ntb Kop"/>
    <w:basedOn w:val="Normal"/>
    <w:next w:val="Normal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Normal"/>
    <w:next w:val="Normal"/>
  </w:style>
  <w:style w:type="paragraph" w:customStyle="1" w:styleId="VWSStartnota">
    <w:name w:val="VWS Startnota"/>
    <w:basedOn w:val="Normal"/>
    <w:next w:val="Normal"/>
  </w:style>
  <w:style w:type="paragraph" w:customStyle="1" w:styleId="VWSStartnotaKop1">
    <w:name w:val="VWS Startnota Kop 1"/>
    <w:basedOn w:val="Normal"/>
    <w:next w:val="Normal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Normal"/>
    <w:next w:val="Normal"/>
    <w:rPr>
      <w:sz w:val="20"/>
      <w:szCs w:val="20"/>
    </w:rPr>
  </w:style>
  <w:style w:type="paragraph" w:customStyle="1" w:styleId="VWSStartnotaV8italic">
    <w:name w:val="VWS Startnota V8 italic"/>
    <w:basedOn w:val="Normal"/>
    <w:next w:val="Normal"/>
    <w:rPr>
      <w:i/>
      <w:sz w:val="16"/>
      <w:szCs w:val="16"/>
    </w:rPr>
  </w:style>
  <w:style w:type="paragraph" w:customStyle="1" w:styleId="VWSToespraakbodytekstV14">
    <w:name w:val="VWS Toespraak bodytekst V14"/>
    <w:basedOn w:val="Normal"/>
    <w:next w:val="Normal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Normal"/>
    <w:next w:val="Normal"/>
    <w:rPr>
      <w:sz w:val="13"/>
      <w:szCs w:val="13"/>
    </w:rPr>
  </w:style>
  <w:style w:type="paragraph" w:customStyle="1" w:styleId="VWSVoordrachtDatum">
    <w:name w:val="VWS Voordracht Datum"/>
    <w:basedOn w:val="Normal"/>
    <w:next w:val="Normal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5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8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8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9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98"/>
    <w:rPr>
      <w:rFonts w:ascii="Verdana" w:hAnsi="Verdana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8F7DC6"/>
    <w:rPr>
      <w:i/>
      <w:iCs/>
    </w:rPr>
  </w:style>
  <w:style w:type="paragraph" w:styleId="NormalWeb">
    <w:name w:val="Normal (Web)"/>
    <w:basedOn w:val="Normal"/>
    <w:uiPriority w:val="99"/>
    <w:unhideWhenUsed/>
    <w:rsid w:val="008F7DC6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658D6"/>
    <w:pPr>
      <w:autoSpaceDN/>
      <w:spacing w:line="240" w:lineRule="auto"/>
      <w:textAlignment w:val="auto"/>
    </w:pPr>
    <w:rPr>
      <w:rFonts w:ascii="Univers" w:eastAsia="Times New Roman" w:hAnsi="Univers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8D6"/>
    <w:rPr>
      <w:rFonts w:ascii="Univers" w:eastAsia="Times New Roman" w:hAnsi="Univers" w:cs="Times New Roman"/>
    </w:rPr>
  </w:style>
  <w:style w:type="character" w:styleId="FootnoteReference">
    <w:name w:val="footnote reference"/>
    <w:basedOn w:val="DefaultParagraphFont"/>
    <w:uiPriority w:val="99"/>
    <w:semiHidden/>
    <w:rsid w:val="00B658D6"/>
    <w:rPr>
      <w:vertAlign w:val="superscript"/>
    </w:rPr>
  </w:style>
  <w:style w:type="character" w:styleId="Strong">
    <w:name w:val="Strong"/>
    <w:basedOn w:val="DefaultParagraphFont"/>
    <w:uiPriority w:val="22"/>
    <w:qFormat/>
    <w:rsid w:val="002A729E"/>
    <w:rPr>
      <w:b/>
      <w:bCs/>
    </w:rPr>
  </w:style>
  <w:style w:type="paragraph" w:customStyle="1" w:styleId="tussenkop">
    <w:name w:val="tussenkop"/>
    <w:basedOn w:val="Normal"/>
    <w:rsid w:val="002A729E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2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137C3"/>
    <w:pPr>
      <w:autoSpaceDN/>
      <w:spacing w:before="120" w:after="120" w:line="240" w:lineRule="auto"/>
      <w:jc w:val="both"/>
      <w:textAlignment w:val="auto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Marker">
    <w:name w:val="Marker"/>
    <w:basedOn w:val="DefaultParagraphFont"/>
    <w:rsid w:val="002137C3"/>
    <w:rPr>
      <w:color w:val="0000FF"/>
      <w:shd w:val="clear" w:color="auto" w:fill="auto"/>
    </w:rPr>
  </w:style>
  <w:style w:type="paragraph" w:customStyle="1" w:styleId="Default">
    <w:name w:val="Default"/>
    <w:rsid w:val="00672904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E7EEA"/>
    <w:rPr>
      <w:rFonts w:ascii="Verdana" w:hAnsi="Verdana"/>
      <w:color w:val="000000"/>
      <w:sz w:val="18"/>
      <w:szCs w:val="18"/>
    </w:rPr>
  </w:style>
  <w:style w:type="paragraph" w:customStyle="1" w:styleId="ti-art">
    <w:name w:val="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i-art">
    <w:name w:val="s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ard1">
    <w:name w:val="Standaard1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jksoverheid.nl/" TargetMode="External"/><Relationship Id="rId1" Type="http://schemas.openxmlformats.org/officeDocument/2006/relationships/hyperlink" Target="https://www.rijksoverheid.n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EMSGJJ\AppData\Local\Microsoft\Windows\INetCache\IE\BUYRAFI3\Beslui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2307-48C5-4E10-9E1E-10B17B6F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Besluit.dotx</Template>
  <TotalTime>8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Willems, G.J.J. (Anna)</dc:creator>
  <cp:lastModifiedBy>Dimitris Dimitriadis</cp:lastModifiedBy>
  <cp:revision>5</cp:revision>
  <cp:lastPrinted>2019-05-15T13:40:00Z</cp:lastPrinted>
  <dcterms:created xsi:type="dcterms:W3CDTF">2021-07-27T20:03:00Z</dcterms:created>
  <dcterms:modified xsi:type="dcterms:W3CDTF">2021-08-11T16:11:00Z</dcterms:modified>
</cp:coreProperties>
</file>