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Medicinos priežiūros ministras,</w:t>
      </w:r>
    </w:p>
    <w:p w14:paraId="4277AAE7" w14:textId="0746FA92" w:rsidR="001D3DA3" w:rsidRDefault="00AD598F" w:rsidP="008D3E19">
      <w:pPr>
        <w:pStyle w:val="NoSpacing"/>
        <w:spacing w:line="276" w:lineRule="auto"/>
        <w:rPr>
          <w:color w:val="000000" w:themeColor="text1"/>
        </w:rPr>
      </w:pPr>
      <w:r>
        <w:t xml:space="preserve"> </w:t>
      </w:r>
      <w:r>
        <w:br/>
      </w:r>
      <w:r>
        <w:t xml:space="preserve">atsižvelgdamas į:</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2011 m. spalio 25 d. Europos Parlamento ir Tarybos reglamento (ES) Nr. 1169/2011 dėl 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(OL 2011 L 304), 36 ir 38 straipsnius,</w:t>
      </w:r>
    </w:p>
    <w:p w14:paraId="4F7579B4" w14:textId="00829AA7" w:rsidR="00BD77BD" w:rsidRDefault="00BD77BD" w:rsidP="00BD77BD">
      <w:pPr>
        <w:pStyle w:val="ListParagraph"/>
        <w:numPr>
          <w:ilvl w:val="0"/>
          <w:numId w:val="26"/>
        </w:numPr>
        <w:autoSpaceDN/>
        <w:spacing w:line="276" w:lineRule="auto"/>
        <w:textAlignment w:val="auto"/>
      </w:pPr>
      <w:r>
        <w:t xml:space="preserve">2006 m. gruodžio 20 d. Europos Parlamento ir Tarybos reglamento (EB) Nr. 1924/2006 dėl teiginių apie maisto produktų maistingumą ir sveikatingumą (OL 2006 L 404) 8 ir 23 straipsnius,</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11 straipsnį,</w:t>
      </w:r>
      <w:r>
        <w:t xml:space="preserve"> </w:t>
      </w:r>
      <w:r>
        <w:t xml:space="preserve">Prekių įstatymo dėl informacijos apie maistą dekreto pirmą ir trečią pastraipas,</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nutarė:</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1 straipsnis</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Šiame reglamente vartojami šie terminai ir apibrėžtys:</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 –</w:t>
      </w:r>
      <w:r>
        <w:rPr>
          <w:color w:val="000000" w:themeColor="text1"/>
          <w:i/>
        </w:rPr>
        <w:t xml:space="preserve"> </w:t>
      </w:r>
      <w:r>
        <w:rPr>
          <w:color w:val="000000" w:themeColor="text1"/>
        </w:rPr>
        <w:t xml:space="preserve">ES prekių ženklas, kurį Europos Sąjungos intelektinės nuosavybės tarnyboje įregistravo </w:t>
      </w:r>
      <w:r>
        <w:rPr>
          <w:color w:val="000000" w:themeColor="text1"/>
          <w:i/>
          <w:iCs/>
        </w:rPr>
        <w:t xml:space="preserve">Santé publique France</w:t>
      </w:r>
      <w:r>
        <w:rPr>
          <w:color w:val="000000" w:themeColor="text1"/>
        </w:rPr>
        <w:t xml:space="preserve"> (</w:t>
      </w:r>
      <w:r>
        <w:rPr>
          <w:color w:val="000000" w:themeColor="text1"/>
          <w:i/>
          <w:iCs/>
        </w:rPr>
        <w:t xml:space="preserve">l’agence nationale de santé publique</w:t>
      </w:r>
      <w:r>
        <w:rPr>
          <w:color w:val="000000" w:themeColor="text1"/>
        </w:rPr>
        <w:t xml:space="preserve">);</w:t>
      </w:r>
      <w:r>
        <w:rPr>
          <w:color w:val="000000" w:themeColor="text1"/>
          <w:i/>
        </w:rPr>
        <w:br/>
      </w:r>
      <w:r>
        <w:t xml:space="preserve">naudojimo sąlygos – „Nutri-Score“ naudojimo taisyklės, paskelbtos </w:t>
      </w:r>
      <w:r>
        <w:rPr>
          <w:b/>
        </w:rPr>
        <w:t xml:space="preserve">P.M.</w:t>
      </w:r>
      <w:r>
        <w:t xml:space="preserve">, pavadinimu „Nutri-Score“ logotipo naudojimo sąlygos, 2020 m. liepos 10 d. versija“.</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2 straipsnis</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„Nutri-Score“ logotipas ir jo naudojimo sąlygos laikomos maisto produktų pasirinkimo logotipu.</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3 straipsnis</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Šis susitarimas įsigalioja nuo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4 straipsnis</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Šis sprendimas cituojamas taip:</w:t>
      </w:r>
      <w:r>
        <w:rPr>
          <w:color w:val="000000" w:themeColor="text1"/>
        </w:rPr>
        <w:t xml:space="preserve"> </w:t>
      </w:r>
      <w:r>
        <w:rPr>
          <w:color w:val="000000" w:themeColor="text1"/>
        </w:rPr>
        <w:t xml:space="preserve">Prekių teisės reglamentas dėl maisto produktų pasirinkimo logotipo.</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Šis reglamentas ir jo aiškinamosios pastabos skelbiami Oficialiajame vyriausybės leidinyje.</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Medicinos priežiūros ministrė</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AIŠKINAMOSIOS PASTABOS</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Bendrosios nuostatos</w:t>
      </w:r>
    </w:p>
    <w:p w14:paraId="522F9288" w14:textId="42F9642B" w:rsidR="00CE650A" w:rsidRDefault="00D83FCC" w:rsidP="00D83FCC">
      <w:pPr>
        <w:pStyle w:val="NoSpacing"/>
        <w:spacing w:line="276" w:lineRule="auto"/>
        <w:rPr>
          <w:i/>
        </w:rPr>
      </w:pPr>
      <w:r>
        <w:rPr>
          <w:i/>
        </w:rPr>
        <w:br/>
      </w:r>
      <w:r>
        <w:rPr>
          <w:i/>
        </w:rPr>
        <w:t xml:space="preserve">Pagrindas</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Nacionalinis prevencijos susitarimas</w:t>
      </w:r>
      <w:r w:rsidR="00125CD6">
        <w:rPr>
          <w:rStyle w:val="FootnoteReference"/>
        </w:rPr>
        <w:footnoteReference w:id="1"/>
      </w:r>
      <w:r>
        <w:t xml:space="preserve"> buvo priimtas 2018 m. lapkričio 23 d.</w:t>
      </w:r>
      <w:r>
        <w:t xml:space="preserve"> </w:t>
      </w:r>
      <w:r>
        <w:t xml:space="preserve">Jis apima vyriausybės ir daugiau kaip 70 šalių sudarytus susitarimus imtis priemonių kovoti su antsvoriu, rūkymu ir alkoholio vartojimu.</w:t>
      </w:r>
      <w:r>
        <w:t xml:space="preserve"> </w:t>
      </w:r>
      <w:r>
        <w:t xml:space="preserve">Pasirašiusieji yra skėtinės priežiūros organizacijos, pacientų organizacijos, įmonės, savivaldybės ir švietimo įstaigos.</w:t>
      </w:r>
      <w:r>
        <w:t xml:space="preserve"> </w:t>
      </w:r>
      <w:r>
        <w:t xml:space="preserve">Nacionaliniame prevencijos susitarime numatytos kelios sveikos mitybos srities priemonės.</w:t>
      </w:r>
      <w:r>
        <w:t xml:space="preserve"> </w:t>
      </w:r>
      <w:r>
        <w:t xml:space="preserve">Sveika mityba yra svarbi visiems, ne tik antsvorio turintiems žmonėms.</w:t>
      </w:r>
      <w:r>
        <w:t xml:space="preserve"> </w:t>
      </w:r>
      <w:r>
        <w:t xml:space="preserve">Siekiant padidinti vartotojų informuotumą apie sveikesnius pasirinkimus, nacionaliniame prevencijos susitarime buvo susitarta, kad Nyderlandų vyriausybė 2020 m. įdiegs naują plačiai naudojamą maisto produktų pasirinkimo logotipą.</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Buvo reikalaujama, kad logotipo pasirinkimas būtų pagrįstas patikimais ir nepriklausomais vartotojų tyrimais.</w:t>
      </w:r>
      <w:r>
        <w:t xml:space="preserve"> </w:t>
      </w:r>
      <w:r>
        <w:t xml:space="preserve">Taip pat buvo manoma, kad labai svarbu, jog pasirinktas logotipas atitiktų tai, kaip žmonės renkasi: vartotojų supratimas turėjo būti svarbiausias.</w:t>
      </w:r>
      <w:r>
        <w:t xml:space="preserve"> </w:t>
      </w:r>
      <w:r>
        <w:t xml:space="preserve">Priimant sprendimą taip pat reikėtų atsižvelgti į „Five Disk“ ir galiausiai į Europos pokyčius maisto produktų pasirinkimo logotipų srityje.</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Procesas</w:t>
      </w:r>
      <w:r>
        <w:rPr>
          <w:i/>
        </w:rPr>
        <w:br/>
      </w:r>
    </w:p>
    <w:p w14:paraId="15D74CD7" w14:textId="77777777" w:rsidR="004F54A5" w:rsidRDefault="004F54A5" w:rsidP="008D3E19">
      <w:pPr>
        <w:pStyle w:val="NoSpacing"/>
        <w:spacing w:line="276" w:lineRule="auto"/>
      </w:pPr>
      <w:r>
        <w:t xml:space="preserve">Nuo 2018 m. lapkričio mėn. pradėtas darbas, kuriuo siekiama įgyvendinti pirmiau minėtą susitarimą pagal nacionalinį prevencijos susitarimą.</w:t>
      </w:r>
    </w:p>
    <w:p w14:paraId="7FAB8B53" w14:textId="77777777" w:rsidR="001110B2" w:rsidRDefault="0029125D" w:rsidP="008D3E19">
      <w:pPr>
        <w:pStyle w:val="NoSpacing"/>
        <w:spacing w:line="276" w:lineRule="auto"/>
      </w:pPr>
      <w:r>
        <w:t xml:space="preserve">Rengiant maisto produktų pasirinkimo logotipo pasirinkimo sąlygas, konsultuotasi su įvairiomis šalimis.</w:t>
      </w:r>
      <w:r>
        <w:t xml:space="preserve"> </w:t>
      </w:r>
      <w:r>
        <w:t xml:space="preserve">Sprendimų priėmimo procese dalyvauja Vartotojų asociacija, kooperatiniai sveikatos fondai (</w:t>
      </w:r>
      <w:r>
        <w:rPr>
          <w:i/>
          <w:iCs/>
        </w:rPr>
        <w:t xml:space="preserve">Hartstichting</w:t>
      </w:r>
      <w:r>
        <w:t xml:space="preserve">, </w:t>
      </w:r>
      <w:r>
        <w:rPr>
          <w:i/>
          <w:iCs/>
        </w:rPr>
        <w:t xml:space="preserve">Nierstichting</w:t>
      </w:r>
      <w:r>
        <w:t xml:space="preserve">, </w:t>
      </w:r>
      <w:r>
        <w:rPr>
          <w:i/>
          <w:iCs/>
        </w:rPr>
        <w:t xml:space="preserve">Diabetesfonds</w:t>
      </w:r>
      <w:r>
        <w:t xml:space="preserve">), </w:t>
      </w:r>
      <w:r>
        <w:rPr>
          <w:i/>
          <w:iCs/>
        </w:rPr>
        <w:t xml:space="preserve">Centraal Bureau Levensmiddelenhandel</w:t>
      </w:r>
      <w:r>
        <w:t xml:space="preserve"> (CBL), Nyderlandų maisto pramonės federacija (FNLI), </w:t>
      </w:r>
      <w:r>
        <w:rPr>
          <w:i/>
          <w:iCs/>
        </w:rPr>
        <w:t xml:space="preserve">Koninklijke Horeca Nederland</w:t>
      </w:r>
      <w:r>
        <w:t xml:space="preserve"> (KHN), </w:t>
      </w:r>
      <w:r>
        <w:rPr>
          <w:i/>
          <w:iCs/>
        </w:rPr>
        <w:t xml:space="preserve">Vereniging Nederlandse Cateraars</w:t>
      </w:r>
      <w:r>
        <w:t xml:space="preserve"> (Veneca), mitybos centras, RIVM ir Žemės ūkio ministerija.</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Atlikus nepriklausomus vartotojų tyrimus</w:t>
      </w:r>
      <w:r w:rsidR="00A978BD">
        <w:rPr>
          <w:rStyle w:val="FootnoteReference"/>
        </w:rPr>
        <w:footnoteReference w:id="2"/>
      </w:r>
      <w:r>
        <w:t xml:space="preserve"> palyginti trys šiuo metu Europos šalyse naudojami maisto produktų pasirinkimo logotipai.</w:t>
      </w:r>
      <w:r>
        <w:t xml:space="preserve"> </w:t>
      </w:r>
      <w:r>
        <w:t xml:space="preserve">Buvo išnagrinėta, kokiu mastu šie logotipai padeda vartotojams pasirinkti sveikesnius maisto produktus.</w:t>
      </w:r>
      <w:r>
        <w:t xml:space="preserve"> </w:t>
      </w:r>
      <w:r>
        <w:t xml:space="preserve">Iš vartotojų apklausos matyti, kad naudojant „Nutri-Score“ vartotojai dažniausiai pasirenka sveikesnius maisto produktus.</w:t>
      </w:r>
      <w:r>
        <w:t xml:space="preserve"> </w:t>
      </w:r>
      <w:r>
        <w:t xml:space="preserve">Parduotuvių lentynose panašius produktus galima lengvai ir greitai palyginti: iš pirmo žvilgsnio vartotojai gali pamatyti, kuris produktas yra sveikesnis pasirinkimas.</w:t>
      </w:r>
      <w:r>
        <w:t xml:space="preserve"> </w:t>
      </w:r>
      <w:r>
        <w:t xml:space="preserve">Todėl lengviau pasirinkti sveikesnius maisto produktus.</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Tačiau iš vartotojų apklausos taip pat matyti, kad kai kurie respondentai nebegali pasirinkti sveikesnių maisto produktų, jei naudojant „Five Disk“ ir logotipą pateikiama neatitinkanti informacija.</w:t>
      </w:r>
      <w:r>
        <w:t xml:space="preserve"> </w:t>
      </w:r>
      <w:r>
        <w:t xml:space="preserve">RIVM ir mitybos centras atliko tyrimą dėl „Nutri-Score“</w:t>
      </w:r>
      <w:r w:rsidR="00A978BD">
        <w:rPr>
          <w:rStyle w:val="FootnoteReference"/>
        </w:rPr>
        <w:footnoteReference w:id="3"/>
      </w:r>
      <w:r>
        <w:t xml:space="preserve">;</w:t>
      </w:r>
      <w:r>
        <w:t xml:space="preserve"> </w:t>
      </w:r>
      <w:r>
        <w:t xml:space="preserve">jame padaryta išvada, kad kai kurių įvairių kategorijų produktų maistingumo rekomendacijos, pateiktos „Nutri-Score“ ir „Five Disk“, nėra tikslios.</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Remdamasis tyrimų rezultatais ir koordinuodamas veiksmus su pirmiau minėtomis šalimis, sveikatos, gerovės ir sporto reikalų valstybės sekretorius nusprendė pripažinti „Nutri-Score“ maisto produktų pasirinkimo logotipu</w:t>
      </w:r>
      <w:r w:rsidR="00125CD6">
        <w:rPr>
          <w:rStyle w:val="FootnoteReference"/>
        </w:rPr>
        <w:footnoteReference w:id="4"/>
      </w:r>
      <w:r>
        <w:t xml:space="preserve">.</w:t>
      </w:r>
      <w:r>
        <w:t xml:space="preserve"> </w:t>
      </w:r>
      <w:r>
        <w:t xml:space="preserve">Tačiau pagrindinis „Nutri-Score“ vertinimas turi būti pritaikytas taip, kad logotipas galėtų sukelti kuo mažiau painiavos Nyderlandų vartotojams dėl sveikesnio pasirinkimo.</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2020 m. pradžioje valstybės sekretorius informavo Prancūzijos vyriausybę apie „Nutri-Score“ pasirinkimą.</w:t>
      </w:r>
      <w:r>
        <w:t xml:space="preserve"> </w:t>
      </w:r>
      <w:r>
        <w:t xml:space="preserve">Nyderlandai dalyvauja tarptautinėse konsultacijose, kuriose sudaromi susitarimai dėl įgyvendinimo ir organizavimo.</w:t>
      </w:r>
      <w:r>
        <w:t xml:space="preserve"> </w:t>
      </w:r>
      <w:r>
        <w:t xml:space="preserve">Nepriklausomas mokslinis komitetas nagrinėja „Nutri-Score“ vertinimus ir turi užtikrinti, kad „Nutri-Score“ mitybos kriterijai būtų suderinti su dalyvaujančių šalių mitybos gairėmis.</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Ženklinimas naudojant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yra savanoriškas maisto produktų pasirinkimo logotipas, kuris padeda vartotojams priimti sveikesnius sprendimus perkant tam tikros grupės produktus.</w:t>
      </w:r>
      <w:r>
        <w:t xml:space="preserve"> </w:t>
      </w:r>
      <w:r>
        <w:rPr>
          <w:i/>
        </w:rPr>
        <w:t xml:space="preserve">Nutri-Score</w:t>
      </w:r>
      <w:r>
        <w:t xml:space="preserve"> nustatomas skiriant taškus pagal baltymų, skaidulų, vaisių, daržovių, ankštinių augalų ir riešutų kiekį maisto produkte.</w:t>
      </w:r>
      <w:r>
        <w:t xml:space="preserve"> </w:t>
      </w:r>
      <w:r>
        <w:t xml:space="preserve">Iš šio balo atimami taškai pagal energinę vertę (kilokalorijas), cukrų, sočiųjų riebalų ir druskos kiekius.</w:t>
      </w:r>
      <w:r>
        <w:t xml:space="preserve"> </w:t>
      </w:r>
      <w:r>
        <w:t xml:space="preserve">Remiantis bendru rezultatu, produktas žymimas A, B, C, D arba E raidėmis. Tamsiai žalia A raide nurodoma sveikesnė sudėtis.</w:t>
      </w:r>
      <w:r>
        <w:t xml:space="preserve"> </w:t>
      </w:r>
      <w:r>
        <w:t xml:space="preserve">Produktai, kurių sudėtis mažiau sveika, žymimi tamsiai oranžine E raide. Jei maisto įmonės naudoja </w:t>
      </w:r>
      <w:r>
        <w:rPr>
          <w:i/>
        </w:rPr>
        <w:t xml:space="preserve">Nutri-Score</w:t>
      </w:r>
      <w:r>
        <w:t xml:space="preserve">, jos turi laikytis naudojimo sąlygų ir naudoti logotipą maisto produkto pakuotės priekyje.</w:t>
      </w:r>
      <w:r>
        <w:t xml:space="preserve"> </w:t>
      </w:r>
      <w:r>
        <w:t xml:space="preserve">Tai padeda vartotojams iškart pamatyti, kuris produktas sveikesnis.</w:t>
      </w:r>
      <w:r>
        <w:br/>
      </w:r>
    </w:p>
    <w:p w14:paraId="023F652F" w14:textId="3742B79E" w:rsidR="00DC7A50" w:rsidRDefault="00D83FCC" w:rsidP="008D3E19">
      <w:pPr>
        <w:pStyle w:val="NoSpacing"/>
        <w:spacing w:line="276" w:lineRule="auto"/>
      </w:pPr>
      <w:r>
        <w:rPr>
          <w:color w:val="333333"/>
        </w:rPr>
        <w:t xml:space="preserve">Pagal šią sistemą </w:t>
      </w:r>
      <w:r>
        <w:rPr>
          <w:color w:val="333333"/>
          <w:i/>
        </w:rPr>
        <w:t xml:space="preserve">Nutri-Score</w:t>
      </w:r>
      <w:r>
        <w:rPr>
          <w:color w:val="333333"/>
        </w:rPr>
        <w:t xml:space="preserve"> laikomas maisto produktų pasirinkimo logotipu.</w:t>
      </w:r>
      <w:r>
        <w:rPr>
          <w:color w:val="333333"/>
        </w:rPr>
        <w:t xml:space="preserve"> </w:t>
      </w:r>
      <w:r>
        <w:rPr>
          <w:color w:val="000000" w:themeColor="text1"/>
        </w:rPr>
        <w:t xml:space="preserve">Naudojimo sąlygos skelbiamos verslininkams ir plačiajai visuomenei prieinamoje interneto svetainėje.</w:t>
      </w:r>
      <w:r>
        <w:rPr>
          <w:color w:val="333333"/>
        </w:rPr>
        <w:t xml:space="preserve"> </w:t>
      </w:r>
      <w:r>
        <w:rPr>
          <w:color w:val="333333"/>
        </w:rPr>
        <w:t xml:space="preserve">Naudojimo sąlygose nurodyta, kad naudojant „Nutri-Score“ logotipą turi būti laikomasi grafinės chartijos reikalavimų.</w:t>
      </w:r>
      <w:r>
        <w:rPr>
          <w:color w:val="333333"/>
        </w:rPr>
        <w:t xml:space="preserve"> </w:t>
      </w:r>
      <w:r>
        <w:rPr>
          <w:color w:val="333333"/>
        </w:rPr>
        <w:t xml:space="preserve">Grafinėje chartijoje nustatyti reikalavimai dėl logotipo matmenų, spalvos naudojimo ir logotipo išdėstymo ant pakuočių bei komunikacijos priemonių.</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Logotipas nėra privalomas, todėl maisto įmonės gali apsvarstyti galimybę naudoti </w:t>
      </w:r>
      <w:r>
        <w:rPr>
          <w:i/>
        </w:rPr>
        <w:t xml:space="preserve">Nutri-Score</w:t>
      </w:r>
      <w:r>
        <w:t xml:space="preserve"> kaip maisto produktų pasirinkimo logotipą.</w:t>
      </w:r>
      <w:r>
        <w:t xml:space="preserve"> </w:t>
      </w:r>
      <w:r>
        <w:t xml:space="preserve">Jei maisto įmonė nusprendžia tai daryti, ji turi laikytis naudojimo sąlygose nustatytų reikalavimų.</w:t>
      </w:r>
      <w:r>
        <w:t xml:space="preserve"> </w:t>
      </w:r>
      <w:r>
        <w:rPr>
          <w:rStyle w:val="Marker"/>
          <w:color w:val="000000" w:themeColor="text1"/>
        </w:rPr>
        <w:t xml:space="preserve">„Nutri-Score“ yra ES prekių ženklas, kurį Europos Sąjungos intelektinės nuosavybės tarnyboje (EUIPO) įregistravo savininkas </w:t>
      </w:r>
      <w:r>
        <w:rPr>
          <w:rStyle w:val="Marker"/>
          <w:color w:val="000000" w:themeColor="text1"/>
          <w:i/>
          <w:iCs/>
        </w:rPr>
        <w:t xml:space="preserve">Santé publique France</w:t>
      </w:r>
      <w:r>
        <w:rPr>
          <w:rStyle w:val="Marker"/>
          <w:color w:val="000000" w:themeColor="text1"/>
        </w:rPr>
        <w:t xml:space="preserve"> (</w:t>
      </w:r>
      <w:r>
        <w:rPr>
          <w:rStyle w:val="Marker"/>
          <w:color w:val="000000" w:themeColor="text1"/>
          <w:i/>
          <w:iCs/>
        </w:rPr>
        <w:t xml:space="preserve">l’agence nationale de santé publique</w:t>
      </w:r>
      <w:r>
        <w:rPr>
          <w:rStyle w:val="Marker"/>
          <w:color w:val="000000" w:themeColor="text1"/>
        </w:rPr>
        <w:t xml:space="preserve">).</w:t>
      </w:r>
      <w:r>
        <w:rPr>
          <w:rStyle w:val="Marker"/>
          <w:color w:val="000000" w:themeColor="text1"/>
        </w:rPr>
        <w:t xml:space="preserve"> </w:t>
      </w:r>
      <w:r>
        <w:rPr>
          <w:rStyle w:val="Marker"/>
          <w:color w:val="000000" w:themeColor="text1"/>
        </w:rPr>
        <w:t xml:space="preserve">Naudodamas „Nutri-Score“ logotipą, prekių ženklo savininkas ne tik turėtų laikytis prekių ženklo naudojimo sąlygų, bet ir atsižvelgti į </w:t>
      </w:r>
      <w:r>
        <w:t xml:space="preserve">bendrąsias prekių ženklų apsaugos taisykles, kurių reikia laikytis prekių ženklų teisės, sąžiningos prekybos teisės ir baudžiamosios teisės srityse.</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Nacionalinė teisinė sistema</w:t>
      </w:r>
    </w:p>
    <w:p w14:paraId="57E6E4A9" w14:textId="230342F8" w:rsidR="00D8085E" w:rsidRPr="00A92440" w:rsidRDefault="004336A6" w:rsidP="008D3E19">
      <w:pPr>
        <w:pStyle w:val="NoSpacing"/>
        <w:spacing w:line="276" w:lineRule="auto"/>
      </w:pPr>
      <w:r>
        <w:rPr>
          <w:i/>
        </w:rPr>
        <w:br/>
      </w:r>
      <w:r>
        <w:rPr>
          <w:color w:val="000000" w:themeColor="text1"/>
        </w:rPr>
        <w:t xml:space="preserve">Maisto prekių įstatymo dekreto 1 straipsnyje maisto produktų pasirinkimo logotipas apibrėžiamas kaip logotipas, kurį naudojant vartotojams lengviau pasirinkti sveikesnius maisto produktus, palyginti su panašiais tam tikros kategorijos maisto produktais.</w:t>
      </w:r>
      <w:r>
        <w:rPr>
          <w:color w:val="000000" w:themeColor="text1"/>
        </w:rPr>
        <w:t xml:space="preserve"> </w:t>
      </w:r>
      <w:r>
        <w:rPr>
          <w:color w:val="000000" w:themeColor="text1"/>
        </w:rPr>
        <w:t xml:space="preserve">Pagal Maisto prekių įstatymo dekreto dėl maisto produktų 11 straipsnį maisto produktų pasirinkimo logotipas gali būti naudojamas prekiaujant maisto produktu, jei tenkinamos tame straipsnyje nustatytos sąlygos.</w:t>
      </w:r>
      <w:r>
        <w:rPr>
          <w:color w:val="000000" w:themeColor="text1"/>
        </w:rPr>
        <w:t xml:space="preserve"> </w:t>
      </w:r>
      <w:r>
        <w:t xml:space="preserve">2021 m. numatyta iš dalies pakeisti Prekių įstatymo dekretą dėl informacijos apie maistą, pagal kurį nebereikalaujama, kad pramonė pateiktų paraišką dėl maisto produktų pasirinkimo logotipo patvirtinimo.</w:t>
      </w:r>
      <w:r>
        <w:rPr>
          <w:color w:val="333333"/>
        </w:rPr>
        <w:t xml:space="preserve"> </w:t>
      </w:r>
      <w:r>
        <w:t xml:space="preserve">Teikiant šį paaiškinimo raštą, Oficialiajame leidinyje dar nebuvo paskelbtas </w:t>
      </w:r>
      <w:r>
        <w:rPr>
          <w:color w:val="333333"/>
        </w:rPr>
        <w:t xml:space="preserve">Prekių įstatymo dekreto dėl informacijos apie maisto produktus </w:t>
      </w:r>
      <w:r>
        <w:t xml:space="preserve">pakeitimas.</w:t>
      </w:r>
      <w:r>
        <w:t xml:space="preserve"> </w:t>
      </w:r>
      <w:r>
        <w:t xml:space="preserve">Taikant tarpusavio pripažinimo principą, ES valstybė narė negali uždrausti prekiauti prekėmis, kurios buvo teisėtai pateiktos rinkai kitoje ES valstybėje narėje, savo teritorijoje dėl to, kad tos prekės neatitinka jos nacionalinių taisyklių.</w:t>
      </w:r>
      <w:r>
        <w:t xml:space="preserve"> </w:t>
      </w:r>
      <w:r>
        <w:t xml:space="preserve">Tačiau svarbu, kad prekėmis iš kitos Europos valstybės narės būtų užtikrintas bent lygiavertis apsaugos lygis.</w:t>
      </w:r>
      <w:r>
        <w:t xml:space="preserve"> </w:t>
      </w:r>
      <w:r>
        <w:t xml:space="preserve">Ši tarpusavio pripažinimo sąlyga įtraukta į Prekių įstatymo 13d straipsnį. Prekyba kitų Europos valstybių narių kilmės prekėmis nėra draudžiama remiantis pagal šią tvarką nustatytais reikalavimais.</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Poveikis reglamentavimo naštai</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Reguliavimo spaudimo peržiūros valdyba (ATR) neatrinko rinkmenos, kad galėtų pateikti oficialią nuomonę, nes ji neturi poveikio piliečių ir įmonių reglamentavimo naštai.</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Nuolatinė konsultacijų prekių įstatymo klausimais grupė</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Šio reglamento projektas buvo pateiktas Nuolatinės konsultacijų prekių įstatymo klausimais grupės nariams</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Vykdymo užtikrinimas ir įgyvendinamumas</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NVWA įvertino šios sistemos struktūrą vykdymo užtikrinimo, vykdymo užtikrinimo ir apsaugos nuo sukčiavimo požiūriu.</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Pranešimas</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2006 m. gruodžio 20 d. Europos Parlamento ir Tarybos reglamente (EB) Nr. 1924/2006 dėl teiginių apie maisto produktų maistingumą ir sveikatingumą (OL 2006 L 404) (toliau – Teiginių reglamentas) nustatyti bendrieji principai, susiję su visais teiginiais apie maisto produktus.</w:t>
      </w:r>
      <w:r>
        <w:rPr>
          <w:color w:val="333333"/>
        </w:rPr>
        <w:t xml:space="preserve"> </w:t>
      </w:r>
      <w:r>
        <w:rPr>
          <w:color w:val="333333"/>
        </w:rPr>
        <w:t xml:space="preserve">Maisto produktų pasirinkimo logotipas </w:t>
      </w:r>
      <w:r>
        <w:rPr>
          <w:color w:val="333333"/>
          <w:i/>
        </w:rPr>
        <w:t xml:space="preserve">Nutri-Score</w:t>
      </w:r>
      <w:r>
        <w:rPr>
          <w:color w:val="333333"/>
        </w:rPr>
        <w:t xml:space="preserve"> laikomas teiginiu apie maistingumą, kaip nurodyta šio reglamento 2 straipsnio 2 dalies 4 punkte.</w:t>
      </w:r>
      <w:r>
        <w:rPr>
          <w:color w:val="333333"/>
        </w:rPr>
        <w:t xml:space="preserve"> </w:t>
      </w:r>
      <w:r>
        <w:rPr>
          <w:color w:val="333333"/>
        </w:rPr>
        <w:t xml:space="preserve">Teiginių reglamento 8 straipsnio 1 dalyje leidžiama vartoti tik šio reglamento priede išvardytus teiginius apie maistingumą.</w:t>
      </w:r>
      <w:r>
        <w:rPr>
          <w:color w:val="333333"/>
        </w:rPr>
        <w:t xml:space="preserve"> </w:t>
      </w:r>
      <w:r>
        <w:rPr>
          <w:color w:val="333333"/>
        </w:rPr>
        <w:t xml:space="preserve">Šie teiginiai apie maistingumą visada turi būti susiję tik su maisto produkto energijos kiekiu arba vienos medžiagos ar maistinės medžiagos kiekiu.</w:t>
      </w:r>
      <w:r>
        <w:rPr>
          <w:color w:val="333333"/>
        </w:rPr>
        <w:t xml:space="preserve"> </w:t>
      </w:r>
      <w:r>
        <w:rPr>
          <w:color w:val="333333"/>
        </w:rPr>
        <w:t xml:space="preserve">Maisto pasirinkimo logotipas </w:t>
      </w:r>
      <w:r>
        <w:rPr>
          <w:color w:val="333333"/>
          <w:i/>
        </w:rPr>
        <w:t xml:space="preserve">Nutri-Score</w:t>
      </w:r>
      <w:r>
        <w:rPr>
          <w:color w:val="333333"/>
        </w:rPr>
        <w:t xml:space="preserve"> šiuo tikslu netinkamas pridėti prie šio priedo: vertinant pagal </w:t>
      </w:r>
      <w:r>
        <w:rPr>
          <w:color w:val="333333"/>
          <w:i/>
        </w:rPr>
        <w:t xml:space="preserve">Nutri-Score</w:t>
      </w:r>
      <w:r>
        <w:rPr>
          <w:color w:val="333333"/>
        </w:rPr>
        <w:t xml:space="preserve"> atsižvelgiama į visą maisto produkto sudėtį.</w:t>
      </w:r>
      <w:r>
        <w:rPr>
          <w:color w:val="333333"/>
        </w:rPr>
        <w:t xml:space="preserve"> </w:t>
      </w:r>
      <w:r>
        <w:rPr>
          <w:color w:val="333333"/>
        </w:rPr>
        <w:t xml:space="preserve">Teiginių reglamento 23 straipsnyje reikalaujama, kad valstybė narė praneštų apie teiginių vartojimą savo teritorijoje, jei tokie teiginiai neatitinka Teiginių reglamento.</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Siekiant apsaugoti tinkamą vartotojų informavimą, 2011 m. spalio 25 d. Europos Parlamento ir Tarybos reglamento (ES) Nr. 1169/2011 dėl informacijos apie maistą teikimo vartotojams</w:t>
      </w:r>
      <w:r>
        <w:rPr>
          <w:rStyle w:val="FootnoteReference"/>
          <w:rFonts w:eastAsia="Times New Roman" w:cs="Arial"/>
          <w:color w:val="333333"/>
        </w:rPr>
        <w:footnoteReference w:id="6"/>
      </w:r>
      <w:r>
        <w:rPr>
          <w:color w:val="333333"/>
        </w:rPr>
        <w:t xml:space="preserve"> 36 straipsnis turėtų atitikti tam tikrus reikalavimus.</w:t>
      </w:r>
      <w:r>
        <w:rPr>
          <w:color w:val="333333"/>
        </w:rPr>
        <w:t xml:space="preserve"> </w:t>
      </w:r>
      <w:r>
        <w:rPr>
          <w:color w:val="333333"/>
        </w:rPr>
        <w:t xml:space="preserve">Šiomis aplinkybėmis Komisija taip pat buvo informuota apie šios sistemos tekstą.</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Apie sistemos projektą Europos Komisijai pranešta..., kad ji patenkintų </w:t>
      </w:r>
      <w:r>
        <w:rPr>
          <w:b/>
        </w:rPr>
        <w:t xml:space="preserve">P.M.</w:t>
      </w:r>
      <w:r>
        <w:t xml:space="preserve"> Po pranešimo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Priedas prie kolegijos dokumentų II, 2018/19, 32793, Nr.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 </w:t>
      </w:r>
      <w:r>
        <w:rPr>
          <w:sz w:val="16"/>
          <w:i/>
          <w:rFonts w:ascii="Verdana" w:hAnsi="Verdana"/>
        </w:rPr>
        <w:t xml:space="preserve">Trijų maisto produktų pasirinkimo logotipų vaizdinių ženklų veiksmingumas</w:t>
      </w:r>
      <w:r>
        <w:rPr>
          <w:sz w:val="16"/>
          <w:rFonts w:ascii="Verdana" w:hAnsi="Verdana"/>
        </w:rPr>
        <w:t xml:space="preserve">, 2019 m. spalio 30 d., pasiekiama adresu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Nacionalinis visuomenės sveikatos ir aplinkos institutas (RIVM) ir mitybos centras, </w:t>
      </w:r>
      <w:r>
        <w:rPr>
          <w:sz w:val="16"/>
          <w:i/>
          <w:rFonts w:ascii="Verdana" w:hAnsi="Verdana"/>
        </w:rPr>
        <w:t xml:space="preserve">Apžvalginis tyrimas. Dėmesio centre – maisto produktų pasirinkimo logotipai</w:t>
      </w:r>
      <w:r>
        <w:rPr>
          <w:sz w:val="16"/>
          <w:rFonts w:ascii="Verdana" w:hAnsi="Verdana"/>
        </w:rPr>
        <w:t xml:space="preserve">, 2019 m. lapkričio 28 d.</w:t>
      </w:r>
      <w:r>
        <w:rPr>
          <w:sz w:val="16"/>
          <w:rFonts w:ascii="Verdana" w:hAnsi="Verdana"/>
        </w:rPr>
        <w:t xml:space="preserve"> </w:t>
      </w:r>
      <w:r>
        <w:rPr>
          <w:sz w:val="16"/>
          <w:rFonts w:ascii="Verdana" w:hAnsi="Verdana"/>
        </w:rPr>
        <w:t xml:space="preserve">Pasiekiama adresu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Parlamento dokumentai II 2019/20, 32793, Nr.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Nuolatinės konsultacijų prekių įstatymo klausimais grupės nariai yra įmonių (pramonės ir prekybos), vartotojų, ministerijų (konkrečiai – Visuomenės sveikatos, gerovės ir sporto reikalų ministerijos bei Žemės ūkio, gamtos ir maisto kokybės ministerijos), taip pat Nyderlandų maisto ir vartojimo prekių saugos tarnybos atstovai.</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Visas pavadinimas </w:t>
      </w:r>
      <w:r>
        <w:rPr>
          <w:sz w:val="16"/>
          <w:color w:val="333333"/>
          <w:rFonts w:ascii="Verdana" w:hAnsi="Verdana"/>
        </w:rPr>
        <w:t xml:space="preserve">2011 m. spalio 25 d. Europos Parlamento ir Tarybos reglamentas (ES) Nr. 1169/2011 dėl 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(OL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 </w:t>
                          </w:r>
                          <w:r>
                            <w:fldChar w:fldCharType="begin"/>
                          </w:r>
                          <w:r>
                            <w:instrText>PAGE</w:instrText>
                          </w:r>
                          <w:r>
                            <w:fldChar w:fldCharType="separate"/>
                          </w:r>
                          <w:r w:rsidR="002A4E62">
                            <w:t>4</w:t>
                          </w:r>
                          <w:r>
                            <w:fldChar w:fldCharType="end"/>
                          </w:r>
                          <w:r>
                            <w:t xml:space="preserve"> iš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 </w:t>
                    </w:r>
                    <w:r>
                      <w:fldChar w:fldCharType="begin"/>
                    </w:r>
                    <w:r>
                      <w:instrText>PAGE</w:instrText>
                    </w:r>
                    <w:r>
                      <w:fldChar w:fldCharType="separate"/>
                    </w:r>
                    <w:r w:rsidR="002A4E62">
                      <w:t>4</w:t>
                    </w:r>
                    <w:r>
                      <w:fldChar w:fldCharType="end"/>
                    </w:r>
                    <w:r>
                      <w:t xml:space="preserve"> iš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Visuomenės sveikatos, gerovės ir sporto reikalų ministerija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Visuomenės sveikatos, gerovės ir sporto reikalų ministerija</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VGP medicinos priežiūros ministro reglamentas,</w:t>
                          </w:r>
                        </w:p>
                        <w:p w14:paraId="6DDC92F8" w14:textId="77777777" w:rsidR="001D3DA3" w:rsidRDefault="00AD598F">
                          <w:r>
                            <w:t xml:space="preserve">„Nutri-Score“ nustatomas kaip maisto produktų pasirinkimo logotipas ir nurodomos jo naudojimo sąlygos (Reglamentas dėl maisto produktų pasirinkimo logotipo nustatymo)</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VGP medicinos priežiūros ministro reglamentas,</w:t>
                    </w:r>
                  </w:p>
                  <w:p w14:paraId="6DDC92F8" w14:textId="77777777" w:rsidR="001D3DA3" w:rsidRDefault="00AD598F">
                    <w:r>
                      <w:t xml:space="preserve">„Nutri-Score“ nustatomas kaip maisto produktų pasirinkimo logotipas ir nurodomos jo naudojimo sąlygos (Reglamentas dėl maisto produktų pasirinkimo logotipo nustatymo)</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 </w:t>
                          </w:r>
                          <w:r>
                            <w:fldChar w:fldCharType="begin"/>
                          </w:r>
                          <w:r>
                            <w:instrText>PAGE</w:instrText>
                          </w:r>
                          <w:r>
                            <w:fldChar w:fldCharType="separate"/>
                          </w:r>
                          <w:r w:rsidR="002A4E62">
                            <w:t>1</w:t>
                          </w:r>
                          <w:r>
                            <w:fldChar w:fldCharType="end"/>
                          </w:r>
                          <w:r>
                            <w:t xml:space="preserve"> iš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P. </w:t>
                    </w:r>
                    <w:r>
                      <w:fldChar w:fldCharType="begin"/>
                    </w:r>
                    <w:r>
                      <w:instrText>PAGE</w:instrText>
                    </w:r>
                    <w:r>
                      <w:fldChar w:fldCharType="separate"/>
                    </w:r>
                    <w:r w:rsidR="002A4E62">
                      <w:t>1</w:t>
                    </w:r>
                    <w:r>
                      <w:fldChar w:fldCharType="end"/>
                    </w:r>
                    <w:r>
                      <w:t xml:space="preserve"> iš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lt-LT"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