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63762D99" w:rsidR="00DF230E" w:rsidRDefault="00F85DA0" w:rsidP="00564A6E">
      <w:pPr>
        <w:pStyle w:val="Titel"/>
        <w:tabs>
          <w:tab w:val="clear" w:pos="6804"/>
          <w:tab w:val="right" w:pos="7655"/>
        </w:tabs>
      </w:pPr>
      <w:r w:rsidRPr="00564A6E">
        <w:rPr>
          <w:noProof/>
          <w:szCs w:val="36"/>
        </w:rPr>
        <mc:AlternateContent>
          <mc:Choice Requires="wps">
            <w:drawing>
              <wp:anchor distT="0" distB="0" distL="114300" distR="114300" simplePos="0" relativeHeight="251659265" behindDoc="0" locked="0" layoutInCell="1" allowOverlap="1" wp14:anchorId="438AC7CC" wp14:editId="55542C4E">
                <wp:simplePos x="0" y="0"/>
                <wp:positionH relativeFrom="column">
                  <wp:posOffset>4044315</wp:posOffset>
                </wp:positionH>
                <wp:positionV relativeFrom="paragraph">
                  <wp:posOffset>176530</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ŠVÉDSKÁ DOPRAVNÍ AGENTURA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8.45pt;margin-top:13.9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ŠVÉDSKÁ DOPRAVNÍ AGENTURA</w:t>
                      </w:r>
                    </w:p>
                  </w:txbxContent>
                </v:textbox>
              </v:shape>
            </w:pict>
          </mc:Fallback>
        </mc:AlternateContent>
      </w:r>
      <w:r w:rsidRPr="00564A6E">
        <w:rPr>
          <w:szCs w:val="36"/>
        </w:rPr>
        <w:t xml:space="preserve">Sbírka předpisů </w:t>
      </w:r>
      <w:r w:rsidR="00564A6E">
        <w:rPr>
          <w:szCs w:val="36"/>
        </w:rPr>
        <w:br/>
      </w:r>
      <w:r w:rsidRPr="00564A6E">
        <w:rPr>
          <w:szCs w:val="36"/>
        </w:rPr>
        <w:t>Švédské dopravní agentury</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 xml:space="preserve">Nařízení, </w:t>
      </w:r>
      <w:r>
        <w:br/>
        <w:t>kterými se mění nařízení Švédské dopravní agentury a obecná doporučení (TSFS 2016:22) o osobních automobilech a přípojných vozidlech tažených automobily, které byly uvedeny do provozu dne 1. července 2010 nebo po tomto datu;</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628B2C">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564A6E"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Zveřejněno</w:t>
                            </w:r>
                            <w:r>
                              <w:br/>
                              <w:t xml:space="preserve">dne </w:t>
                            </w:r>
                            <w:sdt>
                              <w:sdtPr>
                                <w:alias w:val="Vyberte datum"/>
                                <w:tag w:val="Utkom datum"/>
                                <w:id w:val="1764647152"/>
                                <w:showingPlcHdr/>
                                <w:dataBinding w:prefixMappings="xmlns:ns0='consensis-fs'" w:xpath="/ns0:root[1]/ns0:fs-fields[1]/ns0:fs-date[1]" w:storeItemID="{F222B965-9C48-4AC7-962E-E2AF3EEF1550}"/>
                                <w:date>
                                  <w:dateFormat w:val="d MMMM yyyy"/>
                                  <w:lid w:val="cs-CZ"/>
                                  <w:storeMappedDataAs w:val="dateTime"/>
                                  <w:calendar w:val="gregorian"/>
                                </w:date>
                              </w:sdtPr>
                              <w:sdtEndPr/>
                              <w:sdtContent>
                                <w:r>
                                  <w:rPr>
                                    <w:rStyle w:val="PlaceholderText"/>
                                  </w:rPr>
                                  <w:t>[Vyberte datum]</w:t>
                                </w:r>
                              </w:sdtContent>
                            </w:sdt>
                          </w:p>
                          <w:sdt>
                            <w:sdtPr>
                              <w:alias w:val="Zadejte sérii"/>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SILNIČNÍ PROVOZ</w:t>
                                </w:r>
                              </w:p>
                            </w:sdtContent>
                          </w:sdt>
                          <w:p w14:paraId="55142639" w14:textId="77777777" w:rsidR="00FC02EB" w:rsidRPr="007C403E" w:rsidRDefault="00564A6E" w:rsidP="007C403E">
                            <w:pPr>
                              <w:pStyle w:val="Underserie"/>
                              <w:rPr>
                                <w:bCs/>
                              </w:rPr>
                            </w:pPr>
                            <w:sdt>
                              <w:sdtPr>
                                <w:alias w:val="Zadejte dílčí sérii"/>
                                <w:tag w:val="Userie"/>
                                <w:id w:val="1607690029"/>
                                <w:showingPlcHdr/>
                                <w:dataBinding w:prefixMappings="xmlns:ns0='consensis-fs'" w:xpath="/ns0:root[1]/ns0:fs-fields[1]/ns0:fs-subseries[1]" w:storeItemID="{F222B965-9C48-4AC7-962E-E2AF3EEF1550}"/>
                                <w:text/>
                              </w:sdtPr>
                              <w:sdtEndPr/>
                              <w:sdtContent>
                                <w:r w:rsidR="00DA20BB">
                                  <w:rPr>
                                    <w:rStyle w:val="PlaceholderText"/>
                                  </w:rPr>
                                  <w:t>[Zadejte dílčí sérii]</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564A6E"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Zveřejněno</w:t>
                      </w:r>
                      <w:r>
                        <w:br/>
                        <w:t xml:space="preserve">dne </w:t>
                      </w:r>
                      <w:sdt>
                        <w:sdtPr>
                          <w:alias w:val="Vyberte datum"/>
                          <w:tag w:val="Utkom datum"/>
                          <w:id w:val="1764647152"/>
                          <w:showingPlcHdr/>
                          <w:dataBinding w:prefixMappings="xmlns:ns0='consensis-fs'" w:xpath="/ns0:root[1]/ns0:fs-fields[1]/ns0:fs-date[1]" w:storeItemID="{F222B965-9C48-4AC7-962E-E2AF3EEF1550}"/>
                          <w:date>
                            <w:dateFormat w:val="d MMMM yyyy"/>
                            <w:lid w:val="cs-CZ"/>
                            <w:storeMappedDataAs w:val="dateTime"/>
                            <w:calendar w:val="gregorian"/>
                          </w:date>
                        </w:sdtPr>
                        <w:sdtEndPr/>
                        <w:sdtContent>
                          <w:r>
                            <w:rPr>
                              <w:rStyle w:val="PlaceholderText"/>
                            </w:rPr>
                            <w:t>[Vyberte datum]</w:t>
                          </w:r>
                        </w:sdtContent>
                      </w:sdt>
                    </w:p>
                    <w:sdt>
                      <w:sdtPr>
                        <w:alias w:val="Zadejte sérii"/>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SILNIČNÍ PROVOZ</w:t>
                          </w:r>
                        </w:p>
                      </w:sdtContent>
                    </w:sdt>
                    <w:p w14:paraId="55142639" w14:textId="77777777" w:rsidR="00FC02EB" w:rsidRPr="007C403E" w:rsidRDefault="00564A6E" w:rsidP="007C403E">
                      <w:pPr>
                        <w:pStyle w:val="Underserie"/>
                        <w:rPr>
                          <w:bCs/>
                        </w:rPr>
                      </w:pPr>
                      <w:sdt>
                        <w:sdtPr>
                          <w:alias w:val="Zadejte dílčí sérii"/>
                          <w:tag w:val="Userie"/>
                          <w:id w:val="1607690029"/>
                          <w:showingPlcHdr/>
                          <w:dataBinding w:prefixMappings="xmlns:ns0='consensis-fs'" w:xpath="/ns0:root[1]/ns0:fs-fields[1]/ns0:fs-subseries[1]" w:storeItemID="{F222B965-9C48-4AC7-962E-E2AF3EEF1550}"/>
                          <w:text/>
                        </w:sdtPr>
                        <w:sdtEndPr/>
                        <w:sdtContent>
                          <w:r w:rsidR="00DA20BB">
                            <w:rPr>
                              <w:rStyle w:val="PlaceholderText"/>
                            </w:rPr>
                            <w:t>[Zadejte dílčí sérii]</w:t>
                          </w:r>
                        </w:sdtContent>
                      </w:sdt>
                    </w:p>
                  </w:txbxContent>
                </v:textbox>
                <w10:wrap anchorx="page" anchory="page"/>
                <w10:anchorlock/>
              </v:shape>
            </w:pict>
          </mc:Fallback>
        </mc:AlternateContent>
      </w:r>
      <w:r>
        <w:t xml:space="preserve">přijato dne </w:t>
      </w:r>
      <w:sdt>
        <w:sdtPr>
          <w:rPr>
            <w:szCs w:val="22"/>
          </w:rPr>
          <w:alias w:val="Vyberte datum"/>
          <w:tag w:val="Välj ett datum"/>
          <w:id w:val="1438946608"/>
          <w:placeholder>
            <w:docPart w:val="E534B498335E4FF69B2409C76F31088A"/>
          </w:placeholder>
          <w:showingPlcHdr/>
          <w:date>
            <w:dateFormat w:val="d MMMM yyyy"/>
            <w:lid w:val="cs-CZ"/>
            <w:storeMappedDataAs w:val="dateTime"/>
            <w:calendar w:val="gregorian"/>
          </w:date>
        </w:sdtPr>
        <w:sdtEndPr/>
        <w:sdtContent>
          <w:r>
            <w:rPr>
              <w:rStyle w:val="PlaceholderText"/>
            </w:rPr>
            <w:t>[Vyberte datum]</w:t>
          </w:r>
        </w:sdtContent>
      </w:sdt>
      <w:r>
        <w:t>.</w:t>
      </w:r>
    </w:p>
    <w:p w14:paraId="010B2956" w14:textId="21A435C8" w:rsidR="00E43EE1" w:rsidRDefault="008F31FC" w:rsidP="00B72887">
      <w:pPr>
        <w:pStyle w:val="Styckemedindrag"/>
      </w:pPr>
      <w:r>
        <w:t>Podle kapitoly 8 § 16 vyhlášky o vozidlech (2009:211) Švédská dopravní agentura stanoví,</w:t>
      </w:r>
      <w:r w:rsidR="00A21E13">
        <w:rPr>
          <w:rStyle w:val="FootnoteReference"/>
        </w:rPr>
        <w:footnoteReference w:id="2"/>
      </w:r>
      <w:r>
        <w:t xml:space="preserve"> že příloha 1 nařízení a obecných doporučení agentury (TSFS 2016:22) o osobních automobilech a přípojných vozidlech tažených automobily, které byly uvedeny do provozu dne 1. července 2010 nebo po tomto datu, se nahrazuje tímto:</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Tento předpis vstupuje v platnost dnem 1. října 2023.</w:t>
      </w:r>
    </w:p>
    <w:p w14:paraId="05C0A8CC" w14:textId="0E015735" w:rsidR="00602C6F" w:rsidRDefault="00E4255A" w:rsidP="00E4255A">
      <w:pPr>
        <w:pStyle w:val="Beslutandeochfredragande"/>
      </w:pPr>
      <w:r>
        <w:t>Jménem Švédské dopravní agentury</w:t>
      </w:r>
      <w:r>
        <w:br/>
      </w:r>
      <w:r>
        <w:br/>
        <w:t>JONAS BJELFVENSTAM</w:t>
      </w:r>
      <w:r>
        <w:br/>
      </w:r>
      <w:r>
        <w:tab/>
        <w:t>Elena Belkow</w:t>
      </w:r>
      <w:r>
        <w:br/>
      </w:r>
      <w:r>
        <w:tab/>
        <w:t>(silniční a železniční doprava)</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Příloha 1. Požadavky na osobní automobily, autobusy, nákladní automobily a jejich přípojná vozidla</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Zařízení pro osvětlení a světelnou signalizaci a jejich montáž </w:t>
      </w:r>
    </w:p>
    <w:p w14:paraId="110EEE08" w14:textId="77777777" w:rsidR="00F808A7" w:rsidRPr="00802803" w:rsidRDefault="00F808A7" w:rsidP="00F808A7">
      <w:pPr>
        <w:pStyle w:val="Stycke"/>
      </w:pPr>
      <w:r>
        <w:t>Osobní automobil a přípojné vozidlo musí mít zařízení pro osvětlení a světelnou signalizaci, jak je uvedeno v řádku K1 nebo K2 v tabulce níže. Ty musí být instalovány tak, aby splňovaly požadavky uvedené v řádku K1 nebo K2 a řádku K3-K7.</w:t>
      </w:r>
    </w:p>
    <w:p w14:paraId="04CE732A" w14:textId="77777777" w:rsidR="00F808A7" w:rsidRPr="00802803" w:rsidRDefault="00F808A7" w:rsidP="00F808A7">
      <w:pPr>
        <w:pStyle w:val="Styckemedindrag"/>
      </w:pPr>
      <w:r>
        <w:t>Automobil kategorie M</w:t>
      </w:r>
      <w:r>
        <w:rPr>
          <w:vertAlign w:val="subscript"/>
        </w:rPr>
        <w:t>1</w:t>
      </w:r>
      <w:r>
        <w:t>, N</w:t>
      </w:r>
      <w:r>
        <w:rPr>
          <w:vertAlign w:val="subscript"/>
        </w:rPr>
        <w:t>1</w:t>
      </w:r>
      <w:r>
        <w:t xml:space="preserve"> a N</w:t>
      </w:r>
      <w:r>
        <w:rPr>
          <w:vertAlign w:val="subscript"/>
        </w:rPr>
        <w:t>2</w:t>
      </w:r>
      <w:r>
        <w:t xml:space="preserve"> s hmotností naloženého vozidla do 4 536 kg, vyráběno ve velkých sériích ve třetích zemích nebo pro třetí země může místo toho splňovat požadavky řádku T1.</w:t>
      </w:r>
    </w:p>
    <w:p w14:paraId="7F24C5F4" w14:textId="77777777" w:rsidR="00F808A7" w:rsidRPr="00802803" w:rsidRDefault="00F808A7" w:rsidP="00F808A7">
      <w:pPr>
        <w:pStyle w:val="Styckemedindrag"/>
      </w:pPr>
      <w:r>
        <w:t>Vozík kategorie O</w:t>
      </w:r>
      <w:r>
        <w:rPr>
          <w:vertAlign w:val="subscript"/>
        </w:rPr>
        <w:t>3</w:t>
      </w:r>
      <w:r>
        <w:t xml:space="preserve"> a O</w:t>
      </w:r>
      <w:r>
        <w:rPr>
          <w:vertAlign w:val="subscript"/>
        </w:rPr>
        <w:t>4</w:t>
      </w:r>
      <w:r>
        <w:t xml:space="preserve"> nemusí splňovat požadavky na obrysové značení podle řádku K2.</w:t>
      </w:r>
    </w:p>
    <w:p w14:paraId="40CB2E95" w14:textId="77777777" w:rsidR="00F808A7" w:rsidRPr="00802803" w:rsidRDefault="00F808A7" w:rsidP="00F808A7">
      <w:pPr>
        <w:pStyle w:val="Styckemedindrag"/>
      </w:pPr>
      <w:r>
        <w:t>Motorový karavan, sanitka, pohřební vůz, obrněné vozidlo a mobilní jeřáb ES v případech uvedených v řádku S1 nemusí splňovat všechny požadavky řádku K1 nebo K2.</w:t>
      </w:r>
    </w:p>
    <w:p w14:paraId="4DC6D73B" w14:textId="77777777" w:rsidR="00F808A7" w:rsidRPr="00802803" w:rsidRDefault="00F808A7" w:rsidP="00F808A7">
      <w:pPr>
        <w:pStyle w:val="Styckemedindrag"/>
      </w:pPr>
      <w:r>
        <w:t>Motorový karavan, sanitka a pohřební vůz mohou v případech uvedených v řádku S2 místo toho splňovat požadavky tam uvedené.</w:t>
      </w:r>
    </w:p>
    <w:p w14:paraId="603BC8C0" w14:textId="363F9792" w:rsidR="00F808A7" w:rsidRDefault="00F808A7" w:rsidP="007E0EC5">
      <w:pPr>
        <w:pStyle w:val="Styckemedindrag"/>
      </w:pPr>
      <w:r>
        <w:t>Osobní automobil a přípojné vozidlo mohou být vybaveny podle požadavků řádků U1-U11 bez ohledu na požadavky K1, K2 a T1.</w:t>
      </w:r>
    </w:p>
    <w:p w14:paraId="5E247C37" w14:textId="27AB0253" w:rsidR="00012970" w:rsidRDefault="00012970" w:rsidP="007E0EC5">
      <w:pPr>
        <w:pStyle w:val="StyckemedindragNDRAD"/>
      </w:pPr>
      <w:r>
        <w:t>Pohotovostní vozidla policejních orgánů mohou být vybavena podle požadavků řádku U12 bez ohledu na požadavky K1, K2 a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1600"/>
        <w:gridCol w:w="1465"/>
        <w:gridCol w:w="1813"/>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Řádek</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Ustanovení</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Platí pro vozidla uvedená do provozu</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V souladu s požadavky směrnice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76/756/EHS</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změněno směrnicí</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97/28/ES</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2007/35/ES</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2008/89/ES</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V souladu s požadavky</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předpisu EHK č.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řada pozměňovacích návrhů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Omezeno na kategorii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a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řada pozměňovacích návrhů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nebo novější</w:t>
            </w:r>
          </w:p>
          <w:p w14:paraId="5F0AE3FB" w14:textId="77777777" w:rsidR="00F808A7" w:rsidRPr="00802803" w:rsidRDefault="00F808A7" w:rsidP="00FC02EB">
            <w:pPr>
              <w:ind w:right="72"/>
              <w:rPr>
                <w:bCs/>
                <w:sz w:val="19"/>
                <w:szCs w:val="19"/>
                <w:vertAlign w:val="subscript"/>
              </w:rPr>
            </w:pPr>
            <w:r>
              <w:rPr>
                <w:sz w:val="19"/>
              </w:rPr>
              <w:t>Omezeno na kategorii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a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řada pozměňovacích návrhů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nebo novější</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řada pozměňovacích návrhů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nebo novější</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řada pozměňovacích návrhů 05</w:t>
            </w:r>
          </w:p>
          <w:p w14:paraId="1FB931CF" w14:textId="77777777" w:rsidR="00F808A7" w:rsidRPr="00802803" w:rsidRDefault="00F808A7" w:rsidP="00FC02EB">
            <w:pPr>
              <w:spacing w:line="232" w:lineRule="exact"/>
              <w:jc w:val="right"/>
              <w:rPr>
                <w:sz w:val="19"/>
              </w:rPr>
            </w:pPr>
            <w:r>
              <w:rPr>
                <w:sz w:val="19"/>
              </w:rPr>
              <w:t>nebo následné změny</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nebo novější</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Světlomety, svítidla, reflektory a žárovky nesmí být opatřeny nátěrem bez ohledu na barvu.</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Vozidla nesmějí mít světlomety nebo svítidla jiného druhu, než které jsou uvedeny v těchto nebo jiných předpisech vydaných Švédskou dopravní agenturou.</w:t>
            </w:r>
          </w:p>
          <w:p w14:paraId="0BDE9AB0" w14:textId="77777777" w:rsidR="00F808A7" w:rsidRPr="00802803" w:rsidRDefault="00F808A7" w:rsidP="00FC02EB">
            <w:pPr>
              <w:pStyle w:val="Styckemedindrag"/>
              <w:rPr>
                <w:i/>
              </w:rPr>
            </w:pPr>
            <w:r>
              <w:t>Vozidla však mohou být vybavena světelnými zařízeními, která představují volitelné osvětlovací zařízení v souladu s předpisem EHK č. 48, za předpokladu, že tato zařízení jsou namontována v souladu s požadavky tohoto předpisu.</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Světlomety a svítidla musí být umístěny na vozidle tak, aby řidič vozidla nebyl světlem rušen.</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Ochrana proti odštěpení u povinných svítidel nebo povinných světlometů není na vozidle povolena, pokud ochrana výrazně sníží světelný výkon svítidla nebo světlometu. To platí i pro ochranu proti odštípnutí kamenem vyrobenou z materiálu, který se snadno poškodí, a tím se sníží světelný výkon svítidla nebo světlometu.</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Vozidla nesmí mít žádné zařízení, které by mohlo způsobit rušivé odrazy nebo riziko oslnění jiného řidiče.</w:t>
            </w:r>
          </w:p>
          <w:p w14:paraId="6A0836F4" w14:textId="77777777" w:rsidR="00F808A7" w:rsidRPr="00802803" w:rsidRDefault="00F808A7" w:rsidP="00FC02EB">
            <w:pPr>
              <w:pStyle w:val="Styckemedindrag"/>
              <w:rPr>
                <w:bCs/>
                <w:szCs w:val="19"/>
              </w:rPr>
            </w:pPr>
            <w:r>
              <w:t>Kromě toho nesmí být ve vozidlech umístěno zařízení, které může za jízdy zobrazovat pohyblivé nebo pohybující se obrázky, texty nebo jejich ekvivalenty, které jsou viditelné pro účastníky silničního provozu mimo vozidlo. Autobusy v pravidelném provozu však mohou být v souvislosti se zastávkami vybaveny cílovými značkami, které zobrazují měnící se dopravní informace.</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Osobní automobil musí mít zařízení pro osvětlení a světelnou signalizaci, která splňují alternativní technické požadavky stanovené v bodě 20 části I a II dodatku 2 k příloze IV směrnice 2007/46/ES ve znění podle nařízení (EU) č. 183/2011. Pro osobní automobil kategorie N</w:t>
            </w:r>
            <w:r>
              <w:rPr>
                <w:vertAlign w:val="subscript"/>
              </w:rPr>
              <w:t>2</w:t>
            </w:r>
            <w:r>
              <w:t xml:space="preserve"> platí stejné požadavky jako pro vůz kategorie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Pokud zvláštní použití vozidla neumožňuje splnit všechny požadavky řádku K1 nebo K2, lze udělit výjimku z požadavků za předpokladu, že jsou namontována všechna povinná světelná zařízení. V případě motorového karavanu, sanitky, pohřebního vozu a obrněného vozidla nesmí být ovlivněna geometrická viditelnost.</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Osobní automobil o celkové hmotnosti přesahující 2 500 kg a vyrobený z nákladního automobilu nebo autobusu může splňovat požadavky, které se vztahují na základní vozidlo. Totéž platí pro autobus vyrobený z nákladního automobilu nebo osobního automobilu.</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Vozidla nemusí splňovat následující požadavky předpisu EHK č. 48 a přílohy 2 směrnice 76/756/EHS:</w:t>
            </w:r>
          </w:p>
          <w:p w14:paraId="0B6FFA58" w14:textId="77777777" w:rsidR="00F808A7" w:rsidRPr="00DC4B0A" w:rsidRDefault="00F808A7" w:rsidP="00FC02EB">
            <w:pPr>
              <w:pStyle w:val="Styckemedindrag"/>
            </w:pPr>
            <w:r>
              <w:t>1. 6.1.2. pokud jde o omezení na nejvýše čtyři dálkové světlomety.</w:t>
            </w:r>
          </w:p>
          <w:p w14:paraId="61E3C0AF" w14:textId="77777777" w:rsidR="00F808A7" w:rsidRPr="00DC4B0A" w:rsidRDefault="00F808A7" w:rsidP="00FC02EB">
            <w:pPr>
              <w:pStyle w:val="Styckemedindrag"/>
            </w:pPr>
            <w:r>
              <w:t>2. 6.1.9. (souhrnná maximální intenzita paprsků).</w:t>
            </w:r>
          </w:p>
          <w:p w14:paraId="7963D4AF" w14:textId="77777777" w:rsidR="00F808A7" w:rsidRPr="00DC4B0A" w:rsidRDefault="00F808A7" w:rsidP="00FC02EB">
            <w:pPr>
              <w:pStyle w:val="Styckemedindrag"/>
            </w:pPr>
            <w:r>
              <w:t>3. 6.10.2. pokud jde o omezení na nejvýše dvě zadní obrysová svítidla. Počet světel by však měl být rovnoměrný.</w:t>
            </w:r>
          </w:p>
          <w:p w14:paraId="05E338FC" w14:textId="77777777" w:rsidR="00F808A7" w:rsidRPr="00DC4B0A" w:rsidRDefault="00F808A7" w:rsidP="00FC02EB">
            <w:pPr>
              <w:pStyle w:val="Styckemedindrag"/>
            </w:pPr>
            <w:r>
              <w:t>4. 6.4.2. pokud jde o omezení na nejvýše dvě zpětná světla. Počet světel nesmí překročit čtyři.</w:t>
            </w:r>
          </w:p>
          <w:p w14:paraId="790DD550" w14:textId="77777777" w:rsidR="00F808A7" w:rsidRPr="00DC4B0A" w:rsidRDefault="00F808A7" w:rsidP="00FC02EB">
            <w:pPr>
              <w:pStyle w:val="Styckemedindrag"/>
            </w:pPr>
            <w:r>
              <w:t>5. 6.5.3. pokud jde o omezení nejvýše dvou zadních směrových světel kategorie 2a nebo 2b. Počet světel nesmí překročit čtyři.</w:t>
            </w:r>
          </w:p>
          <w:p w14:paraId="22BD5FFE" w14:textId="77777777" w:rsidR="00F808A7" w:rsidRPr="00DC4B0A" w:rsidRDefault="00F808A7" w:rsidP="00FC02EB">
            <w:pPr>
              <w:pStyle w:val="Styckemedindrag"/>
            </w:pPr>
            <w:r>
              <w:t>6. 6.6.7.2. pokud jde o omezení nejvýše dvou brzdových světel kategorie S1 nebo S2. Počet světel nesmí překročit čtyři.</w:t>
            </w:r>
          </w:p>
          <w:p w14:paraId="5618458D" w14:textId="77777777" w:rsidR="00F808A7" w:rsidRPr="00802803" w:rsidRDefault="00F808A7" w:rsidP="00FC02EB">
            <w:pPr>
              <w:pStyle w:val="Styckemedindrag"/>
              <w:rPr>
                <w:szCs w:val="19"/>
              </w:rPr>
            </w:pPr>
            <w:r>
              <w:t>7. 6.9.2. pokud jde o omezení na nejvýše dva přední obrysová světla. Počet světel nesmí překročit čtyři.</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Vozidlo může být vybaveno světly určenými k dodatečnému osvětlení při práci vedle vozidla, tzv. pracovním osvětlením, které vyzařuje bílé světlo. Vyhledávací světla jsou také považována za pracovní osvětlení.</w:t>
            </w:r>
          </w:p>
          <w:p w14:paraId="7C92BB7C" w14:textId="77777777" w:rsidR="00F808A7" w:rsidRPr="00121825" w:rsidRDefault="00F808A7" w:rsidP="00FC02EB">
            <w:pPr>
              <w:pStyle w:val="Styckemedindrag"/>
              <w:rPr>
                <w:szCs w:val="19"/>
              </w:rPr>
            </w:pPr>
            <w:r>
              <w:t>Při zapojení pracovního osvětlení musí být k dispozici signalizační světlo, které svítí oranžově nebo červeně, a toto světlo musí být viditelné ze sedadla řidiče.</w:t>
            </w:r>
          </w:p>
          <w:p w14:paraId="242F9004" w14:textId="77777777" w:rsidR="00F808A7" w:rsidRPr="00254CD4" w:rsidRDefault="00F808A7" w:rsidP="00FC02EB">
            <w:pPr>
              <w:pStyle w:val="Styckemedindrag"/>
              <w:rPr>
                <w:szCs w:val="19"/>
              </w:rPr>
            </w:pPr>
            <w:r>
              <w:t>Osvětlení musí být namontováno tak, aby při běžné jízdě nevibrovalo ani nezměnilo polohu.</w:t>
            </w:r>
          </w:p>
          <w:p w14:paraId="4FB4A89E" w14:textId="77777777" w:rsidR="00F808A7" w:rsidRPr="00121825" w:rsidRDefault="00F808A7" w:rsidP="00FC02EB">
            <w:pPr>
              <w:pStyle w:val="Styckemedindrag"/>
              <w:rPr>
                <w:szCs w:val="19"/>
              </w:rPr>
            </w:pPr>
            <w:r>
              <w:t>Pracovní osvětlení nesmí:</w:t>
            </w:r>
          </w:p>
          <w:p w14:paraId="60B593F5" w14:textId="77777777" w:rsidR="00F808A7" w:rsidRPr="00254CD4" w:rsidRDefault="00F808A7" w:rsidP="00FC02EB">
            <w:pPr>
              <w:pStyle w:val="Styckemedindrag"/>
              <w:rPr>
                <w:szCs w:val="19"/>
              </w:rPr>
            </w:pPr>
            <w:r>
              <w:t>1. být ve skupině s jinými svítidly nebo světly;</w:t>
            </w:r>
          </w:p>
          <w:p w14:paraId="30FA00B0" w14:textId="77777777" w:rsidR="00F808A7" w:rsidRPr="00254CD4" w:rsidRDefault="00F808A7" w:rsidP="00FC02EB">
            <w:pPr>
              <w:pStyle w:val="Styckemedindrag"/>
              <w:rPr>
                <w:szCs w:val="19"/>
              </w:rPr>
            </w:pPr>
            <w:r>
              <w:t>2. být kombinováno s jinými svítidly nebo světly; a</w:t>
            </w:r>
          </w:p>
          <w:p w14:paraId="01F91BE2" w14:textId="77777777" w:rsidR="00F808A7" w:rsidRPr="00802803" w:rsidRDefault="00F808A7" w:rsidP="00FC02EB">
            <w:pPr>
              <w:pStyle w:val="Styckemedindrag"/>
              <w:rPr>
                <w:szCs w:val="19"/>
              </w:rPr>
            </w:pPr>
            <w:r>
              <w:t>3. tvořit sdružená svítidla nebo světla.</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Autobusy mohou být vybaveny svítidly pro osvětlení prostoru před provozními dveřmi, tzv. výstupním osvětlením, které se nachází vedle provozních dveří pro cestující.</w:t>
            </w:r>
          </w:p>
          <w:p w14:paraId="762E573B" w14:textId="77777777" w:rsidR="00F808A7" w:rsidRPr="00802803" w:rsidRDefault="00F808A7" w:rsidP="00FC02EB">
            <w:pPr>
              <w:pStyle w:val="Styckemedindrag"/>
            </w:pPr>
            <w:r>
              <w:t>Umístění výšky výstupního osvětlení musí být nejméně 2 000 mm.</w:t>
            </w:r>
          </w:p>
          <w:p w14:paraId="6AD55676" w14:textId="77777777" w:rsidR="00F808A7" w:rsidRPr="00802803" w:rsidRDefault="00F808A7" w:rsidP="00FC02EB">
            <w:pPr>
              <w:pStyle w:val="Styckemedindrag"/>
              <w:rPr>
                <w:szCs w:val="19"/>
              </w:rPr>
            </w:pPr>
            <w:r>
              <w:t>Výstupní osvětlení nesmí přesahovat nejširší šířku karoserie o více než 50 mm.</w:t>
            </w:r>
          </w:p>
          <w:p w14:paraId="1562D997" w14:textId="77777777" w:rsidR="00F808A7" w:rsidRPr="00802803" w:rsidRDefault="00F808A7" w:rsidP="00FC02EB">
            <w:pPr>
              <w:pStyle w:val="Styckemedindrag"/>
              <w:rPr>
                <w:szCs w:val="19"/>
              </w:rPr>
            </w:pPr>
            <w:r>
              <w:t>Výstupní osvětlení musí být nastaveno a stíněno tak, aby nevyzařovalo světlo, které může oslňovat ostatní účastníky silničního provozu v oblasti mimo poloměr 10 metrů od svítidla.</w:t>
            </w:r>
          </w:p>
          <w:p w14:paraId="0C423EEA" w14:textId="77777777" w:rsidR="00F808A7" w:rsidRPr="00802803" w:rsidRDefault="00F808A7" w:rsidP="00FC02EB">
            <w:pPr>
              <w:pStyle w:val="Styckemedindrag"/>
              <w:rPr>
                <w:szCs w:val="19"/>
              </w:rPr>
            </w:pPr>
            <w:r>
              <w:t>Osvětlení musí být namontováno tak, aby při běžné jízdě nevibrovalo ani nezměnilo polohu.</w:t>
            </w:r>
          </w:p>
          <w:p w14:paraId="64744E4E" w14:textId="77777777" w:rsidR="00F808A7" w:rsidRDefault="00F808A7" w:rsidP="00FC02EB">
            <w:pPr>
              <w:pStyle w:val="Styckemedindrag"/>
            </w:pPr>
            <w:r>
              <w:t>Výstupní osvětlení nesmí:</w:t>
            </w:r>
          </w:p>
          <w:p w14:paraId="5CECE21F" w14:textId="77777777" w:rsidR="00F808A7" w:rsidRPr="00DC4B0A" w:rsidRDefault="00F808A7" w:rsidP="00FC02EB">
            <w:pPr>
              <w:pStyle w:val="Styckemedindrag"/>
              <w:rPr>
                <w:szCs w:val="19"/>
              </w:rPr>
            </w:pPr>
            <w:r>
              <w:t>1. být ve skupině s jinými svítidly nebo světly;</w:t>
            </w:r>
          </w:p>
          <w:p w14:paraId="06ABACA9" w14:textId="77777777" w:rsidR="00F808A7" w:rsidRPr="00DC4B0A" w:rsidRDefault="00F808A7" w:rsidP="00FC02EB">
            <w:pPr>
              <w:pStyle w:val="Styckemedindrag"/>
              <w:rPr>
                <w:szCs w:val="19"/>
              </w:rPr>
            </w:pPr>
            <w:r>
              <w:t>2. být kombinováno s jinými svítidly nebo světly; a</w:t>
            </w:r>
          </w:p>
          <w:p w14:paraId="030B8A5E" w14:textId="77777777" w:rsidR="00F808A7" w:rsidRPr="00121825" w:rsidRDefault="00F808A7" w:rsidP="00FC02EB">
            <w:pPr>
              <w:pStyle w:val="Styckemedindrag"/>
              <w:rPr>
                <w:szCs w:val="19"/>
              </w:rPr>
            </w:pPr>
            <w:r>
              <w:t>3. tvořit sdružená svítidla nebo světla.</w:t>
            </w:r>
          </w:p>
          <w:p w14:paraId="6CC7E9C0" w14:textId="77777777" w:rsidR="00F808A7" w:rsidRPr="00802803" w:rsidRDefault="00F808A7" w:rsidP="00FC02EB">
            <w:pPr>
              <w:pStyle w:val="Styckemedindrag"/>
            </w:pPr>
            <w:r>
              <w:t>Výstupní osvětlení musí být připojeno k elektrickému systému vozidla tak, aby mohlo být rozsvíceno pouze v souvislosti s otevřením provozních dveří pro cestující a nemohlo svítit, pokud vozidlo dosáhlo rychlosti 5 km/h nebo vyšší.</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Vozidla, která jsou vzhledem ke svému použití vybavena zařízením zakrývajícím potkávací světlomety, mohou být vybavena čtyřmi potkávacími světlomety. To je za předpokladu, že světlomety jsou spojeny tak, že oba páry nemohou být rozsvíceny současně.</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Automobily používané jako taxi mohou být vybaveny svítidlem, které emituje zelené světlo směrem dopředu (určené k signalizaci, že taxi je k dispozici).</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lastRenderedPageBreak/>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Policejní vozidla mohou být vybavena světly používanými pro policejní signál P11 – zajeďte ke kraji a zastavte před policejním vozidlem – podle kapitoly 7 § 2 vyhlášky o dopravním značení (2007:90), která svítí modře a červeně.</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Přídavné reflektory na zásahovém vozidle mohou svítit bílým světlem směrem dozadu.</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Nákladní vozidlo kategorie N</w:t>
            </w:r>
            <w:r>
              <w:rPr>
                <w:vertAlign w:val="subscript"/>
              </w:rPr>
              <w:t xml:space="preserve">2 </w:t>
            </w:r>
            <w:r>
              <w:t>a N</w:t>
            </w:r>
            <w:r>
              <w:rPr>
                <w:vertAlign w:val="subscript"/>
              </w:rPr>
              <w:t>3</w:t>
            </w:r>
            <w:r>
              <w:t xml:space="preserve"> a přípojné vozidlo kategorie O</w:t>
            </w:r>
            <w:r>
              <w:rPr>
                <w:vertAlign w:val="subscript"/>
              </w:rPr>
              <w:t>3</w:t>
            </w:r>
            <w:r>
              <w:t xml:space="preserve"> a O</w:t>
            </w:r>
            <w:r>
              <w:rPr>
                <w:vertAlign w:val="subscript"/>
              </w:rPr>
              <w:t>4</w:t>
            </w:r>
            <w:r>
              <w:t xml:space="preserve"> může být vybaveno značkami označujícími těžká nebo dlouhá vozidla. Značky musí být homologovány a instalovány podle předpisu EHK č.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Ustanovení o výjimkách pro označení řidičů-žáků na vozidlech používaných autoškolou jsou uvedena v § 6 nařízení Švédské dopravní agentury (TSFS 2010:81) o označení cvičných jízd a výcviku řidičů a o dohledu nad cvičnými jízdami v autoškolách.</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Na vyprošťovacím vozidle může být vzadu na každé straně, která přiléhá k zadní stěně kabiny vozidla, umístěno další obrysové světlo, brzdové světlo a směrové světlo. Umístění světel se může lišit podle vzdálenosti potřebné k tomu, aby bylo vozidlo při vyprošťovacích pracích vzadu dobře viditelné.</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Přípojné vozidlo s výškou do 1,4 metru nemusí být vybaven přídavnými obrysovými světly. To platí i pro osobní automobil s výškou do 1,4 metru, počítáno od zadní části až po zadní stěnu kabiny.</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Pohotovostní vozidla policejních orgánů mohou být vybavena svítilnami vyzařujícími stálé slabé modré světlo. Svítivost musí být tak nízká, aby světlo nebylo možné zaměnit s modrým světlem z poplašného zařízení vozidla. Světlo nesmí být oslňující ani stmívatelné.</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Reflektory</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37614232" w:rsidR="00FC02EB" w:rsidRDefault="00FC02EB" w:rsidP="00D104F7">
                          <w:pPr>
                            <w:pStyle w:val="FSnr-sidhuvud"/>
                            <w:ind w:left="0" w:right="0"/>
                          </w:pPr>
                          <w:r>
                            <w:fldChar w:fldCharType="begin"/>
                          </w:r>
                          <w:r>
                            <w:instrText xml:space="preserve"> STYLEREF  FS-nr  \* MERGEFORMAT </w:instrText>
                          </w:r>
                          <w:r>
                            <w:fldChar w:fldCharType="separate"/>
                          </w:r>
                          <w:r w:rsidR="00564A6E">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37614232" w:rsidR="00FC02EB" w:rsidRDefault="00FC02EB" w:rsidP="00D104F7">
                    <w:pPr>
                      <w:pStyle w:val="FSnr-sidhuvud"/>
                      <w:ind w:left="0" w:right="0"/>
                    </w:pPr>
                    <w:r>
                      <w:fldChar w:fldCharType="begin"/>
                    </w:r>
                    <w:r>
                      <w:instrText xml:space="preserve"> STYLEREF  FS-nr  \* MERGEFORMAT </w:instrText>
                    </w:r>
                    <w:r>
                      <w:fldChar w:fldCharType="separate"/>
                    </w:r>
                    <w:r w:rsidR="00564A6E">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Viz směrnice Evropského parlamentu a Rady (EU) 2015/1535 ze dne 9. září 2015 o postupu při poskytování informací v oblasti technických předpisů a předpisů pro služby informační společnosti.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564A6E" w:rsidP="00641EF3">
    <w:pPr>
      <w:pStyle w:val="FSnr-sidhuvud"/>
      <w:ind w:left="3345" w:firstLine="1871"/>
    </w:pPr>
    <w:sdt>
      <w:sdtPr>
        <w:alias w:val="Sbírka předpisů"/>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Příloha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564A6E" w:rsidP="00A41C32">
    <w:pPr>
      <w:pStyle w:val="FSnr-sidhuvud"/>
      <w:jc w:val="right"/>
    </w:pPr>
    <w:sdt>
      <w:sdtPr>
        <w:alias w:val="Sbírka předpisů"/>
        <w:id w:val="1150257239"/>
        <w:text/>
      </w:sdtPr>
      <w:sdtEndPr/>
      <w:sdtContent>
        <w:r w:rsidR="00DA20BB">
          <w:t>TSFS 20</w:t>
        </w:r>
      </w:sdtContent>
    </w:sdt>
    <w:sdt>
      <w:sdtPr>
        <w:alias w:val="Rok"/>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4541"/>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4A6E"/>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cs-CZ"/>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cs-CZ"/>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cs-CZ"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consensis-fs">
  <fs-fields>
    <fs-no-prefix/>
    <fs-year>23</fs-year>
    <fs-no>XX</fs-no>
    <fs-date/>
    <fs-series>SILNIČNÍ PROVOZ</fs-series>
    <fs-subseries/>
    <fs-heading/>
  </fs-fields>
</root>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7</Pages>
  <Words>1388</Words>
  <Characters>8096</Characters>
  <Application>Microsoft Office Word</Application>
  <DocSecurity>0</DocSecurity>
  <Lines>67</Lines>
  <Paragraphs>18</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