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E98F" w14:textId="64C95871" w:rsidR="004D73A6" w:rsidRPr="00DE2474" w:rsidRDefault="004D73A6" w:rsidP="004D73A6">
      <w:pPr>
        <w:ind w:right="-755"/>
        <w:jc w:val="left"/>
        <w:rPr>
          <w:rFonts w:ascii="Courier New" w:hAnsi="Courier New"/>
          <w:sz w:val="20"/>
        </w:rPr>
      </w:pPr>
      <w:r>
        <w:rPr>
          <w:rFonts w:ascii="Courier New" w:hAnsi="Courier New"/>
          <w:sz w:val="20"/>
        </w:rPr>
        <w:t>1. ------IND- 2021 0045 D-- RO- ------ 20210210 --- --- PRO</w:t>
      </w:r>
      <w:r w:rsidR="00FD74FB">
        <w:rPr>
          <w:rFonts w:ascii="Courier New" w:hAnsi="Courier New"/>
          <w:sz w:val="20"/>
        </w:rPr>
        <w:t>J</w:t>
      </w:r>
      <w:r>
        <w:rPr>
          <w:rFonts w:ascii="Courier New" w:hAnsi="Courier New"/>
          <w:sz w:val="20"/>
        </w:rPr>
        <w:t>E</w:t>
      </w:r>
      <w:bookmarkStart w:id="0" w:name="_GoBack"/>
      <w:bookmarkEnd w:id="0"/>
      <w:r>
        <w:rPr>
          <w:rFonts w:ascii="Courier New" w:hAnsi="Courier New"/>
          <w:sz w:val="20"/>
        </w:rPr>
        <w:t>T</w:t>
      </w:r>
    </w:p>
    <w:p w14:paraId="2A1D7EB4" w14:textId="77777777" w:rsidR="00A1618A" w:rsidRPr="0018171E" w:rsidRDefault="00A1618A" w:rsidP="00E5776A">
      <w:pPr>
        <w:spacing w:after="240" w:line="360" w:lineRule="auto"/>
        <w:rPr>
          <w:rFonts w:ascii="Arial" w:hAnsi="Arial" w:cs="Arial"/>
          <w:sz w:val="26"/>
          <w:szCs w:val="26"/>
        </w:rPr>
      </w:pPr>
      <w:r>
        <w:rPr>
          <w:rFonts w:ascii="Arial" w:hAnsi="Arial"/>
          <w:sz w:val="26"/>
          <w:szCs w:val="26"/>
        </w:rPr>
        <w:t>Ministerul Federal pentru Justiție și Protecția Consumatorilor</w:t>
      </w:r>
    </w:p>
    <w:p w14:paraId="4892787C" w14:textId="77777777" w:rsidR="00A1618A" w:rsidRPr="0018171E" w:rsidRDefault="00A1618A" w:rsidP="00E5776A">
      <w:pPr>
        <w:spacing w:after="360" w:line="360" w:lineRule="auto"/>
        <w:jc w:val="center"/>
        <w:rPr>
          <w:rFonts w:ascii="Arial Fett" w:hAnsi="Arial Fett" w:cs="Arial"/>
          <w:b/>
          <w:sz w:val="30"/>
          <w:szCs w:val="30"/>
        </w:rPr>
      </w:pPr>
      <w:r>
        <w:rPr>
          <w:rFonts w:ascii="Arial Fett" w:hAnsi="Arial Fett"/>
          <w:b/>
          <w:sz w:val="30"/>
          <w:szCs w:val="30"/>
        </w:rPr>
        <w:t>Propunere de modificare</w:t>
      </w:r>
    </w:p>
    <w:p w14:paraId="3625169F" w14:textId="77777777" w:rsidR="00A1618A" w:rsidRPr="0018171E" w:rsidRDefault="00A1618A" w:rsidP="00E5776A">
      <w:pPr>
        <w:spacing w:line="360" w:lineRule="auto"/>
        <w:rPr>
          <w:rFonts w:ascii="Arial" w:hAnsi="Arial" w:cs="Arial"/>
          <w:b/>
          <w:sz w:val="26"/>
          <w:szCs w:val="26"/>
        </w:rPr>
      </w:pPr>
      <w:r>
        <w:rPr>
          <w:rFonts w:ascii="Arial" w:hAnsi="Arial"/>
          <w:b/>
          <w:sz w:val="26"/>
          <w:szCs w:val="26"/>
        </w:rPr>
        <w:t>La proiectul de lege al guvernului federal</w:t>
      </w:r>
    </w:p>
    <w:p w14:paraId="47E1A8FA" w14:textId="77777777" w:rsidR="00A1618A" w:rsidRPr="0018171E" w:rsidRDefault="00A1618A" w:rsidP="00E5776A">
      <w:pPr>
        <w:spacing w:after="240" w:line="360" w:lineRule="auto"/>
        <w:rPr>
          <w:rFonts w:ascii="Arial" w:hAnsi="Arial" w:cs="Arial"/>
          <w:b/>
          <w:sz w:val="26"/>
          <w:szCs w:val="26"/>
        </w:rPr>
      </w:pPr>
      <w:r>
        <w:rPr>
          <w:rFonts w:ascii="Arial" w:hAnsi="Arial"/>
          <w:b/>
          <w:sz w:val="26"/>
          <w:szCs w:val="26"/>
        </w:rPr>
        <w:t xml:space="preserve">– Versiune tipărită </w:t>
      </w:r>
      <w:r>
        <w:rPr>
          <w:rStyle w:val="Marker"/>
          <w:b/>
        </w:rPr>
        <w:t>[…]</w:t>
      </w:r>
      <w:r>
        <w:rPr>
          <w:rFonts w:ascii="Arial" w:hAnsi="Arial"/>
          <w:b/>
          <w:sz w:val="26"/>
          <w:szCs w:val="26"/>
        </w:rPr>
        <w:t xml:space="preserve"> –</w:t>
      </w:r>
    </w:p>
    <w:p w14:paraId="371C6925" w14:textId="77777777" w:rsidR="00A1618A" w:rsidRPr="0018171E" w:rsidRDefault="00A1618A" w:rsidP="00E5776A">
      <w:pPr>
        <w:spacing w:after="480" w:line="360" w:lineRule="auto"/>
        <w:rPr>
          <w:rStyle w:val="Marker"/>
        </w:rPr>
      </w:pPr>
      <w:r>
        <w:rPr>
          <w:rStyle w:val="Marker"/>
        </w:rPr>
        <w:t>[…]</w:t>
      </w:r>
    </w:p>
    <w:p w14:paraId="57FA809D" w14:textId="77777777" w:rsidR="00A1618A" w:rsidRPr="0018171E" w:rsidRDefault="00A1618A" w:rsidP="00E5776A">
      <w:pPr>
        <w:spacing w:line="360" w:lineRule="auto"/>
        <w:rPr>
          <w:rFonts w:ascii="Arial" w:hAnsi="Arial" w:cs="Arial"/>
          <w:sz w:val="22"/>
        </w:rPr>
      </w:pPr>
      <w:r>
        <w:rPr>
          <w:rFonts w:ascii="Arial" w:hAnsi="Arial"/>
          <w:sz w:val="22"/>
        </w:rPr>
        <w:t>Bundestagul Germaniei decide</w:t>
      </w:r>
    </w:p>
    <w:p w14:paraId="7B2A7215" w14:textId="5911DA34" w:rsidR="0063228E" w:rsidRPr="0018171E" w:rsidRDefault="00A1618A" w:rsidP="00E5776A">
      <w:pPr>
        <w:spacing w:line="360" w:lineRule="auto"/>
        <w:rPr>
          <w:rFonts w:ascii="Arial" w:hAnsi="Arial" w:cs="Arial"/>
          <w:sz w:val="22"/>
        </w:rPr>
      </w:pPr>
      <w:r>
        <w:rPr>
          <w:rFonts w:ascii="Arial" w:hAnsi="Arial"/>
          <w:sz w:val="22"/>
        </w:rPr>
        <w:t xml:space="preserve">să adopte proiectul de lege privind versiunea tipărită </w:t>
      </w:r>
      <w:r>
        <w:rPr>
          <w:rStyle w:val="Marker"/>
        </w:rPr>
        <w:t>[…]</w:t>
      </w:r>
      <w:r>
        <w:rPr>
          <w:rFonts w:ascii="Arial" w:hAnsi="Arial"/>
          <w:sz w:val="22"/>
        </w:rPr>
        <w:t xml:space="preserve"> cu următoarele măsuri, care de altfel rămân neschimbate:</w:t>
      </w:r>
    </w:p>
    <w:p w14:paraId="63DEEB82" w14:textId="1DF3B60D" w:rsidR="00A1618A" w:rsidRPr="0018171E" w:rsidRDefault="00A1618A" w:rsidP="00A1618A">
      <w:pPr>
        <w:pStyle w:val="EmpfehlungNummerierungStufe1"/>
      </w:pPr>
      <w:r>
        <w:t>După articolul ... se introduce următorul articol ...:</w:t>
      </w:r>
    </w:p>
    <w:p w14:paraId="299BD583" w14:textId="5B63D453" w:rsidR="00E5776A" w:rsidRPr="0018171E" w:rsidRDefault="00E5776A" w:rsidP="009C727B">
      <w:pPr>
        <w:pStyle w:val="RevisionArtikelBezeichnermanuell"/>
        <w:ind w:left="425" w:hanging="70"/>
      </w:pPr>
      <w:r>
        <w:t xml:space="preserve">„Articolul </w:t>
      </w:r>
      <w:r>
        <w:rPr>
          <w:rStyle w:val="Marker"/>
        </w:rPr>
        <w:t>[…]</w:t>
      </w:r>
      <w:r>
        <w:rPr>
          <w:rStyle w:val="FootnoteReference"/>
          <w:color w:val="0000FF"/>
        </w:rPr>
        <w:footnoteReference w:customMarkFollows="1" w:id="1"/>
        <w:t>*</w:t>
      </w:r>
      <w:r>
        <w:rPr>
          <w:rStyle w:val="FootnoteReference"/>
          <w:color w:val="0000FF"/>
          <w:vertAlign w:val="baseline"/>
        </w:rPr>
        <w:t>)</w:t>
      </w:r>
      <w:r>
        <w:rPr>
          <w:rStyle w:val="Marker"/>
        </w:rPr>
        <w:t xml:space="preserve"> </w:t>
      </w:r>
    </w:p>
    <w:p w14:paraId="0353C7F8" w14:textId="06DB94DE" w:rsidR="00D879BF" w:rsidRPr="0018171E" w:rsidRDefault="00D879BF" w:rsidP="009C727B">
      <w:pPr>
        <w:pStyle w:val="RevisionArtikelberschrift"/>
        <w:ind w:left="425"/>
      </w:pPr>
      <w:r>
        <w:rPr>
          <w:b/>
        </w:rPr>
        <w:t>Modificarea Legii privind operarea rețelelor</w:t>
      </w:r>
    </w:p>
    <w:p w14:paraId="17D06E04" w14:textId="25FA39A2" w:rsidR="00A1618A" w:rsidRPr="0018171E" w:rsidRDefault="00A1618A" w:rsidP="0018171E">
      <w:pPr>
        <w:pStyle w:val="RevisionJuristischerAbsatzmanuell"/>
        <w:keepNext/>
        <w:tabs>
          <w:tab w:val="clear" w:pos="850"/>
          <w:tab w:val="left" w:pos="1275"/>
        </w:tabs>
        <w:ind w:left="425"/>
      </w:pPr>
      <w:r>
        <w:t>Legea privind operarea rețelelor din 1 septembrie 2017 (Monitorul Oficial Federal I p. 3352), modificată ultima dată prin ... [articolul 1 din proiectul unei legi de modificare a Legii privind operarea rețelelor, versiunea tipărită a Bundestagului 19/18792], se modifică după cum urmează:</w:t>
      </w:r>
    </w:p>
    <w:p w14:paraId="32195031" w14:textId="0D6EA219" w:rsidR="00A1618A" w:rsidRPr="0018171E" w:rsidRDefault="00A1618A" w:rsidP="009C727B">
      <w:pPr>
        <w:pStyle w:val="RevisionNummerierungStufe1"/>
        <w:numPr>
          <w:ilvl w:val="3"/>
          <w:numId w:val="2"/>
        </w:numPr>
        <w:tabs>
          <w:tab w:val="clear" w:pos="425"/>
          <w:tab w:val="num" w:pos="850"/>
        </w:tabs>
        <w:ind w:left="850"/>
      </w:pPr>
      <w:r>
        <w:t xml:space="preserve">La articolul 1 alineatul (2), textul </w:t>
      </w:r>
      <w:r>
        <w:rPr>
          <w:rStyle w:val="RevisionText"/>
        </w:rPr>
        <w:t>«articolele 2-3b»</w:t>
      </w:r>
      <w:r>
        <w:t xml:space="preserve"> se înlocuiește cu cuvintele </w:t>
      </w:r>
      <w:r>
        <w:rPr>
          <w:rStyle w:val="RevisionText"/>
        </w:rPr>
        <w:t>«articolele 2-3b și 5a»</w:t>
      </w:r>
      <w:r>
        <w:t>.</w:t>
      </w:r>
    </w:p>
    <w:p w14:paraId="10263F3F" w14:textId="0779D0EE" w:rsidR="00A1618A" w:rsidRPr="0018171E" w:rsidRDefault="00A1618A" w:rsidP="009C727B">
      <w:pPr>
        <w:pStyle w:val="RevisionNummerierungStufe1"/>
        <w:tabs>
          <w:tab w:val="clear" w:pos="425"/>
          <w:tab w:val="num" w:pos="850"/>
        </w:tabs>
        <w:ind w:left="850"/>
      </w:pPr>
      <w:r>
        <w:t xml:space="preserve">La articolul 1 alineatul (2) punctul 2 după cuvintele </w:t>
      </w:r>
      <w:r>
        <w:rPr>
          <w:rStyle w:val="RevisionText"/>
        </w:rPr>
        <w:t>«primesc sprijin»</w:t>
      </w:r>
      <w:r>
        <w:t xml:space="preserve"> se adaugă cuvintele </w:t>
      </w:r>
      <w:r>
        <w:rPr>
          <w:rStyle w:val="RevisionText"/>
        </w:rPr>
        <w:t>«și în acest scop li s-a acordat accesul la informații de la furnizor»</w:t>
      </w:r>
      <w:r>
        <w:t>.</w:t>
      </w:r>
    </w:p>
    <w:p w14:paraId="26550664" w14:textId="0FE945BB" w:rsidR="00A1618A" w:rsidRPr="0018171E" w:rsidRDefault="00A1618A" w:rsidP="0018171E">
      <w:pPr>
        <w:pStyle w:val="RevisionNummerierungStufe1"/>
        <w:keepNext/>
        <w:tabs>
          <w:tab w:val="clear" w:pos="425"/>
          <w:tab w:val="num" w:pos="850"/>
        </w:tabs>
        <w:ind w:left="850"/>
      </w:pPr>
      <w:r>
        <w:t>După articolul 5, se introduce articolul 5a cu următoarea formulare:</w:t>
      </w:r>
    </w:p>
    <w:p w14:paraId="0324CC36" w14:textId="2F7FB129" w:rsidR="00D879BF" w:rsidRPr="0018171E" w:rsidRDefault="00D879BF" w:rsidP="009C727B">
      <w:pPr>
        <w:pStyle w:val="RevisionParagraphBezeichnermanuell"/>
        <w:ind w:left="850" w:hanging="90"/>
      </w:pPr>
      <w:r>
        <w:t>«Articolul 5a</w:t>
      </w:r>
    </w:p>
    <w:p w14:paraId="726DC658" w14:textId="39CB7E5F" w:rsidR="00D879BF" w:rsidRPr="0018171E" w:rsidRDefault="00D879BF" w:rsidP="009C727B">
      <w:pPr>
        <w:pStyle w:val="RevisionParagraphberschrift"/>
        <w:ind w:left="850"/>
      </w:pPr>
      <w:r>
        <w:t>Informații pentru cercetarea științifică</w:t>
      </w:r>
    </w:p>
    <w:p w14:paraId="6AD69D50" w14:textId="4BFCD7E0" w:rsidR="003E7797" w:rsidRPr="0018171E" w:rsidRDefault="00792014" w:rsidP="009C727B">
      <w:pPr>
        <w:pStyle w:val="RevisionJuristischerAbsatz"/>
        <w:numPr>
          <w:ilvl w:val="2"/>
          <w:numId w:val="1"/>
        </w:numPr>
        <w:tabs>
          <w:tab w:val="clear" w:pos="850"/>
          <w:tab w:val="num" w:pos="1700"/>
        </w:tabs>
        <w:ind w:left="850"/>
      </w:pPr>
      <w:r>
        <w:t>În sensul prezentei reglementări, un cercetător este orice persoană fizică sau juridică care efectuează cercetări științifice.</w:t>
      </w:r>
    </w:p>
    <w:p w14:paraId="465DF5C8" w14:textId="2D2C57F4" w:rsidR="003E7797" w:rsidRPr="0018171E" w:rsidRDefault="003E7797" w:rsidP="0018171E">
      <w:pPr>
        <w:pStyle w:val="RevisionJuristischerAbsatz"/>
        <w:keepNext/>
        <w:tabs>
          <w:tab w:val="clear" w:pos="850"/>
          <w:tab w:val="num" w:pos="1700"/>
        </w:tabs>
        <w:ind w:left="850"/>
      </w:pPr>
      <w:r>
        <w:lastRenderedPageBreak/>
        <w:t>Un cercetător poate solicita informații calificate de la furnizorul unei rețele sociale despre:</w:t>
      </w:r>
    </w:p>
    <w:p w14:paraId="1DAACCE7" w14:textId="576C75C0" w:rsidR="003E7797" w:rsidRPr="0018171E" w:rsidRDefault="003E7797" w:rsidP="009C727B">
      <w:pPr>
        <w:pStyle w:val="RevisionNummerierungStufe1"/>
        <w:tabs>
          <w:tab w:val="clear" w:pos="425"/>
          <w:tab w:val="num" w:pos="1275"/>
        </w:tabs>
        <w:ind w:left="1275"/>
      </w:pPr>
      <w:r>
        <w:t>utilizarea și modul specific de funcționare a procedurilor de detectare automată a conținutului care urmează să fie eliminat sau blocat, în special cu privire la tipul și sfera tehnologiilor utilizate și la scopurile, criteriile și parametrii pentru programarea acestora, precum și la datele utilizate,</w:t>
      </w:r>
    </w:p>
    <w:p w14:paraId="3C838C31" w14:textId="1ACF9BED" w:rsidR="003E7797" w:rsidRPr="0018171E" w:rsidRDefault="003E7797" w:rsidP="009C727B">
      <w:pPr>
        <w:pStyle w:val="RevisionNummerierungStufe1"/>
        <w:tabs>
          <w:tab w:val="clear" w:pos="425"/>
          <w:tab w:val="num" w:pos="1275"/>
        </w:tabs>
        <w:ind w:left="1275"/>
      </w:pPr>
      <w:r>
        <w:t>distribuirea conținutului care a făcut obiectul reclamațiilor privind conținutul ilegal sau care a fost eliminat sau blocat de către furnizor, în special conținutul corespunzător, precum și informațiile cu privire la utilizatorii care au interacționat cu conținutul și maniera în care au făcut acest lucru.</w:t>
      </w:r>
    </w:p>
    <w:p w14:paraId="1DA5F836" w14:textId="37C638B4" w:rsidR="003E7797" w:rsidRPr="0018171E" w:rsidRDefault="003E7797" w:rsidP="009C727B">
      <w:pPr>
        <w:pStyle w:val="RevisionJuristischerAbsatz"/>
        <w:tabs>
          <w:tab w:val="clear" w:pos="850"/>
          <w:tab w:val="num" w:pos="1700"/>
        </w:tabs>
        <w:ind w:left="850"/>
      </w:pPr>
      <w:r>
        <w:t>Informațiile prevăzute la alineatul (2) pot fi solicitate numai dacă sunt necesare pentru proiecte de cercetare științifică de interes public cu privire la tipul, domeniul de aplicare, cauzele și efectele comunicării publice în rețelele sociale și modul în care furnizorii se ocupă de acestea.</w:t>
      </w:r>
    </w:p>
    <w:p w14:paraId="0D5D8322" w14:textId="0EC96F12" w:rsidR="003B0970" w:rsidRPr="0018171E" w:rsidRDefault="003B0970" w:rsidP="0018171E">
      <w:pPr>
        <w:pStyle w:val="RevisionJuristischerAbsatz"/>
        <w:keepNext/>
        <w:tabs>
          <w:tab w:val="clear" w:pos="850"/>
          <w:tab w:val="num" w:pos="1700"/>
        </w:tabs>
        <w:ind w:left="850"/>
      </w:pPr>
      <w:r>
        <w:t>Dezvăluirea de informații poate avea loc numai dacă cercetătorul prezintă un concept de protecție furnizorului rețelei sociale. Conceptul de protecție include</w:t>
      </w:r>
    </w:p>
    <w:p w14:paraId="577C67EC" w14:textId="60CDC11C" w:rsidR="003B0970" w:rsidRPr="0018171E" w:rsidRDefault="003B0970" w:rsidP="009C727B">
      <w:pPr>
        <w:pStyle w:val="RevisionNummerierungStufe1"/>
        <w:tabs>
          <w:tab w:val="clear" w:pos="425"/>
          <w:tab w:val="num" w:pos="1275"/>
        </w:tabs>
        <w:ind w:left="1275"/>
      </w:pPr>
      <w:r>
        <w:t>o descriere a informațiilor necesare în scopuri de cercetare în conformitate cu alineatul (3);</w:t>
      </w:r>
    </w:p>
    <w:p w14:paraId="5AABA7E4" w14:textId="3A66C314" w:rsidR="003B0970" w:rsidRPr="0018171E" w:rsidRDefault="003B0970" w:rsidP="009C727B">
      <w:pPr>
        <w:pStyle w:val="RevisionNummerierungStufe1"/>
        <w:tabs>
          <w:tab w:val="clear" w:pos="425"/>
          <w:tab w:val="num" w:pos="1275"/>
        </w:tabs>
        <w:ind w:left="1275"/>
      </w:pPr>
      <w:r>
        <w:t>o descriere a utilizării intenționate a informațiilor;</w:t>
      </w:r>
    </w:p>
    <w:p w14:paraId="0654C9E5" w14:textId="4D2A02B0" w:rsidR="003B0970" w:rsidRPr="0018171E" w:rsidRDefault="009A5C22" w:rsidP="009C727B">
      <w:pPr>
        <w:pStyle w:val="RevisionNummerierungStufe1"/>
        <w:tabs>
          <w:tab w:val="clear" w:pos="425"/>
          <w:tab w:val="num" w:pos="1275"/>
        </w:tabs>
        <w:ind w:left="1275"/>
      </w:pPr>
      <w:r>
        <w:t>o descriere a măsurilor de precauție luate pentru a preveni orice altă utilizare a informațiilor;</w:t>
      </w:r>
    </w:p>
    <w:p w14:paraId="7DD21787" w14:textId="65E2C567" w:rsidR="003B0970" w:rsidRPr="0018171E" w:rsidRDefault="009A5C22" w:rsidP="009C727B">
      <w:pPr>
        <w:pStyle w:val="RevisionNummerierungStufe1"/>
        <w:tabs>
          <w:tab w:val="clear" w:pos="425"/>
          <w:tab w:val="num" w:pos="1275"/>
        </w:tabs>
        <w:ind w:left="1275"/>
      </w:pPr>
      <w:r>
        <w:t>o descriere a măsurilor de precauție pentru protejarea intereselor legitime ale furnizorului și</w:t>
      </w:r>
    </w:p>
    <w:p w14:paraId="7FDD7EDD" w14:textId="6C7443DB" w:rsidR="003B0970" w:rsidRPr="0018171E" w:rsidRDefault="003B0970" w:rsidP="009C727B">
      <w:pPr>
        <w:pStyle w:val="RevisionNummerierungStufe1"/>
        <w:tabs>
          <w:tab w:val="clear" w:pos="425"/>
          <w:tab w:val="num" w:pos="1275"/>
        </w:tabs>
        <w:ind w:left="1275"/>
      </w:pPr>
      <w:r>
        <w:t>o descriere a măsurilor tehnice și organizatorice care asigură protecția datelor cu caracter personal.</w:t>
      </w:r>
    </w:p>
    <w:p w14:paraId="6F58E8FB" w14:textId="7863B11B" w:rsidR="003B0970" w:rsidRPr="0018171E" w:rsidRDefault="003B0970" w:rsidP="009C727B">
      <w:pPr>
        <w:pStyle w:val="RevisionJuristischerAbsatzFolgeabsatz"/>
        <w:ind w:left="850"/>
      </w:pPr>
      <w:r>
        <w:t>Conceptul de protecție trebuie trimis autorității pentru protecția datelor în același timp cu solicitarea de informații.</w:t>
      </w:r>
    </w:p>
    <w:p w14:paraId="4D175D2B" w14:textId="0B4186A8" w:rsidR="009C0AFB" w:rsidRPr="0018171E" w:rsidRDefault="003E7797" w:rsidP="0018171E">
      <w:pPr>
        <w:pStyle w:val="RevisionJuristischerAbsatz"/>
        <w:keepNext/>
        <w:tabs>
          <w:tab w:val="clear" w:pos="850"/>
          <w:tab w:val="num" w:pos="1700"/>
        </w:tabs>
        <w:ind w:left="850"/>
      </w:pPr>
      <w:r>
        <w:t>Furnizorul unei rețele sociale poate refuza să furnizeze informații dacă</w:t>
      </w:r>
    </w:p>
    <w:p w14:paraId="20E7290B" w14:textId="1403DA61" w:rsidR="009C0AFB" w:rsidRPr="0018171E" w:rsidRDefault="003E7797" w:rsidP="009C727B">
      <w:pPr>
        <w:pStyle w:val="RevisionNummerierungStufe1"/>
        <w:tabs>
          <w:tab w:val="clear" w:pos="425"/>
          <w:tab w:val="num" w:pos="1275"/>
        </w:tabs>
        <w:ind w:left="1275"/>
      </w:pPr>
      <w:r>
        <w:t>interesele sale legitime depășesc semnificativ interesul public pentru cercetare sau</w:t>
      </w:r>
    </w:p>
    <w:p w14:paraId="0330033E" w14:textId="544CB962" w:rsidR="003E7797" w:rsidRPr="0018171E" w:rsidRDefault="003E7797" w:rsidP="009C727B">
      <w:pPr>
        <w:pStyle w:val="RevisionNummerierungStufe1"/>
        <w:tabs>
          <w:tab w:val="clear" w:pos="425"/>
          <w:tab w:val="num" w:pos="1275"/>
        </w:tabs>
        <w:ind w:left="1275"/>
      </w:pPr>
      <w:r>
        <w:t>interesele legitime ale persoanelor vizate sunt afectate negativ, iar interesul public pentru cercetare nu depășește interesele de confidențialitate ale persoanelor vizate.</w:t>
      </w:r>
    </w:p>
    <w:p w14:paraId="63F909E8" w14:textId="4478DA44" w:rsidR="00D969A6" w:rsidRPr="0018171E" w:rsidRDefault="00D969A6" w:rsidP="0018171E">
      <w:pPr>
        <w:pStyle w:val="RevisionJuristischerAbsatz"/>
        <w:keepNext/>
        <w:tabs>
          <w:tab w:val="clear" w:pos="850"/>
          <w:tab w:val="num" w:pos="1700"/>
        </w:tabs>
        <w:ind w:left="850"/>
      </w:pPr>
      <w:r>
        <w:t>Furnizorul unei rețele sociale poate transmite următoarele date cu caracter personal în scopul dezvăluirii de informații în conformitate cu alineatul (2):</w:t>
      </w:r>
    </w:p>
    <w:p w14:paraId="63FE05D0" w14:textId="1ABFB4BC" w:rsidR="00D969A6" w:rsidRPr="0018171E" w:rsidRDefault="00D969A6" w:rsidP="009C727B">
      <w:pPr>
        <w:pStyle w:val="RevisionNummerierungStufe1"/>
        <w:tabs>
          <w:tab w:val="clear" w:pos="425"/>
          <w:tab w:val="num" w:pos="1275"/>
        </w:tabs>
        <w:ind w:left="1275"/>
      </w:pPr>
      <w:r>
        <w:t>conținutul distribuit,</w:t>
      </w:r>
    </w:p>
    <w:p w14:paraId="2331E910" w14:textId="7E2B248A" w:rsidR="00D969A6" w:rsidRPr="0018171E" w:rsidRDefault="00D969A6" w:rsidP="009C727B">
      <w:pPr>
        <w:pStyle w:val="RevisionNummerierungStufe1"/>
        <w:tabs>
          <w:tab w:val="clear" w:pos="425"/>
          <w:tab w:val="num" w:pos="1275"/>
        </w:tabs>
        <w:ind w:left="1275"/>
      </w:pPr>
      <w:r>
        <w:t>reclamații privind conținutul ilegal,</w:t>
      </w:r>
    </w:p>
    <w:p w14:paraId="4CC6BEE3" w14:textId="48B4D2C4" w:rsidR="00D969A6" w:rsidRPr="0018171E" w:rsidRDefault="00D969A6" w:rsidP="009C727B">
      <w:pPr>
        <w:pStyle w:val="RevisionNummerierungStufe1"/>
        <w:tabs>
          <w:tab w:val="clear" w:pos="425"/>
          <w:tab w:val="num" w:pos="1275"/>
        </w:tabs>
        <w:ind w:left="1275"/>
      </w:pPr>
      <w:r>
        <w:t>numele de utilizator ale celor implicați în distribuire,</w:t>
      </w:r>
    </w:p>
    <w:p w14:paraId="7F95ED84" w14:textId="6E103565" w:rsidR="00D969A6" w:rsidRPr="0018171E" w:rsidRDefault="00D969A6" w:rsidP="009C727B">
      <w:pPr>
        <w:pStyle w:val="RevisionNummerierungStufe1"/>
        <w:tabs>
          <w:tab w:val="clear" w:pos="425"/>
          <w:tab w:val="num" w:pos="1275"/>
        </w:tabs>
        <w:ind w:left="1275"/>
      </w:pPr>
      <w:r>
        <w:t>detaliile interacțiunilor celor implicați în distribuire în ceea ce privește conținutul respectiv și</w:t>
      </w:r>
    </w:p>
    <w:p w14:paraId="35C5E61A" w14:textId="08449E2C" w:rsidR="00D969A6" w:rsidRPr="0018171E" w:rsidRDefault="00D969A6" w:rsidP="009C727B">
      <w:pPr>
        <w:pStyle w:val="RevisionNummerierungStufe1"/>
        <w:tabs>
          <w:tab w:val="clear" w:pos="425"/>
          <w:tab w:val="num" w:pos="1275"/>
        </w:tabs>
        <w:ind w:left="1275"/>
      </w:pPr>
      <w:r>
        <w:lastRenderedPageBreak/>
        <w:t>datele de instruire din procedurile de recunoaștere automată a conținutului care urmează să fie eliminat sau blocat, precum și informații despre modul de acțiune, scopuri, criterii și parametri pentru programarea acestor proceduri.</w:t>
      </w:r>
    </w:p>
    <w:p w14:paraId="041944BF" w14:textId="44C7953A" w:rsidR="00D969A6" w:rsidRPr="0018171E" w:rsidRDefault="00D969A6" w:rsidP="009C727B">
      <w:pPr>
        <w:pStyle w:val="RevisionJuristischerAbsatzFolgeabsatz"/>
        <w:ind w:left="850"/>
      </w:pPr>
      <w:r>
        <w:t xml:space="preserve">Datele trebuie transmise anonim sau cel puțin </w:t>
      </w:r>
      <w:proofErr w:type="spellStart"/>
      <w:r>
        <w:t>pseudonimizate</w:t>
      </w:r>
      <w:proofErr w:type="spellEnd"/>
      <w:r>
        <w:t>, cu condiția ca acest lucru să fie posibil fără a pune în pericol scopul cercetării.</w:t>
      </w:r>
    </w:p>
    <w:p w14:paraId="586F09EF" w14:textId="3B2EB56C" w:rsidR="00D969A6" w:rsidRPr="0018171E" w:rsidRDefault="00D969A6" w:rsidP="009C727B">
      <w:pPr>
        <w:pStyle w:val="RevisionJuristischerAbsatz"/>
        <w:tabs>
          <w:tab w:val="clear" w:pos="850"/>
          <w:tab w:val="num" w:pos="1700"/>
        </w:tabs>
        <w:ind w:left="850"/>
      </w:pPr>
      <w:r>
        <w:t>Cercetătorul poate prelucra datele numai în scopul cercetării științifice, în conformitate cu alineatul (3). În ceea ce privește categoriile speciale de date în sensul articolului 9 alineatul (1) din Regulamentul (UE) 2016/679 al Parlamentului European și al Consiliului din 27 aprilie 2016 privind protecția persoanelor fizice în ceea ce privește prelucrarea datelor cu caracter personal și privind libera circulație a acestor date și de abrogare a Directivei 95/46 /CE (Regulamentul general privind protecția datelor) (JO L 119 din 4.5.2016, p. 1; L 314 din 22.11.2016, p. 72; L 127 din 23.5.2018, p. 2), astfel cum sunt prelucrate în versiunea valabilă curent, cercetătorul trebuie să ia măsuri adecvate și specifice pentru a proteja interesele persoanei vizate în conformitate cu articolul 22 alineatul (2) a doua teză din Legea federală privind protecția datelor. Pe lângă măsurile menționate acolo, datele în sensul articolului 9 alineatul (1) din Regulamentul (UE) 2016/679 trebuie anonimizate de îndată ce acest lucru este posibil în funcție de scopul cercetării. Orice alte cerințe de protecție a datelor rămân neafectate.</w:t>
      </w:r>
    </w:p>
    <w:p w14:paraId="1627C846" w14:textId="381758EE" w:rsidR="0063228E" w:rsidRPr="0018171E" w:rsidRDefault="00D969A6" w:rsidP="00301E30">
      <w:pPr>
        <w:pStyle w:val="RevisionJuristischerAbsatz"/>
        <w:tabs>
          <w:tab w:val="clear" w:pos="850"/>
          <w:tab w:val="num" w:pos="1700"/>
        </w:tabs>
        <w:ind w:left="850"/>
      </w:pPr>
      <w:r>
        <w:t>Furnizorul unei rețele sociale are dreptul de a primi de la cercetător o suma rezonabilă reprezentând rambursarea costurilor suportate prin dezvăluirea de informații în conformitate cu alineatul (2). La stabilirea sumei corespunzătoare, costurile nu trebuie să reprezinte un obstacol major în calea revendicării dreptului la informații. Se aplică articolul 287 alineatul (1) din Legea privind procedura administrativă. Costurile rambursabile pot fi de până la 5 000 EUR. Această sumă poate fi depășită numai dacă dezvăluirea de informații are ca rezultat un efort excepțional de mare. După transmiterea conceptului de protecție în conformitate cu alineatul (4), cercetătorul poate solicita furnizorului să prezinte gratuit o estimare a costurilor într-o perioadă de timp rezonabilă.»’”</w:t>
      </w:r>
    </w:p>
    <w:p w14:paraId="36342A1E" w14:textId="099F92EE" w:rsidR="0063228E" w:rsidRPr="0018171E" w:rsidRDefault="00482E04" w:rsidP="0018171E">
      <w:pPr>
        <w:pStyle w:val="EmpfehlungNummerierungStufe1"/>
        <w:keepNext/>
      </w:pPr>
      <w:r>
        <w:t xml:space="preserve">Articolul </w:t>
      </w:r>
      <w:r>
        <w:rPr>
          <w:rStyle w:val="Marker"/>
        </w:rPr>
        <w:t>[…]</w:t>
      </w:r>
      <w:r>
        <w:t xml:space="preserve"> are formularea următoare:</w:t>
      </w:r>
    </w:p>
    <w:p w14:paraId="49D47905" w14:textId="31CE6EC1" w:rsidR="00173C16" w:rsidRPr="0018171E" w:rsidRDefault="00173C16" w:rsidP="009C727B">
      <w:pPr>
        <w:pStyle w:val="RevisionArtikelBezeichnermanuell"/>
        <w:ind w:left="425" w:hanging="90"/>
      </w:pPr>
      <w:r>
        <w:t xml:space="preserve">„Articolul </w:t>
      </w:r>
      <w:r>
        <w:rPr>
          <w:rStyle w:val="Marker"/>
        </w:rPr>
        <w:t>[…]</w:t>
      </w:r>
    </w:p>
    <w:p w14:paraId="577BA21A" w14:textId="3EB5AE99" w:rsidR="00173C16" w:rsidRPr="0018171E" w:rsidRDefault="00173C16" w:rsidP="009C727B">
      <w:pPr>
        <w:pStyle w:val="RevisionArtikelberschrift"/>
        <w:ind w:left="425"/>
      </w:pPr>
      <w:r>
        <w:rPr>
          <w:rStyle w:val="Marker"/>
        </w:rPr>
        <w:t>[…]</w:t>
      </w:r>
    </w:p>
    <w:p w14:paraId="5AF7FB2C" w14:textId="090B4924" w:rsidR="00173C16" w:rsidRPr="0018171E" w:rsidRDefault="00173C16" w:rsidP="009C727B">
      <w:pPr>
        <w:pStyle w:val="RevisionJuristischerAbsatzmanuell"/>
        <w:tabs>
          <w:tab w:val="clear" w:pos="850"/>
          <w:tab w:val="left" w:pos="1275"/>
        </w:tabs>
        <w:ind w:left="425"/>
      </w:pPr>
      <w:r>
        <w:t xml:space="preserve">… </w:t>
      </w:r>
      <w:r>
        <w:rPr>
          <w:rStyle w:val="Marker"/>
        </w:rPr>
        <w:t>[dacă este necesar, reglementarea de executare separată]</w:t>
      </w:r>
      <w:r>
        <w:t xml:space="preserve"> …”</w:t>
      </w:r>
      <w:r>
        <w:rPr>
          <w:color w:val="auto"/>
        </w:rPr>
        <w:t>.</w:t>
      </w:r>
    </w:p>
    <w:p w14:paraId="2CDAA614" w14:textId="1C885BBD" w:rsidR="00A1618A" w:rsidRPr="0018171E" w:rsidRDefault="00A1618A" w:rsidP="009F08C0">
      <w:pPr>
        <w:pStyle w:val="EinzelbegrndungTitel"/>
      </w:pPr>
      <w:r>
        <w:t>Expunere de motive</w:t>
      </w:r>
    </w:p>
    <w:p w14:paraId="5B2223BB" w14:textId="271DB07E" w:rsidR="009F08C0" w:rsidRPr="0018171E" w:rsidRDefault="009F08C0" w:rsidP="0018171E">
      <w:pPr>
        <w:pStyle w:val="Text"/>
        <w:keepNext/>
        <w:rPr>
          <w:rStyle w:val="Marker"/>
          <w:b/>
          <w:color w:val="auto"/>
        </w:rPr>
      </w:pPr>
      <w:r>
        <w:rPr>
          <w:rStyle w:val="Marker"/>
          <w:b/>
          <w:color w:val="auto"/>
        </w:rPr>
        <w:t xml:space="preserve">La punctul 1 </w:t>
      </w:r>
    </w:p>
    <w:p w14:paraId="47C1AE4D" w14:textId="77777777" w:rsidR="00D969A6" w:rsidRPr="0018171E" w:rsidRDefault="00D969A6" w:rsidP="00D969A6">
      <w:pPr>
        <w:pStyle w:val="Text"/>
        <w:rPr>
          <w:rStyle w:val="Marker"/>
          <w:color w:val="auto"/>
        </w:rPr>
      </w:pPr>
      <w:r>
        <w:rPr>
          <w:rStyle w:val="Marker"/>
          <w:color w:val="auto"/>
        </w:rPr>
        <w:t xml:space="preserve">Dezbaterile politice și procesele de formare a opiniilor au loc tot mai mult în spațiul digital și în social media. Procesul de comunicare care are loc acolo are acum o importanță considerabilă pentru formarea opiniei publice. De exemplu, pentru distribuirea de programe și idei politice, accesul la anumite rețele sociale, care datorită importanței lor reprezintă un mediu care nu este ușor schimbabil, </w:t>
      </w:r>
      <w:r>
        <w:rPr>
          <w:rStyle w:val="Marker"/>
          <w:color w:val="auto"/>
        </w:rPr>
        <w:lastRenderedPageBreak/>
        <w:t xml:space="preserve">poate avea o importanță capitală (v. </w:t>
      </w:r>
      <w:proofErr w:type="spellStart"/>
      <w:r>
        <w:rPr>
          <w:rStyle w:val="Marker"/>
          <w:color w:val="auto"/>
        </w:rPr>
        <w:t>BVerfG</w:t>
      </w:r>
      <w:proofErr w:type="spellEnd"/>
      <w:r>
        <w:rPr>
          <w:rStyle w:val="Marker"/>
          <w:color w:val="auto"/>
        </w:rPr>
        <w:t xml:space="preserve">, ordin interimar din 22 mai 2019 - 1 </w:t>
      </w:r>
      <w:proofErr w:type="spellStart"/>
      <w:r>
        <w:rPr>
          <w:rStyle w:val="Marker"/>
          <w:color w:val="auto"/>
        </w:rPr>
        <w:t>BvQ</w:t>
      </w:r>
      <w:proofErr w:type="spellEnd"/>
      <w:r>
        <w:rPr>
          <w:rStyle w:val="Marker"/>
          <w:color w:val="auto"/>
        </w:rPr>
        <w:t xml:space="preserve"> 42/19 -, nr. 19).</w:t>
      </w:r>
    </w:p>
    <w:p w14:paraId="6C4892FE" w14:textId="77777777" w:rsidR="00D969A6" w:rsidRPr="0018171E" w:rsidRDefault="00D969A6" w:rsidP="00D969A6">
      <w:pPr>
        <w:pStyle w:val="Text"/>
        <w:rPr>
          <w:rStyle w:val="Marker"/>
          <w:color w:val="auto"/>
        </w:rPr>
      </w:pPr>
      <w:r>
        <w:rPr>
          <w:rStyle w:val="Marker"/>
          <w:color w:val="auto"/>
        </w:rPr>
        <w:t>Din acest motiv, există un interes public considerabil pentru a permite o mai mare transparență cu privire la funcționarea platformelor respective și la procesul de distribuire a conținutului acolo, precum și la rezultatele cercetărilor independente.</w:t>
      </w:r>
    </w:p>
    <w:p w14:paraId="373BFE01" w14:textId="385D0837" w:rsidR="00D969A6" w:rsidRPr="0018171E" w:rsidRDefault="00D969A6" w:rsidP="00D969A6">
      <w:pPr>
        <w:pStyle w:val="Text"/>
        <w:rPr>
          <w:rStyle w:val="Marker"/>
          <w:color w:val="auto"/>
        </w:rPr>
      </w:pPr>
      <w:r>
        <w:rPr>
          <w:rStyle w:val="Marker"/>
          <w:color w:val="auto"/>
        </w:rPr>
        <w:t xml:space="preserve">Pe de o parte, aceasta se referă la problema criteriilor pe baza cărora furnizorii decid asupra posibilității de utilizare a platformei lor și permit sau restricționează posibilitatea distribuirii conținutului pe platformă. Problema privind modul în care furnizorii majori, care sunt importanți pentru discursul public, tratează reclamațiile cu privire la conținutul ilegal, de exemplu, și modul în care se iau decizii cu privire la restricțiile privind distribuirea conținutului, reprezintă o preocupare publică considerabilă datorită importanței furnizorilor majori (v. versiunea deja tipărită a Bundestagului 19/18792, p. 42). Deoarece numai cu o transparență adecvată, publicul larg poate înțelege de ce și în ce mod este restricționată distribuirea anumitor conținuturi. Trebuie să se țină seama de faptul că deciziile corespunzătoare de moderare sunt acum luate deseori cu ajutorul procedurilor automate complexe. De exemplu, Facebook raportează că între timp conținutul înregistrat ca „discurs de ură” în sensul așa-numitelor standarde comunitare este predominant găsit de furnizorul însuși cu ajutorul soluțiilor tehnologice (v. https://transparency.facebook.com/community-standards-enforcement#hate-speech; accesat pe 12 octombrie 2020). Pentru a putea crea transparență pentru publicul larg cu privire la procesele subiacente - parțial complexe din punct de vedere tehnic - prin urmare, este de înțeles o preocupare majoră cu privire la faptul că știința și cercetarea utilizează proceduri de recunoaștere a automată a conținutului, în măsura în care acest lucru ar trebui eliminat sau blocat (v. versiunea tipărită a Bundestagului 19/18792, p. 43). În acest sens, nu este suficient ca știința și cercetarea să poată recurge la informațiile generale din rapoartele privind transparența conform articolului 2 din </w:t>
      </w:r>
      <w:proofErr w:type="spellStart"/>
      <w:r>
        <w:rPr>
          <w:rStyle w:val="Marker"/>
          <w:color w:val="auto"/>
        </w:rPr>
        <w:t>NetzDG</w:t>
      </w:r>
      <w:proofErr w:type="spellEnd"/>
      <w:r>
        <w:rPr>
          <w:rStyle w:val="Marker"/>
          <w:color w:val="auto"/>
        </w:rPr>
        <w:t>, care servesc la informarea unui public larg. Deoarece, în scopul științei și al cercetării, sunt necesare nu numai astfel de informații generale sau agregate, ci și informații mai detaliate și date brute (de exemplu, conținutul menționat în mod expres la alineatul (6), contextul respectiv și datele de instruire ale procedurilor automate) pentru a putea oferi în mod independent științific cunoștințe fondate despre procedurile în cauză de recunoaștere automată a conținutului.</w:t>
      </w:r>
    </w:p>
    <w:p w14:paraId="138C3D37" w14:textId="032BC65F" w:rsidR="00D969A6" w:rsidRPr="0018171E" w:rsidRDefault="00D969A6" w:rsidP="00D969A6">
      <w:pPr>
        <w:pStyle w:val="Text"/>
        <w:rPr>
          <w:rStyle w:val="Marker"/>
          <w:color w:val="auto"/>
        </w:rPr>
      </w:pPr>
      <w:r>
        <w:rPr>
          <w:rStyle w:val="Marker"/>
          <w:color w:val="auto"/>
        </w:rPr>
        <w:t xml:space="preserve">O altă întrebare importantă se referă la trasabilitatea distribuirii de conținut ilegal. Conform situației juridice actuale, gestionarea reclamațiilor </w:t>
      </w:r>
      <w:proofErr w:type="spellStart"/>
      <w:r>
        <w:rPr>
          <w:rStyle w:val="Marker"/>
          <w:color w:val="auto"/>
        </w:rPr>
        <w:t>NetzDG</w:t>
      </w:r>
      <w:proofErr w:type="spellEnd"/>
      <w:r>
        <w:rPr>
          <w:rStyle w:val="Marker"/>
          <w:color w:val="auto"/>
        </w:rPr>
        <w:t xml:space="preserve"> se referă la conținutul specific obiectat prin intermediul unei reclamații privind conținutul ilegal. Cu toate acestea, conținutul din rețelele sociale poate fi, în parte, redistribuit către o mare varietate de utilizatori cu o viteză și într-o măsură considerabile. În acest fel, încălcările legii pot fi repetate și efectele distribuirii conținutului ilegal se pot intensifica în mod considerabil. Datorită importanței sociale semnificative generale a proceselor de comunicare care au loc pe marile rețele sociale pentru formarea opiniei publice, este important să înțelegem modul în care conținutul care a fost în cele din urmă eliminat de la furnizor sau care a fost respins ca ilegal de către furnizor se răspândește sau s-a răspândit pe rețelele sociale, inclusiv în cercurile implicate, pentru a acționa mai eficient împotriva distribuirii conținutului ilegal ca urmare a unei înțelegeri mai profunde a mecanismelor de distribuire.</w:t>
      </w:r>
    </w:p>
    <w:p w14:paraId="06151A16" w14:textId="5B551E2D" w:rsidR="00D969A6" w:rsidRPr="0018171E" w:rsidRDefault="00D969A6" w:rsidP="00D969A6">
      <w:pPr>
        <w:pStyle w:val="Text"/>
        <w:rPr>
          <w:rStyle w:val="Marker"/>
          <w:color w:val="auto"/>
        </w:rPr>
      </w:pPr>
      <w:r>
        <w:rPr>
          <w:rStyle w:val="Marker"/>
          <w:color w:val="auto"/>
        </w:rPr>
        <w:t xml:space="preserve">Articolul 5a din </w:t>
      </w:r>
      <w:proofErr w:type="spellStart"/>
      <w:r>
        <w:rPr>
          <w:rStyle w:val="Marker"/>
          <w:color w:val="auto"/>
        </w:rPr>
        <w:t>NetzDG</w:t>
      </w:r>
      <w:proofErr w:type="spellEnd"/>
      <w:r>
        <w:rPr>
          <w:rStyle w:val="Marker"/>
          <w:color w:val="auto"/>
        </w:rPr>
        <w:t xml:space="preserve"> se asigură că instituțiile de cercetare și cercetătorii primesc datele necesare.</w:t>
      </w:r>
    </w:p>
    <w:p w14:paraId="72966CD2" w14:textId="29B9B32B" w:rsidR="00D969A6" w:rsidRPr="0018171E" w:rsidRDefault="00D969A6" w:rsidP="00D969A6">
      <w:pPr>
        <w:pStyle w:val="Text"/>
        <w:rPr>
          <w:rStyle w:val="Marker"/>
          <w:color w:val="auto"/>
        </w:rPr>
      </w:pPr>
      <w:r>
        <w:rPr>
          <w:rStyle w:val="Marker"/>
          <w:color w:val="auto"/>
        </w:rPr>
        <w:t xml:space="preserve">Nu toată lumea este eligibilă, ci doar cercetătorii sau instituțiile de cercetare care desfășoară proiecte de cercetare în interes public. </w:t>
      </w:r>
      <w:r>
        <w:t xml:space="preserve">De regulă, acceptarea unui interes public trebuie asumată pentru proiectele de cercetare de la universități și </w:t>
      </w:r>
      <w:r>
        <w:lastRenderedPageBreak/>
        <w:t xml:space="preserve">instituții de cercetare non-universitare din Germania. </w:t>
      </w:r>
      <w:r>
        <w:rPr>
          <w:rStyle w:val="Marker"/>
          <w:color w:val="auto"/>
        </w:rPr>
        <w:t>Finanțarea predominantă din fonduri publice este indicativă pentru acceptarea unui interes public. Conform textului regulamentului, toate instituțiile care doresc să efectueze cercetări în interes public sunt acoperite, indiferent de locația lor. Pentru acceptarea unui interes public, va trebui să se solicite în mod regulat ca rezultatele cercetării să fie puse la dispoziția publicului și să servească în cele din urmă interesului comun. Acceptarea unui interes public este posibilă dacă cercetarea contribuie la realizarea obiectivelor legale. Pot exista argumente împotriva unui interes public dacă, din cauza dependenței de un anumit client, într-un anumit caz individual, există suspiciuni că nu se efectuează o cercetare imparțială. În plus, pot exista argumente împotriva unui interes public dacă există indicii că ar trebui efectuate cercetări cu privire la obiectivele economice sau politice.</w:t>
      </w:r>
    </w:p>
    <w:p w14:paraId="3A166ADB" w14:textId="77777777" w:rsidR="00146FA3" w:rsidRPr="0018171E" w:rsidRDefault="00D969A6" w:rsidP="00D969A6">
      <w:pPr>
        <w:pStyle w:val="Text"/>
        <w:rPr>
          <w:rStyle w:val="Marker"/>
          <w:color w:val="auto"/>
        </w:rPr>
      </w:pPr>
      <w:r>
        <w:rPr>
          <w:rStyle w:val="Marker"/>
          <w:color w:val="auto"/>
        </w:rPr>
        <w:t xml:space="preserve">Ca urmare a listei de la articolul 5a din </w:t>
      </w:r>
      <w:proofErr w:type="spellStart"/>
      <w:r>
        <w:rPr>
          <w:rStyle w:val="Marker"/>
          <w:color w:val="auto"/>
        </w:rPr>
        <w:t>NetzDG</w:t>
      </w:r>
      <w:proofErr w:type="spellEnd"/>
      <w:r>
        <w:rPr>
          <w:rStyle w:val="Marker"/>
          <w:color w:val="auto"/>
        </w:rPr>
        <w:t xml:space="preserve"> din articolul 1 alineatul (2) din </w:t>
      </w:r>
      <w:proofErr w:type="spellStart"/>
      <w:r>
        <w:rPr>
          <w:rStyle w:val="Marker"/>
          <w:color w:val="auto"/>
        </w:rPr>
        <w:t>NetzDG</w:t>
      </w:r>
      <w:proofErr w:type="spellEnd"/>
      <w:r>
        <w:rPr>
          <w:rStyle w:val="Marker"/>
          <w:color w:val="auto"/>
        </w:rPr>
        <w:t xml:space="preserve"> - indiferent de sediu - sunt obligați să depună reclamații numai acei furnizori de rețele sociale care au cel puțin două milioane de utilizatori înregistrați în Germania. Furnizorii corespunzători sunt obligați să furnizeze informații indiferent dacă au sediul în Germania sau nu. Acest lucru este în conformitate cu cerințele legale europene relevante, în special cu principiul țării de origine din Directiva 2000/31/CE (Directiva privind comerțul electronic). Chiar dacă dreptul prevăzut la informații în conformitate cu articolul 5a din </w:t>
      </w:r>
      <w:proofErr w:type="spellStart"/>
      <w:r>
        <w:rPr>
          <w:rStyle w:val="Marker"/>
          <w:color w:val="auto"/>
        </w:rPr>
        <w:t>NetzDG</w:t>
      </w:r>
      <w:proofErr w:type="spellEnd"/>
      <w:r>
        <w:rPr>
          <w:rStyle w:val="Marker"/>
          <w:color w:val="auto"/>
        </w:rPr>
        <w:t xml:space="preserve"> ar trebui să se încadreze în așa-numita zonă coordonată a Directivei privind comerțul electronic și, în acest caz, s-a observat un efect de restricție care este fundamental exclus în conformitate cu articolul 3 alineatul (2) din Directiva privind comerțul electronic, sunt disponibile în orice caz condițiile preliminare ale unei contra-excepții în conformitate cu articolul 3 alineatul (4) din Directiva privind comerțul electronic. Deoarece datorită importanței considerabile a furnizorilor înregistrați, oportunitățile îmbunătățite de cunoaștere garantate cu dreptul la informații sunt în orice caz necesare pentru prevenirea infracțiunilor, inclusiv lupta împotriva discursurilor de incitare la ură, precum și pentru protejarea consumatorilor [a se vedea articolul 3 alineatul (4) litera (a) punctul (i) prima și a patra liniuță din Directiva privind comerțul electronic]. Având în vedere lipsa considerabilă de informații cu privire la platformele înregistrate, care reprezintă un spațiu public din ce în ce mai important pentru cetățeni, există o nevoie urgentă de reglementare [articolul 3 alineatul (5) din Directiva privind comerțul electronic].</w:t>
      </w:r>
    </w:p>
    <w:p w14:paraId="2B3396E0" w14:textId="22DFC019" w:rsidR="00D969A6" w:rsidRPr="0018171E" w:rsidRDefault="00D969A6" w:rsidP="00D969A6">
      <w:pPr>
        <w:pStyle w:val="Text"/>
        <w:rPr>
          <w:rStyle w:val="Marker"/>
          <w:color w:val="auto"/>
        </w:rPr>
      </w:pPr>
      <w:r>
        <w:rPr>
          <w:rStyle w:val="Marker"/>
          <w:color w:val="auto"/>
        </w:rPr>
        <w:t>De asemenea, dreptul prevăzut la dezvăluirea de informații este limitat în diferite privințe pentru persoanele îndreptățite.</w:t>
      </w:r>
    </w:p>
    <w:p w14:paraId="7CD947D6" w14:textId="02AD6996" w:rsidR="00E97B1F" w:rsidRPr="0018171E" w:rsidRDefault="00E97B1F" w:rsidP="00D969A6">
      <w:pPr>
        <w:pStyle w:val="Text"/>
        <w:rPr>
          <w:rStyle w:val="Marker"/>
          <w:color w:val="auto"/>
        </w:rPr>
      </w:pPr>
      <w:r>
        <w:rPr>
          <w:rStyle w:val="Marker"/>
          <w:color w:val="auto"/>
        </w:rPr>
        <w:t>Cercetătorii eligibili pot solicita informații doar de la furnizorul rețelei sociale. Cu toate acestea, articolul 5a nu autorizează accesul tehnic direct la bazele de date sau la sistemele tehnice ale furnizorului. Cu toate acestea, pot fi solicitate informații calificate. Aceasta include date neafectate de o eroare sistematică, disponibile la furnizor, dar și informații prelucrate disponibile acolo, precum constatările din evaluările datelor disponibile la furnizor realizate de furnizor.</w:t>
      </w:r>
    </w:p>
    <w:p w14:paraId="72C56E68" w14:textId="39D2C9CA" w:rsidR="00E97B1F" w:rsidRPr="0018171E" w:rsidRDefault="00E97B1F" w:rsidP="00D969A6">
      <w:pPr>
        <w:pStyle w:val="Text"/>
        <w:rPr>
          <w:rStyle w:val="Marker"/>
          <w:color w:val="auto"/>
        </w:rPr>
      </w:pPr>
      <w:r>
        <w:rPr>
          <w:rStyle w:val="Marker"/>
          <w:color w:val="auto"/>
        </w:rPr>
        <w:t xml:space="preserve">În plus, în ceea ce privește conținutul, dreptul la informații se limitează la informații despre utilizarea și modul de acțiune al procedurilor de detectare a automată a conținutului care urmează să fie eliminat sau blocat, inclusiv scopurile, criteriile și parametrii programării. În plus, pot fi solicitate informații despre distribuirea conținutului care a făcut obiectul reclamațiilor privind conținutul ilegal sau care a fost eliminat sau blocat de către furnizor. </w:t>
      </w:r>
    </w:p>
    <w:p w14:paraId="752FC65F" w14:textId="4597FCAE" w:rsidR="00D969A6" w:rsidRPr="0018171E" w:rsidRDefault="00D969A6" w:rsidP="00D969A6">
      <w:pPr>
        <w:pStyle w:val="Text"/>
        <w:rPr>
          <w:rStyle w:val="Marker"/>
          <w:color w:val="auto"/>
        </w:rPr>
      </w:pPr>
      <w:r>
        <w:rPr>
          <w:rStyle w:val="Marker"/>
          <w:color w:val="auto"/>
        </w:rPr>
        <w:t xml:space="preserve">Informațiile corespunzătoare sunt adecvate și necesare pentru a înțelege mai bine restricțiile relevante din partea furnizorului asupra conținutului, precum și distribuirea conținutului pe platformele care sunt inadmisibile din perspectiva furnizorului sau raportate ca fiind ilegale. </w:t>
      </w:r>
    </w:p>
    <w:p w14:paraId="5D09F342" w14:textId="5F0FFD55" w:rsidR="00D969A6" w:rsidRPr="0018171E" w:rsidRDefault="00D969A6" w:rsidP="00D969A6">
      <w:pPr>
        <w:pStyle w:val="Text"/>
        <w:rPr>
          <w:rStyle w:val="Marker"/>
          <w:color w:val="auto"/>
        </w:rPr>
      </w:pPr>
      <w:r>
        <w:rPr>
          <w:rStyle w:val="Marker"/>
          <w:color w:val="auto"/>
        </w:rPr>
        <w:lastRenderedPageBreak/>
        <w:t>În plus, dreptul la informații este acordat cu condiția ca informațiile să fie solicitate în cazul concret pentru cercetarea științifică în interes public. Aceasta înseamnă că informațiile transmise pot fi utilizate exclusiv în scopuri științifice. În cele din urmă, scopurile de cercetare care pot fi luate în considerare sunt limitate la cercetarea cu privire la tipul, domeniul de aplicare, cauzele și efectele comunicării publice pe rețelele sociale și modul în care furnizorii se ocupă de acestea.</w:t>
      </w:r>
    </w:p>
    <w:p w14:paraId="588C65A9" w14:textId="3AAAB10E" w:rsidR="00C46490" w:rsidRPr="0018171E" w:rsidRDefault="00C46490" w:rsidP="00D969A6">
      <w:pPr>
        <w:pStyle w:val="Text"/>
        <w:rPr>
          <w:rStyle w:val="Marker"/>
          <w:color w:val="auto"/>
        </w:rPr>
      </w:pPr>
      <w:r>
        <w:rPr>
          <w:rStyle w:val="Marker"/>
          <w:color w:val="auto"/>
        </w:rPr>
        <w:t>Procedura propusă pentru transmiterea unui concept de protecție asigură respectarea intereselor care trebuie luate în considerare în conformitate cu articolul 5a. Furnizorul rețelei sociale poate refuza furnizarea de informații până la transmiterea conceptului de protecție. De asemenea, conceptul de protecție trebuie să fie transmis autorității pentru protecția datelor care poate iniția procedurile adecvate în cazul în care există indicii de încălcare a protecției datelor. Acest lucru prezintă o importanță deosebită, deoarece dezvăluirea de informații de către furnizor poate afecta, de asemenea, interesele terților, de exemplu ale utilizatorului.</w:t>
      </w:r>
    </w:p>
    <w:p w14:paraId="61C60CE8" w14:textId="669418FB" w:rsidR="00D969A6" w:rsidRPr="0018171E" w:rsidRDefault="00D969A6" w:rsidP="00D969A6">
      <w:pPr>
        <w:pStyle w:val="Text"/>
        <w:rPr>
          <w:rStyle w:val="Marker"/>
          <w:color w:val="auto"/>
        </w:rPr>
      </w:pPr>
      <w:r>
        <w:rPr>
          <w:rStyle w:val="Marker"/>
          <w:color w:val="auto"/>
        </w:rPr>
        <w:t>În plus, informațiile nu trebuie să intre în conflict cu interesele legitime predominante ale furnizorilor de rețele sociale. Interesele contradictorii care trebuie protejate sunt luate în considerare dacă accesul la date ar afecta în mod nerezonabil interesele confidențiale ale furnizorului. De asemenea, dreptul la informații nu se poate exercita dacă interesele legitime ale persoanelor vizate sunt afectate și interesul public pentru cercetare nu depășește interesele de confidențialitate ale persoanelor vizate.</w:t>
      </w:r>
    </w:p>
    <w:p w14:paraId="05EA09A2" w14:textId="77777777" w:rsidR="00D969A6" w:rsidRPr="0018171E" w:rsidRDefault="00D969A6" w:rsidP="00D969A6">
      <w:pPr>
        <w:pStyle w:val="Text"/>
        <w:rPr>
          <w:rStyle w:val="Marker"/>
          <w:color w:val="auto"/>
        </w:rPr>
      </w:pPr>
      <w:r>
        <w:rPr>
          <w:rStyle w:val="Marker"/>
          <w:color w:val="auto"/>
        </w:rPr>
        <w:t xml:space="preserve">În scopul transmiterii informațiilor, pot fi transmise și date cu caracter personal, dar trebuie să se efectueze anonimizarea sau cel puțin </w:t>
      </w:r>
      <w:proofErr w:type="spellStart"/>
      <w:r>
        <w:rPr>
          <w:rStyle w:val="Marker"/>
          <w:color w:val="auto"/>
        </w:rPr>
        <w:t>pseudonimizarea</w:t>
      </w:r>
      <w:proofErr w:type="spellEnd"/>
      <w:r>
        <w:rPr>
          <w:rStyle w:val="Marker"/>
          <w:color w:val="auto"/>
        </w:rPr>
        <w:t xml:space="preserve"> într-o măsură cât mai mare posibil. În plus, sunt prevăzute măsuri suplimentare pentru protecția datelor cu caracter personal dacă sunt prelucrate categorii speciale de date în sensul articolului 9 alineatul (1) din Regulamentul (UE) 2016/679. Celelalte reglementări privind protecția datelor, în special conform articolului 27 din BDSG, rămân neafectate. </w:t>
      </w:r>
    </w:p>
    <w:p w14:paraId="67D27A76" w14:textId="0A74581F" w:rsidR="00A135B4" w:rsidRPr="0018171E" w:rsidRDefault="00D969A6" w:rsidP="00D969A6">
      <w:pPr>
        <w:pStyle w:val="Text"/>
        <w:rPr>
          <w:rStyle w:val="Marker"/>
          <w:color w:val="auto"/>
        </w:rPr>
      </w:pPr>
      <w:r>
        <w:rPr>
          <w:rStyle w:val="Marker"/>
          <w:color w:val="auto"/>
        </w:rPr>
        <w:t>Furnizorul are dreptul la rambursarea costurilor rezonabile suportate prin dezvăluirea de informații cercetătorului. Limitând cererea de rambursare la costuri rezonabile, se asigură că dreptul cercetătorilor la informații nu se epuizează în practică din cauza cererilor de rambursare prohibitiv de mari. Acesta este și scopul stabilirii unei limite superioare pentru costurile rambursabile, care poate fi depășită numai în cazuri excepțional de complexe. Acesta poate fi cazul dacă efortul implicat în dezvăluirea de informații depășește în mod clar efortul depus în mod normal pentru dezvăluirea de informații pentru proiectele de cercetare acoperite de articolul 5a. În ceea ce privește caracterul rezonabil al costurilor, sarcina prezentării și dovedirii unor astfel de circumstanțe revine furnizorului rețelei sociale.</w:t>
      </w:r>
    </w:p>
    <w:p w14:paraId="1B437195" w14:textId="47B203AC" w:rsidR="00D969A6" w:rsidRPr="0018171E" w:rsidRDefault="00D969A6" w:rsidP="00D969A6">
      <w:pPr>
        <w:pStyle w:val="Text"/>
        <w:rPr>
          <w:rStyle w:val="Marker"/>
          <w:color w:val="auto"/>
        </w:rPr>
      </w:pPr>
      <w:r>
        <w:rPr>
          <w:rStyle w:val="Marker"/>
          <w:color w:val="auto"/>
        </w:rPr>
        <w:t>Aplicarea corespunzătoare a articolului 287 alineatul (1) din ZPO asigură că instanța competentă poate stabili în mod liber cuantumul cererii de rambursare în cazul unui litigiu, ținând seama de toate circumstanțele. Furnizorul nu va mai avea alte despăgubiri. Pentru a facilita securitatea planificării cercetătorului în ceea ce privește costurile suportate, acesta poate solicita furnizorului rețelei sociale să prezinte o estimare gratuită a costurilor într-o perioadă de timp rezonabilă după transmiterea conceptului de protecție.</w:t>
      </w:r>
    </w:p>
    <w:p w14:paraId="0569302F" w14:textId="40F9020F" w:rsidR="00E11559" w:rsidRPr="0018171E" w:rsidRDefault="00D969A6" w:rsidP="00D969A6">
      <w:pPr>
        <w:pStyle w:val="Text"/>
        <w:rPr>
          <w:rStyle w:val="Marker"/>
          <w:color w:val="auto"/>
        </w:rPr>
      </w:pPr>
      <w:r>
        <w:rPr>
          <w:rStyle w:val="Marker"/>
          <w:color w:val="auto"/>
        </w:rPr>
        <w:t>Dacă cercetătorul și furnizorul rețelei sociale oferă argumente cu privire la existența criteriilor de eligibilitate, se solicită intervenția instanțelor de drept comun pentru a se pronunța asupra acestui lucru.</w:t>
      </w:r>
    </w:p>
    <w:p w14:paraId="1A7FF4A4" w14:textId="180DAC81" w:rsidR="00732338" w:rsidRPr="0018171E" w:rsidRDefault="00132D0E" w:rsidP="00132D0E">
      <w:pPr>
        <w:pStyle w:val="Text"/>
        <w:rPr>
          <w:rStyle w:val="Marker"/>
          <w:color w:val="auto"/>
        </w:rPr>
      </w:pPr>
      <w:r>
        <w:rPr>
          <w:rStyle w:val="Marker"/>
          <w:color w:val="auto"/>
        </w:rPr>
        <w:lastRenderedPageBreak/>
        <w:t xml:space="preserve">Introducerea clauzei de cercetare este completată de o clarificare a cerințelor de raportare. În conformitate cu articolul 2 alineatul (2) punctul 2 din </w:t>
      </w:r>
      <w:proofErr w:type="spellStart"/>
      <w:r>
        <w:rPr>
          <w:rStyle w:val="Marker"/>
          <w:color w:val="auto"/>
        </w:rPr>
        <w:t>NetzDG</w:t>
      </w:r>
      <w:proofErr w:type="spellEnd"/>
      <w:r>
        <w:rPr>
          <w:rStyle w:val="Marker"/>
          <w:color w:val="auto"/>
        </w:rPr>
        <w:t xml:space="preserve"> prevăzută anterior, trebuie să se întocmească și un raport privind dacă și în ce măsură persoanelor din domeniul științei și cercetării li se oferă informații pentru a evalua procedurile utilizate de recunoaștere automată a conținutului (a se vedea documentul tipărit al Bundestagului Germaniei nr. 19/18792, p. 43). </w:t>
      </w:r>
      <w:proofErr w:type="spellStart"/>
      <w:r>
        <w:rPr>
          <w:rStyle w:val="Marker"/>
          <w:color w:val="auto"/>
        </w:rPr>
        <w:t>Completaea</w:t>
      </w:r>
      <w:proofErr w:type="spellEnd"/>
      <w:r>
        <w:rPr>
          <w:rStyle w:val="Marker"/>
          <w:color w:val="auto"/>
        </w:rPr>
        <w:t xml:space="preserve"> propusă la articolul 2 alineatul (2) punctul 2 din </w:t>
      </w:r>
      <w:proofErr w:type="spellStart"/>
      <w:r>
        <w:rPr>
          <w:rStyle w:val="Marker"/>
          <w:color w:val="auto"/>
        </w:rPr>
        <w:t>NetzDG</w:t>
      </w:r>
      <w:proofErr w:type="spellEnd"/>
      <w:r>
        <w:rPr>
          <w:rStyle w:val="Marker"/>
          <w:color w:val="auto"/>
        </w:rPr>
        <w:t xml:space="preserve"> arată clar că acest lucru se referă și la problema acordării accesului la informațiile furnizorului, inclusiv la informațiile furnizate în conformitate cu articolul 5a din </w:t>
      </w:r>
      <w:proofErr w:type="spellStart"/>
      <w:r>
        <w:rPr>
          <w:rStyle w:val="Marker"/>
          <w:color w:val="auto"/>
        </w:rPr>
        <w:t>NetzDG</w:t>
      </w:r>
      <w:proofErr w:type="spellEnd"/>
      <w:r>
        <w:rPr>
          <w:rStyle w:val="Marker"/>
          <w:color w:val="auto"/>
        </w:rPr>
        <w:t>.</w:t>
      </w:r>
    </w:p>
    <w:p w14:paraId="5F9F9891" w14:textId="5A8F43C7" w:rsidR="00E97B1F" w:rsidRPr="0018171E" w:rsidRDefault="00E97B1F" w:rsidP="00132D0E">
      <w:pPr>
        <w:pStyle w:val="Text"/>
        <w:rPr>
          <w:rStyle w:val="Marker"/>
          <w:color w:val="auto"/>
        </w:rPr>
      </w:pPr>
      <w:r>
        <w:rPr>
          <w:rStyle w:val="Marker"/>
          <w:color w:val="auto"/>
        </w:rPr>
        <w:t>Articolul 5a urmează să fie evaluat după trei ani de la intrarea în vigoare. Evaluarea se efectuează pentru a determina dacă și în ce măsură s-au obținut efectele preconizate. În special, aceasta include stabilirea dacă informațiile furnizate au susținut scopurile de cercetare de bază. De asemenea, ar trebui investigată și capacitatea de gestionare a regulamentului, în special în cazul unei dispute între cercetători și furnizorii de rețele sociale cu privire la obligația de dezvăluire de informații. În acest sens, ar trebui să se stabilească dacă implicarea unei autorități de mediere pentru soluționarea diferențelor de opinie cu privire la obligația de a furniza informații sau pentru specificarea unei cereri legitime de informații pare oportună și cum ar putea fi concepută o astfel de autoritate de mediere. De asemenea, evaluarea ar trebui să analizeze dacă a fost dovedită reglementarea privind rambursarea costurilor prevăzută la alineatul (8).</w:t>
      </w:r>
    </w:p>
    <w:p w14:paraId="2F6A2064" w14:textId="663911F1" w:rsidR="009F08C0" w:rsidRPr="0018171E" w:rsidRDefault="009F08C0" w:rsidP="0018171E">
      <w:pPr>
        <w:pStyle w:val="Text"/>
        <w:keepNext/>
        <w:rPr>
          <w:rStyle w:val="Marker"/>
          <w:b/>
          <w:color w:val="auto"/>
        </w:rPr>
      </w:pPr>
      <w:r>
        <w:rPr>
          <w:rStyle w:val="Marker"/>
          <w:b/>
          <w:color w:val="auto"/>
        </w:rPr>
        <w:t>La punctul 2</w:t>
      </w:r>
    </w:p>
    <w:p w14:paraId="7D853F30" w14:textId="43DDA2F0" w:rsidR="00132D0E" w:rsidRPr="0018171E" w:rsidRDefault="00132D0E" w:rsidP="00D969A6">
      <w:pPr>
        <w:pStyle w:val="Text"/>
        <w:rPr>
          <w:rStyle w:val="Marker"/>
          <w:color w:val="auto"/>
        </w:rPr>
      </w:pPr>
      <w:r>
        <w:rPr>
          <w:rStyle w:val="Marker"/>
          <w:color w:val="auto"/>
        </w:rPr>
        <w:t>Reglementările privind intrarea în vigoare de la articolul ... sunt completate în ceea ce privește modificările aduse Legii privind operarea rețelelor.</w:t>
      </w:r>
    </w:p>
    <w:sectPr w:rsidR="00132D0E" w:rsidRPr="0018171E"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18F4E" w14:textId="77777777" w:rsidR="00A56E52" w:rsidRDefault="00A56E52" w:rsidP="00FF4465">
      <w:pPr>
        <w:spacing w:before="0" w:after="0"/>
      </w:pPr>
      <w:r>
        <w:separator/>
      </w:r>
    </w:p>
  </w:endnote>
  <w:endnote w:type="continuationSeparator" w:id="0">
    <w:p w14:paraId="4DDE014C" w14:textId="77777777" w:rsidR="00A56E52" w:rsidRDefault="00A56E52"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8B15B" w14:textId="77777777" w:rsidR="00A56E52" w:rsidRDefault="00A56E52" w:rsidP="00FF4465">
      <w:pPr>
        <w:spacing w:before="0" w:after="0"/>
      </w:pPr>
      <w:r>
        <w:separator/>
      </w:r>
    </w:p>
  </w:footnote>
  <w:footnote w:type="continuationSeparator" w:id="0">
    <w:p w14:paraId="3762D706" w14:textId="77777777" w:rsidR="00A56E52" w:rsidRDefault="00A56E52"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w:t>
      </w:r>
      <w:r>
        <w:rPr>
          <w:rStyle w:val="FootnoteReference"/>
          <w:vertAlign w:val="baseline"/>
        </w:rPr>
        <w:t>)</w:t>
      </w:r>
      <w:r>
        <w:tab/>
        <w:t>Notificat în temeiul Directivei (UE) 2015/1535 a Parlamentului European și a Consiliului din 9 septembrie 2015 referitoare la procedura de furnizare de informații în domeniul reglementărilor tehnice și al normelor privind serviciile societății informaționale (JO L 241,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ACD9" w14:textId="16EB1E5D" w:rsidR="00E97B1F" w:rsidRPr="00E851FA" w:rsidRDefault="00E851FA" w:rsidP="00E851FA">
    <w:pPr>
      <w:pStyle w:val="Header"/>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E50E" w14:textId="66737395" w:rsidR="00E97B1F" w:rsidRPr="00E851FA" w:rsidRDefault="00E851FA" w:rsidP="00E851FA">
    <w:pPr>
      <w:pStyle w:val="Header"/>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attachedTemplate r:id="rId1"/>
  <w:defaultTabStop w:val="720"/>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56E52"/>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D74FB"/>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2489A-DC6B-4CC4-9C78-16A2452B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0</TotalTime>
  <Pages>1</Pages>
  <Words>3050</Words>
  <Characters>17386</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Ke, Tingting</cp:lastModifiedBy>
  <cp:revision>5</cp:revision>
  <cp:lastPrinted>2020-12-08T16:22:00Z</cp:lastPrinted>
  <dcterms:created xsi:type="dcterms:W3CDTF">2021-01-28T12:34:00Z</dcterms:created>
  <dcterms:modified xsi:type="dcterms:W3CDTF">2021-02-10T14:28:00Z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