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7A1C" w:rsidRPr="002B3F29" w:rsidRDefault="00AD7A1C" w:rsidP="00AD7A1C">
      <w:pPr>
        <w:ind w:left="-634" w:right="-778"/>
        <w:jc w:val="center"/>
        <w:textAlignment w:val="baseline"/>
        <w:rPr>
          <w:rFonts w:ascii="Courier New" w:hAnsi="Courier New"/>
          <w:sz w:val="20"/>
        </w:rPr>
      </w:pPr>
      <w:r w:rsidRPr="002B3F29">
        <w:rPr>
          <w:rFonts w:ascii="Courier New" w:hAnsi="Courier New"/>
          <w:sz w:val="20"/>
        </w:rPr>
        <w:t>1. ------IND- 2018 0169 F-- BG- ------ 20180420 --- --- PROJET</w:t>
      </w:r>
    </w:p>
    <w:p w:rsidR="00AD7A1C" w:rsidRPr="002B3F29" w:rsidRDefault="00AD7A1C"/>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BE1E1D" w:rsidRPr="002B3F29" w:rsidTr="002E197B">
        <w:trPr>
          <w:cantSplit/>
        </w:trPr>
        <w:tc>
          <w:tcPr>
            <w:tcW w:w="3982" w:type="dxa"/>
            <w:gridSpan w:val="3"/>
            <w:shd w:val="clear" w:color="auto" w:fill="auto"/>
          </w:tcPr>
          <w:p w:rsidR="00073A3D" w:rsidRPr="002B3F29" w:rsidRDefault="00D50503">
            <w:pPr>
              <w:pStyle w:val="SNREPUBLIQUE"/>
            </w:pPr>
            <w:r w:rsidRPr="002B3F29">
              <w:t>ФРЕНСКА РЕПУБЛИКА</w:t>
            </w:r>
          </w:p>
        </w:tc>
      </w:tr>
      <w:tr w:rsidR="00BE1E1D" w:rsidRPr="002B3F29" w:rsidTr="002E197B">
        <w:trPr>
          <w:cantSplit/>
        </w:trPr>
        <w:tc>
          <w:tcPr>
            <w:tcW w:w="1527" w:type="dxa"/>
            <w:shd w:val="clear" w:color="auto" w:fill="auto"/>
          </w:tcPr>
          <w:p w:rsidR="00073A3D" w:rsidRPr="002B3F29" w:rsidRDefault="00073A3D">
            <w:pPr>
              <w:snapToGrid w:val="0"/>
              <w:rPr>
                <w:rFonts w:cs="Tahoma"/>
              </w:rPr>
            </w:pPr>
          </w:p>
        </w:tc>
        <w:tc>
          <w:tcPr>
            <w:tcW w:w="968" w:type="dxa"/>
            <w:tcBorders>
              <w:bottom w:val="single" w:sz="2" w:space="0" w:color="000000"/>
            </w:tcBorders>
            <w:shd w:val="clear" w:color="auto" w:fill="auto"/>
          </w:tcPr>
          <w:p w:rsidR="00073A3D" w:rsidRPr="002B3F29" w:rsidRDefault="00073A3D">
            <w:pPr>
              <w:snapToGrid w:val="0"/>
              <w:rPr>
                <w:rFonts w:cs="Tahoma"/>
              </w:rPr>
            </w:pPr>
          </w:p>
        </w:tc>
        <w:tc>
          <w:tcPr>
            <w:tcW w:w="1487" w:type="dxa"/>
            <w:shd w:val="clear" w:color="auto" w:fill="auto"/>
          </w:tcPr>
          <w:p w:rsidR="00073A3D" w:rsidRPr="002B3F29" w:rsidRDefault="00073A3D">
            <w:pPr>
              <w:snapToGrid w:val="0"/>
            </w:pPr>
          </w:p>
        </w:tc>
      </w:tr>
      <w:tr w:rsidR="00BE1E1D" w:rsidRPr="002B3F29" w:rsidTr="002E197B">
        <w:trPr>
          <w:cantSplit/>
        </w:trPr>
        <w:tc>
          <w:tcPr>
            <w:tcW w:w="3982" w:type="dxa"/>
            <w:gridSpan w:val="3"/>
            <w:shd w:val="clear" w:color="auto" w:fill="auto"/>
          </w:tcPr>
          <w:p w:rsidR="00073A3D" w:rsidRPr="002B3F29" w:rsidRDefault="00D50503">
            <w:pPr>
              <w:pStyle w:val="SNTimbre"/>
            </w:pPr>
            <w:r w:rsidRPr="002B3F29">
              <w:t>Министерство на икономиката и финансите</w:t>
            </w:r>
          </w:p>
        </w:tc>
      </w:tr>
      <w:tr w:rsidR="00BE1E1D" w:rsidRPr="002B3F29" w:rsidTr="002E197B">
        <w:trPr>
          <w:cantSplit/>
        </w:trPr>
        <w:tc>
          <w:tcPr>
            <w:tcW w:w="1527" w:type="dxa"/>
            <w:shd w:val="clear" w:color="auto" w:fill="auto"/>
          </w:tcPr>
          <w:p w:rsidR="00073A3D" w:rsidRPr="002B3F29" w:rsidRDefault="00073A3D">
            <w:pPr>
              <w:snapToGrid w:val="0"/>
            </w:pPr>
          </w:p>
        </w:tc>
        <w:tc>
          <w:tcPr>
            <w:tcW w:w="968" w:type="dxa"/>
            <w:tcBorders>
              <w:bottom w:val="single" w:sz="2" w:space="0" w:color="000000"/>
            </w:tcBorders>
            <w:shd w:val="clear" w:color="auto" w:fill="auto"/>
          </w:tcPr>
          <w:p w:rsidR="00073A3D" w:rsidRPr="002B3F29" w:rsidRDefault="00073A3D">
            <w:pPr>
              <w:snapToGrid w:val="0"/>
            </w:pPr>
          </w:p>
        </w:tc>
        <w:tc>
          <w:tcPr>
            <w:tcW w:w="1487" w:type="dxa"/>
            <w:shd w:val="clear" w:color="auto" w:fill="auto"/>
          </w:tcPr>
          <w:p w:rsidR="00073A3D" w:rsidRPr="002B3F29" w:rsidRDefault="00073A3D">
            <w:pPr>
              <w:snapToGrid w:val="0"/>
            </w:pPr>
          </w:p>
        </w:tc>
      </w:tr>
      <w:tr w:rsidR="00BE1E1D" w:rsidRPr="002B3F29" w:rsidTr="002E197B">
        <w:trPr>
          <w:cantSplit/>
        </w:trPr>
        <w:tc>
          <w:tcPr>
            <w:tcW w:w="1527" w:type="dxa"/>
            <w:shd w:val="clear" w:color="auto" w:fill="auto"/>
          </w:tcPr>
          <w:p w:rsidR="00073A3D" w:rsidRPr="002B3F29" w:rsidRDefault="00073A3D">
            <w:pPr>
              <w:snapToGrid w:val="0"/>
            </w:pPr>
          </w:p>
        </w:tc>
        <w:tc>
          <w:tcPr>
            <w:tcW w:w="968" w:type="dxa"/>
            <w:shd w:val="clear" w:color="auto" w:fill="auto"/>
          </w:tcPr>
          <w:p w:rsidR="00073A3D" w:rsidRPr="002B3F29" w:rsidRDefault="00073A3D">
            <w:pPr>
              <w:snapToGrid w:val="0"/>
            </w:pPr>
          </w:p>
        </w:tc>
        <w:tc>
          <w:tcPr>
            <w:tcW w:w="1487" w:type="dxa"/>
            <w:shd w:val="clear" w:color="auto" w:fill="auto"/>
          </w:tcPr>
          <w:p w:rsidR="00073A3D" w:rsidRPr="002B3F29" w:rsidRDefault="00073A3D">
            <w:pPr>
              <w:snapToGrid w:val="0"/>
            </w:pPr>
          </w:p>
        </w:tc>
      </w:tr>
    </w:tbl>
    <w:p w:rsidR="00073A3D" w:rsidRPr="002B3F29" w:rsidRDefault="002B3F29">
      <w:pPr>
        <w:pStyle w:val="SNNature"/>
      </w:pPr>
      <w:r w:rsidRPr="002B3F29">
        <w:t xml:space="preserve">Указ №°             </w:t>
      </w:r>
      <w:r w:rsidR="00D50503" w:rsidRPr="002B3F29">
        <w:t>за определяне на целите на устройствата за сигнализация на въздухоплавателните средства, които се движат без човек на борда, и условията за освобождаване, предвидени в член L. 34-9-2 от Кодекса на пощите и електронните съобщения</w:t>
      </w:r>
    </w:p>
    <w:p w:rsidR="00073A3D" w:rsidRPr="002B3F29" w:rsidRDefault="00D50503">
      <w:pPr>
        <w:pStyle w:val="SNNORCentr"/>
      </w:pPr>
      <w:r w:rsidRPr="002B3F29">
        <w:t>Реф. номер: […]</w:t>
      </w:r>
    </w:p>
    <w:p w:rsidR="00073A3D" w:rsidRPr="002B3F29" w:rsidRDefault="00D50503">
      <w:pPr>
        <w:pStyle w:val="SNAutorit"/>
        <w:spacing w:after="0"/>
        <w:jc w:val="both"/>
      </w:pPr>
      <w:r w:rsidRPr="002B3F29">
        <w:rPr>
          <w:i/>
        </w:rPr>
        <w:t xml:space="preserve">Заинтересовани страни: </w:t>
      </w:r>
      <w:r w:rsidRPr="002B3F29">
        <w:rPr>
          <w:b w:val="0"/>
          <w:i/>
        </w:rPr>
        <w:t>пилоти-оператори на въздухоплавателно средство, което се движи без човек на борда, с маса, по-голяма от праг, определен по регулаторен път — производители на въздухоплавателни средства, които се движат без човек на борда</w:t>
      </w:r>
    </w:p>
    <w:p w:rsidR="00073A3D" w:rsidRPr="002B3F29" w:rsidRDefault="00D50503">
      <w:pPr>
        <w:pStyle w:val="SNAutorit"/>
        <w:spacing w:before="120" w:after="0"/>
        <w:jc w:val="both"/>
      </w:pPr>
      <w:r w:rsidRPr="002B3F29">
        <w:rPr>
          <w:i/>
        </w:rPr>
        <w:t xml:space="preserve">Относно: </w:t>
      </w:r>
      <w:r w:rsidRPr="002B3F29">
        <w:rPr>
          <w:b w:val="0"/>
          <w:i/>
        </w:rPr>
        <w:t xml:space="preserve">с настоящия текст се определят целите на устройствата за електронна и светлинна сигнализация, с които въздухоплавателните средства, които се движат без човек на борда, с маса, по-голяма от праг, определен по регулаторен път, следва да са снабдени, както и условията за освобождаване от тези задължения и санкциите, свързани с тях. </w:t>
      </w:r>
    </w:p>
    <w:p w:rsidR="00073A3D" w:rsidRPr="002B3F29" w:rsidRDefault="00D50503">
      <w:pPr>
        <w:pStyle w:val="SNAutorit"/>
        <w:spacing w:before="120" w:after="0"/>
        <w:jc w:val="both"/>
      </w:pPr>
      <w:r w:rsidRPr="002B3F29">
        <w:rPr>
          <w:i/>
        </w:rPr>
        <w:t>Влизане в сила:</w:t>
      </w:r>
      <w:r w:rsidRPr="002B3F29">
        <w:rPr>
          <w:b w:val="0"/>
          <w:i/>
        </w:rPr>
        <w:t xml:space="preserve"> Настоящият текст влиза в сила в деня след деня на публикуването му, с изключение на разпоредбите на член R. 20-25-1 и на член R. 20-25-2 от Кодекса на пощите и електронните съобщения, които влизат в сила на 1 януари 2019 г.</w:t>
      </w:r>
    </w:p>
    <w:p w:rsidR="00073A3D" w:rsidRPr="002B3F29" w:rsidRDefault="00D50503">
      <w:pPr>
        <w:pStyle w:val="SNAutorit"/>
        <w:spacing w:before="120" w:after="0"/>
        <w:jc w:val="both"/>
      </w:pPr>
      <w:r w:rsidRPr="002B3F29">
        <w:rPr>
          <w:i/>
        </w:rPr>
        <w:t>Бележка:</w:t>
      </w:r>
      <w:r w:rsidRPr="002B3F29">
        <w:rPr>
          <w:b w:val="0"/>
          <w:i/>
        </w:rPr>
        <w:t xml:space="preserve"> Съгласно член L. 34-9-2 от Кодекса на пощите и електронните съобщения, изменен със Закон № 2016-1428 от 24 октомври 2016 г. за подобряването на сигурността на употребата на дронове за граждански цели, въздухоплавателните средства, които се движат без човек на борда, различни от държавните въздухоплавателни средства, които се движат без човек на борда, с маса, по-голяма от праг, определен по регулаторен път, следва да са снабдени с устройство за електронна или цифрова сигнализация и с устройство за светлинна сигнализация. С настоящия указ се определят определените цели за тези устройства, както и условията за освобождаване от тези задължения.</w:t>
      </w:r>
    </w:p>
    <w:p w:rsidR="00073A3D" w:rsidRPr="002B3F29" w:rsidRDefault="00D50503">
      <w:pPr>
        <w:pStyle w:val="SNAutorit"/>
        <w:spacing w:before="120"/>
        <w:jc w:val="both"/>
      </w:pPr>
      <w:r w:rsidRPr="002B3F29">
        <w:rPr>
          <w:i/>
        </w:rPr>
        <w:t xml:space="preserve">Позовавания: </w:t>
      </w:r>
      <w:r w:rsidRPr="002B3F29">
        <w:rPr>
          <w:b w:val="0"/>
          <w:i/>
        </w:rPr>
        <w:t xml:space="preserve">указът е приет съгласно член 4, I от Закон № 2016-1428 от 24 октомври 2016 г. за подобряването на сигурността на употребата на дронове за граждански цели. Членовете от Кодекса на пощите и електронните съобщения, които той изменя, в редакцията им, въведена с настоящата промяна, са достъпни на уебсайта Légifrance (http://www.legifrance.gouv.fr). </w:t>
      </w:r>
    </w:p>
    <w:p w:rsidR="00073A3D" w:rsidRPr="002B3F29" w:rsidRDefault="00D50503">
      <w:pPr>
        <w:pStyle w:val="SNAutorit"/>
      </w:pPr>
      <w:r w:rsidRPr="002B3F29">
        <w:lastRenderedPageBreak/>
        <w:t>Министър-председателят,</w:t>
      </w:r>
    </w:p>
    <w:p w:rsidR="00073A3D" w:rsidRPr="002B3F29" w:rsidRDefault="00D50503">
      <w:pPr>
        <w:pStyle w:val="SNRapport"/>
      </w:pPr>
      <w:r w:rsidRPr="002B3F29">
        <w:t>като взе предвид доклада на министъра на икономиката и финансите,</w:t>
      </w:r>
    </w:p>
    <w:p w:rsidR="003B26B1" w:rsidRPr="002B3F29" w:rsidRDefault="00D50503" w:rsidP="000452B1">
      <w:pPr>
        <w:jc w:val="both"/>
      </w:pPr>
      <w:r w:rsidRPr="002B3F29">
        <w:t>като взе предвид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(кодифициран текст), и по-специално Нотификация № година/XXX/F,</w:t>
      </w:r>
    </w:p>
    <w:p w:rsidR="000452B1" w:rsidRDefault="000452B1" w:rsidP="000452B1">
      <w:pPr>
        <w:jc w:val="both"/>
      </w:pPr>
      <w:bookmarkStart w:id="0" w:name="_GoBack"/>
      <w:bookmarkEnd w:id="0"/>
    </w:p>
    <w:p w:rsidR="00073A3D" w:rsidRPr="002B3F29" w:rsidRDefault="00D50503" w:rsidP="000452B1">
      <w:pPr>
        <w:jc w:val="both"/>
      </w:pPr>
      <w:r w:rsidRPr="002B3F29">
        <w:t>като взе предвид Кодекса на гражданското въздухоплаване, по-специално член D. 510-3 от него,</w:t>
      </w:r>
    </w:p>
    <w:p w:rsidR="000452B1" w:rsidRDefault="000452B1" w:rsidP="000452B1">
      <w:pPr>
        <w:jc w:val="both"/>
      </w:pPr>
    </w:p>
    <w:p w:rsidR="00073A3D" w:rsidRPr="002B3F29" w:rsidRDefault="00D50503" w:rsidP="000452B1">
      <w:pPr>
        <w:jc w:val="both"/>
      </w:pPr>
      <w:r w:rsidRPr="002B3F29">
        <w:t>като взе предвид Кодекса на пощите и електронните съобщения, по-специално член L. 34-9-2 от него,</w:t>
      </w:r>
    </w:p>
    <w:p w:rsidR="00073A3D" w:rsidRPr="002B3F29" w:rsidRDefault="00073A3D" w:rsidP="000452B1">
      <w:pPr>
        <w:ind w:left="426" w:hanging="426"/>
        <w:jc w:val="both"/>
      </w:pPr>
    </w:p>
    <w:p w:rsidR="00073A3D" w:rsidRPr="002B3F29" w:rsidRDefault="00D50503" w:rsidP="000452B1">
      <w:pPr>
        <w:ind w:left="426" w:hanging="426"/>
        <w:jc w:val="both"/>
      </w:pPr>
      <w:r w:rsidRPr="002B3F29">
        <w:t>като взе предвид Кодекса за вътрешната сигурност, по-специално книга VIII, дял V,</w:t>
      </w:r>
    </w:p>
    <w:p w:rsidR="000452B1" w:rsidRDefault="000452B1" w:rsidP="000452B1">
      <w:pPr>
        <w:jc w:val="both"/>
      </w:pPr>
    </w:p>
    <w:p w:rsidR="00073A3D" w:rsidRPr="002B3F29" w:rsidRDefault="00D50503" w:rsidP="000452B1">
      <w:pPr>
        <w:jc w:val="both"/>
      </w:pPr>
      <w:r w:rsidRPr="002B3F29">
        <w:t>като взе предвид Кодекса за транспорта, по-специално членове L. 6100-1 и L. 6111-1 от него,</w:t>
      </w:r>
    </w:p>
    <w:p w:rsidR="00073A3D" w:rsidRPr="002B3F29" w:rsidRDefault="00073A3D" w:rsidP="000452B1">
      <w:pPr>
        <w:jc w:val="both"/>
        <w:rPr>
          <w:sz w:val="22"/>
          <w:szCs w:val="20"/>
        </w:rPr>
      </w:pPr>
    </w:p>
    <w:p w:rsidR="00073A3D" w:rsidRPr="002B3F29" w:rsidRDefault="00D50503" w:rsidP="000452B1">
      <w:pPr>
        <w:pStyle w:val="SNVisa"/>
        <w:ind w:firstLine="0"/>
        <w:jc w:val="both"/>
      </w:pPr>
      <w:r w:rsidRPr="002B3F29">
        <w:t>като взе предвид становището на Регулаторния орган в областта на електронните съобщения и пощите от XXX,</w:t>
      </w:r>
    </w:p>
    <w:p w:rsidR="00073A3D" w:rsidRPr="002B3F29" w:rsidRDefault="00073A3D">
      <w:pPr>
        <w:pStyle w:val="SNConsultation"/>
      </w:pPr>
    </w:p>
    <w:p w:rsidR="00073A3D" w:rsidRPr="002B3F29" w:rsidRDefault="00D50503">
      <w:pPr>
        <w:pStyle w:val="SNConsultation"/>
      </w:pPr>
      <w:r w:rsidRPr="002B3F29">
        <w:t>след като изслуша държавния съвет (отдел ...),</w:t>
      </w:r>
    </w:p>
    <w:p w:rsidR="00073A3D" w:rsidRPr="002B3F29" w:rsidRDefault="00D50503">
      <w:pPr>
        <w:pStyle w:val="SNActe"/>
      </w:pPr>
      <w:r w:rsidRPr="002B3F29">
        <w:t>реши:</w:t>
      </w:r>
    </w:p>
    <w:p w:rsidR="00073A3D" w:rsidRPr="002B3F29" w:rsidRDefault="00D50503">
      <w:pPr>
        <w:pStyle w:val="SNActe"/>
      </w:pPr>
      <w:r w:rsidRPr="002B3F29">
        <w:t>Глава I: Разпоредби относно целите на устройствата за сигнализация</w:t>
      </w:r>
    </w:p>
    <w:p w:rsidR="00073A3D" w:rsidRPr="002B3F29" w:rsidRDefault="00D50503">
      <w:pPr>
        <w:pStyle w:val="SNArticle"/>
      </w:pPr>
      <w:r w:rsidRPr="002B3F29">
        <w:t>Член 1</w:t>
      </w:r>
    </w:p>
    <w:p w:rsidR="00073A3D" w:rsidRPr="002B3F29" w:rsidRDefault="00D50503">
      <w:pPr>
        <w:pStyle w:val="BodyText"/>
      </w:pPr>
      <w:r w:rsidRPr="002B3F29">
        <w:t>Книга II, дял I, глава II, раздел 5, подраздел 6 от регулаторната част (укази на държавния съвет) от Кодекса на пощите и електронните съобщения се допълва с член R. 20-24-2 със следното съдържание:</w:t>
      </w:r>
    </w:p>
    <w:p w:rsidR="00073A3D" w:rsidRPr="002B3F29" w:rsidRDefault="00073A3D">
      <w:pPr>
        <w:pStyle w:val="BodyText"/>
      </w:pPr>
    </w:p>
    <w:p w:rsidR="00073A3D" w:rsidRPr="002B3F29" w:rsidRDefault="00D50503">
      <w:pPr>
        <w:pStyle w:val="BodyText"/>
      </w:pPr>
      <w:r w:rsidRPr="002B3F29">
        <w:t>„</w:t>
      </w:r>
      <w:r w:rsidRPr="002B3F29">
        <w:rPr>
          <w:i/>
        </w:rPr>
        <w:t>Член R. 20-24-2.-</w:t>
      </w:r>
      <w:r w:rsidRPr="002B3F29">
        <w:t xml:space="preserve"> I — С устройството за електронна или цифрова сигнализация, посочено в член L. 34-9-2, първа алинея, се цели да се позволи на службите, които съдействат за сигурността, националната отбрана, на спасителните и митническите служби да идентифицират и установят точното местонахождение, когато са в полет, на въздухоплавателните средства, които се движат без човек на борда, чиято маса е по-голяма от праг, определен с указ.</w:t>
      </w:r>
    </w:p>
    <w:p w:rsidR="00073A3D" w:rsidRPr="002B3F29" w:rsidRDefault="00D50503">
      <w:pPr>
        <w:pStyle w:val="BodyText"/>
      </w:pPr>
      <w:r w:rsidRPr="002B3F29">
        <w:t>„За тази цел, устройството предава по електронен път следната информация:</w:t>
      </w:r>
    </w:p>
    <w:p w:rsidR="00073A3D" w:rsidRPr="002B3F29" w:rsidRDefault="00D50503">
      <w:pPr>
        <w:pStyle w:val="BodyText"/>
      </w:pPr>
      <w:r w:rsidRPr="002B3F29">
        <w:t>„1) идентификационен номер на устройството за електронна или цифрова сигнализация;</w:t>
      </w:r>
    </w:p>
    <w:p w:rsidR="00073A3D" w:rsidRPr="002B3F29" w:rsidRDefault="00D50503">
      <w:pPr>
        <w:pStyle w:val="BodyText"/>
      </w:pPr>
      <w:r w:rsidRPr="002B3F29">
        <w:t xml:space="preserve">„2) данни за географското местоположение на въздухоплавателното средство и неговата височина; </w:t>
      </w:r>
    </w:p>
    <w:p w:rsidR="00073A3D" w:rsidRPr="002B3F29" w:rsidRDefault="00D50503">
      <w:pPr>
        <w:pStyle w:val="BodyText"/>
      </w:pPr>
      <w:r w:rsidRPr="002B3F29">
        <w:t>„3) час и дата на това географско местоположение;</w:t>
      </w:r>
    </w:p>
    <w:p w:rsidR="00073A3D" w:rsidRPr="002B3F29" w:rsidRDefault="00D50503">
      <w:pPr>
        <w:pStyle w:val="BodyText"/>
      </w:pPr>
      <w:r w:rsidRPr="002B3F29">
        <w:lastRenderedPageBreak/>
        <w:t>„4) данни за географското местоположение на точката на излитане на въздухоплавателното средство;</w:t>
      </w:r>
    </w:p>
    <w:p w:rsidR="00073A3D" w:rsidRPr="002B3F29" w:rsidRDefault="00D50503">
      <w:pPr>
        <w:pStyle w:val="BodyText"/>
      </w:pPr>
      <w:r w:rsidRPr="002B3F29">
        <w:t>„5) маршрут и скорост на въздухоплавателното средство.</w:t>
      </w:r>
    </w:p>
    <w:p w:rsidR="00073A3D" w:rsidRPr="002B3F29" w:rsidRDefault="00D50503">
      <w:pPr>
        <w:pStyle w:val="BodyText"/>
      </w:pPr>
      <w:r w:rsidRPr="002B3F29">
        <w:t>„Тази информация, ако е приложимо и в рамките на необходимостта да бъде известна, може да се използва за целите на наказателно и административно разследване или за справка и за статистика от лицата, които са оправомощени за тази цел.</w:t>
      </w:r>
    </w:p>
    <w:p w:rsidR="00073A3D" w:rsidRPr="002B3F29" w:rsidRDefault="00D50503">
      <w:pPr>
        <w:pStyle w:val="BodyText"/>
      </w:pPr>
      <w:r w:rsidRPr="002B3F29">
        <w:t>„II — С устройството за светлинна сигнализация, посочено в член L. 34-9-2, първа алинея, се цели да се позволи на службите, които съдействат за сигурността, националната отбрана, на спасителните и митническите служби да засекат по-лесно, когато са в полет, въздухоплавателните средства, които се движат без човек на борда, чиято маса е по-голяма от праг, определен с указ, и да ги различат от други въздухоплавателни средства.</w:t>
      </w:r>
    </w:p>
    <w:p w:rsidR="00073A3D" w:rsidRPr="002B3F29" w:rsidRDefault="00D50503">
      <w:pPr>
        <w:pStyle w:val="BodyText"/>
      </w:pPr>
      <w:r w:rsidRPr="002B3F29">
        <w:t>„III — С постановление на министъра на вътрешните работи, министъра, отговарящ за транспорта, и министъра, отговарящ за електронните съобщения, се определят техническите характеристики на устройството за електронна или цифрова сигнализация и формата на предоставената информация, както и техническите характеристики на устройството за светлинна сигнализация. “</w:t>
      </w:r>
    </w:p>
    <w:p w:rsidR="002E197B" w:rsidRPr="002B3F29" w:rsidRDefault="002E197B">
      <w:pPr>
        <w:pStyle w:val="BodyText"/>
      </w:pPr>
    </w:p>
    <w:p w:rsidR="00073A3D" w:rsidRPr="002B3F29" w:rsidRDefault="00D50503">
      <w:pPr>
        <w:pStyle w:val="BodyText"/>
        <w:jc w:val="center"/>
        <w:rPr>
          <w:b/>
        </w:rPr>
      </w:pPr>
      <w:r w:rsidRPr="002B3F29">
        <w:rPr>
          <w:b/>
        </w:rPr>
        <w:t>Глава II: Разпоредби относно условията за освобождаване от задължението за сигнализация</w:t>
      </w:r>
    </w:p>
    <w:p w:rsidR="00073A3D" w:rsidRPr="002B3F29" w:rsidRDefault="00073A3D">
      <w:pPr>
        <w:jc w:val="center"/>
        <w:rPr>
          <w:rFonts w:eastAsia="Calibri"/>
          <w:b/>
        </w:rPr>
      </w:pPr>
    </w:p>
    <w:p w:rsidR="00073A3D" w:rsidRPr="002B3F29" w:rsidRDefault="00D50503">
      <w:pPr>
        <w:jc w:val="center"/>
        <w:rPr>
          <w:rFonts w:eastAsia="Calibri"/>
          <w:b/>
        </w:rPr>
      </w:pPr>
      <w:r w:rsidRPr="002B3F29">
        <w:rPr>
          <w:b/>
        </w:rPr>
        <w:t>Член 2</w:t>
      </w:r>
    </w:p>
    <w:p w:rsidR="00073A3D" w:rsidRPr="002B3F29" w:rsidRDefault="00073A3D">
      <w:pPr>
        <w:pStyle w:val="BodyText"/>
        <w:jc w:val="center"/>
        <w:rPr>
          <w:b/>
        </w:rPr>
      </w:pPr>
    </w:p>
    <w:p w:rsidR="00073A3D" w:rsidRPr="002B3F29" w:rsidRDefault="00D50503">
      <w:pPr>
        <w:pStyle w:val="BodyText"/>
      </w:pPr>
      <w:r w:rsidRPr="002B3F29">
        <w:t>Книга II, дял I, глава II, раздел 5, подраздел 6 от регулаторната част (укази на държавния съвет) от Кодекса на пощите и електронните съобщения се допълва с член R. 20-24-3 със следното съдържание:</w:t>
      </w:r>
    </w:p>
    <w:p w:rsidR="00073A3D" w:rsidRPr="002B3F29" w:rsidRDefault="00073A3D">
      <w:pPr>
        <w:pStyle w:val="BodyText"/>
      </w:pPr>
    </w:p>
    <w:p w:rsidR="00073A3D" w:rsidRPr="002B3F29" w:rsidRDefault="00D50503">
      <w:pPr>
        <w:pStyle w:val="BodyText"/>
      </w:pPr>
      <w:r w:rsidRPr="002B3F29">
        <w:t>„</w:t>
      </w:r>
      <w:r w:rsidRPr="002B3F29">
        <w:rPr>
          <w:i/>
        </w:rPr>
        <w:t>Член R. 20-24-3.-</w:t>
      </w:r>
      <w:r w:rsidRPr="002B3F29">
        <w:t xml:space="preserve"> I — Освобождават се от задължението да бъдат снабдени с устройство за електронна или цифрова сигнализация въздухоплавателните средства, които се движат без човек на борда:</w:t>
      </w:r>
    </w:p>
    <w:p w:rsidR="00073A3D" w:rsidRPr="002B3F29" w:rsidRDefault="00D50503">
      <w:pPr>
        <w:pStyle w:val="BodyText"/>
      </w:pPr>
      <w:r w:rsidRPr="002B3F29">
        <w:t xml:space="preserve">„1) когато те се използват с цел отдих, включително състезание, и се управляват от пилот—оператор — член на сдружение, принадлежащо към федерацията, призната на национално равнище за авиомоделизъм, посочена в член D. 510-3 от Кодекса на гражданското въздухоплаване, или от федерация за много спортове, одобрена от министъра, отговарящ за спорта, и предлагаща практикуването на авиомоделизъм, относно локализиране на дейност, публикувана чрез аеронавигационна информация, надлежно определена като предоставяща право за това освобождаване; </w:t>
      </w:r>
    </w:p>
    <w:p w:rsidR="00073A3D" w:rsidRPr="002B3F29" w:rsidRDefault="00D50503">
      <w:pPr>
        <w:pStyle w:val="BodyText"/>
        <w:spacing w:after="0"/>
      </w:pPr>
      <w:r w:rsidRPr="002B3F29">
        <w:t>„2) когато те се използват в затворени и закрити пространства;</w:t>
      </w:r>
    </w:p>
    <w:p w:rsidR="002E197B" w:rsidRPr="002B3F29" w:rsidRDefault="002E197B">
      <w:pPr>
        <w:pStyle w:val="BodyText"/>
        <w:spacing w:after="0"/>
      </w:pPr>
    </w:p>
    <w:p w:rsidR="00073A3D" w:rsidRPr="002B3F29" w:rsidRDefault="00BF6B0E">
      <w:pPr>
        <w:pStyle w:val="BodyText"/>
        <w:spacing w:after="0"/>
      </w:pPr>
      <w:r w:rsidRPr="002B3F29">
        <w:t>„3) когато те принадлежат към категориите въздухоплавателни средства, посочени в член L. 6100-1, втора алинея от Кодекса на транспорта, без да се засягат приложимите разпоредби за военните въздухоплавателни средства и въздухоплавателните средства, които принадлежат на държавата и които се използват от митническите служби, службите за обществена сигурност и гражданска сигурност;</w:t>
      </w:r>
    </w:p>
    <w:p w:rsidR="00073A3D" w:rsidRPr="002B3F29" w:rsidRDefault="00073A3D">
      <w:pPr>
        <w:pStyle w:val="BodyText"/>
        <w:spacing w:after="0"/>
      </w:pPr>
    </w:p>
    <w:p w:rsidR="00073A3D" w:rsidRPr="002B3F29" w:rsidRDefault="00D50503">
      <w:pPr>
        <w:pStyle w:val="ListParagraph"/>
        <w:ind w:left="0"/>
        <w:jc w:val="both"/>
        <w:rPr>
          <w:color w:val="auto"/>
        </w:rPr>
      </w:pPr>
      <w:r w:rsidRPr="002B3F29">
        <w:rPr>
          <w:color w:val="auto"/>
        </w:rPr>
        <w:t xml:space="preserve">„4) когато те не принадлежат към категориите въздухоплавателни средства, посочени в член L. 6100-1, втора алинея от Кодекса на транспорта, но се използват в рамките на </w:t>
      </w:r>
      <w:r w:rsidRPr="002B3F29">
        <w:rPr>
          <w:color w:val="auto"/>
        </w:rPr>
        <w:lastRenderedPageBreak/>
        <w:t>мисии на митниците, полицията, гражданската сигурност или въвеждане на техника, посочена в книга VIII, дял V от Кодекса за вътрешната сигурност“.</w:t>
      </w:r>
    </w:p>
    <w:p w:rsidR="00073A3D" w:rsidRPr="002B3F29" w:rsidRDefault="00073A3D">
      <w:pPr>
        <w:pStyle w:val="ListParagraph"/>
        <w:ind w:left="0"/>
        <w:jc w:val="both"/>
        <w:rPr>
          <w:color w:val="auto"/>
        </w:rPr>
      </w:pPr>
    </w:p>
    <w:p w:rsidR="00073A3D" w:rsidRPr="002B3F29" w:rsidRDefault="00073A3D">
      <w:pPr>
        <w:pStyle w:val="BodyText"/>
        <w:spacing w:after="0"/>
        <w:jc w:val="left"/>
      </w:pPr>
    </w:p>
    <w:p w:rsidR="00073A3D" w:rsidRPr="002B3F29" w:rsidRDefault="00D50503" w:rsidP="002E197B">
      <w:pPr>
        <w:pStyle w:val="BodyText"/>
        <w:tabs>
          <w:tab w:val="left" w:pos="0"/>
        </w:tabs>
      </w:pPr>
      <w:r w:rsidRPr="002B3F29">
        <w:t>„II — Освобождават се от задължението да бъдат снабдени с устройство за светлинна сигнализация в работно състояние въздухоплавателните средства, които се движат без човек на борда:</w:t>
      </w:r>
    </w:p>
    <w:p w:rsidR="00073A3D" w:rsidRPr="002B3F29" w:rsidRDefault="00D50503">
      <w:pPr>
        <w:pStyle w:val="BodyText"/>
      </w:pPr>
      <w:r w:rsidRPr="002B3F29">
        <w:t xml:space="preserve">„1) когато те се използват с цел отдих, включително състезание, и се управляват от пилот—оператор — член на сдружение, принадлежащо към федерацията, призната на национално равнище за авиомоделизъм, посочена в член D. 510-3 от Кодекса на гражданското въздухоплаване, или от федерация за много спортове, одобрена от министъра, отговарящ за спорта, и предлагаща практикуването на авиомоделизъм, относно локализиране на дейност, публикувана чрез аеронавигационна информация, надлежно определена като предоставяща право за това освобождаване; </w:t>
      </w:r>
    </w:p>
    <w:p w:rsidR="00073A3D" w:rsidRPr="002B3F29" w:rsidRDefault="00D50503">
      <w:pPr>
        <w:pStyle w:val="BodyText"/>
        <w:tabs>
          <w:tab w:val="left" w:pos="0"/>
        </w:tabs>
        <w:jc w:val="left"/>
      </w:pPr>
      <w:r w:rsidRPr="002B3F29">
        <w:t>„2) когато те се използват в затворени и закрити пространства;</w:t>
      </w:r>
    </w:p>
    <w:p w:rsidR="00073A3D" w:rsidRPr="002B3F29" w:rsidRDefault="00D50503" w:rsidP="002E197B">
      <w:pPr>
        <w:pStyle w:val="BodyText"/>
        <w:tabs>
          <w:tab w:val="left" w:pos="0"/>
        </w:tabs>
      </w:pPr>
      <w:r w:rsidRPr="002B3F29">
        <w:t xml:space="preserve">„3) когато те осъществяват експериментални, изпитателни или контролни полети при условията, определени от министъра, отговарящ за гражданското въздухоплаване; </w:t>
      </w:r>
    </w:p>
    <w:p w:rsidR="00073A3D" w:rsidRPr="002B3F29" w:rsidRDefault="00BF6B0E">
      <w:pPr>
        <w:pStyle w:val="BodyText"/>
        <w:spacing w:after="0"/>
      </w:pPr>
      <w:r w:rsidRPr="002B3F29">
        <w:t>„4) когато те принадлежат към категориите въздухоплавателни средства, посочени в член L. 6100-1, втора алинея от Кодекса на транспорта, без да се засягат приложимите разпоредби за военните въздухоплавателни средства и въздухоплавателните средства, които принадлежат на държавата и които се използват от митническите служби, службите за обществена сигурност и гражданска сигурност;</w:t>
      </w:r>
    </w:p>
    <w:p w:rsidR="00073A3D" w:rsidRPr="002B3F29" w:rsidRDefault="00073A3D">
      <w:pPr>
        <w:pStyle w:val="BodyText"/>
        <w:spacing w:after="0"/>
      </w:pPr>
    </w:p>
    <w:p w:rsidR="00073A3D" w:rsidRPr="002B3F29" w:rsidRDefault="00D50503">
      <w:pPr>
        <w:pStyle w:val="ListParagraph"/>
        <w:ind w:left="0"/>
        <w:jc w:val="both"/>
        <w:rPr>
          <w:color w:val="auto"/>
        </w:rPr>
      </w:pPr>
      <w:r w:rsidRPr="002B3F29">
        <w:rPr>
          <w:color w:val="auto"/>
        </w:rPr>
        <w:t>„5) когато те не принадлежат към категориите въздухоплавателни средства, посочени в член L. 6100-1, втора алинея от Кодекса на транспорта, но се използват в рамките на мисии на митниците, полицията, гражданската сигурност или въвеждане на техника, посочена в книга VIII, дял V от Кодекса за вътрешната сигурност“.</w:t>
      </w:r>
    </w:p>
    <w:p w:rsidR="00073A3D" w:rsidRPr="002B3F29" w:rsidRDefault="00073A3D">
      <w:pPr>
        <w:pStyle w:val="BodyText"/>
        <w:tabs>
          <w:tab w:val="left" w:pos="0"/>
        </w:tabs>
        <w:jc w:val="left"/>
      </w:pPr>
    </w:p>
    <w:p w:rsidR="00073A3D" w:rsidRPr="002B3F29" w:rsidRDefault="00D50503">
      <w:pPr>
        <w:pStyle w:val="BodyText"/>
        <w:tabs>
          <w:tab w:val="left" w:pos="0"/>
        </w:tabs>
        <w:jc w:val="center"/>
        <w:rPr>
          <w:b/>
        </w:rPr>
      </w:pPr>
      <w:r w:rsidRPr="002B3F29">
        <w:rPr>
          <w:b/>
        </w:rPr>
        <w:t>Глава III: Санкции</w:t>
      </w:r>
    </w:p>
    <w:p w:rsidR="00073A3D" w:rsidRPr="002B3F29" w:rsidRDefault="00073A3D">
      <w:pPr>
        <w:pStyle w:val="BodyText"/>
        <w:tabs>
          <w:tab w:val="left" w:pos="0"/>
        </w:tabs>
        <w:jc w:val="center"/>
        <w:rPr>
          <w:b/>
        </w:rPr>
      </w:pPr>
    </w:p>
    <w:p w:rsidR="00073A3D" w:rsidRPr="002B3F29" w:rsidRDefault="00D50503">
      <w:pPr>
        <w:jc w:val="center"/>
        <w:rPr>
          <w:rFonts w:eastAsia="Calibri"/>
          <w:b/>
        </w:rPr>
      </w:pPr>
      <w:r w:rsidRPr="002B3F29">
        <w:rPr>
          <w:b/>
        </w:rPr>
        <w:t>Член 4</w:t>
      </w:r>
    </w:p>
    <w:p w:rsidR="00073A3D" w:rsidRPr="002B3F29" w:rsidRDefault="00073A3D">
      <w:pPr>
        <w:jc w:val="center"/>
        <w:rPr>
          <w:rFonts w:eastAsia="Calibri"/>
          <w:b/>
        </w:rPr>
      </w:pPr>
    </w:p>
    <w:p w:rsidR="00073A3D" w:rsidRPr="002B3F29" w:rsidRDefault="00D50503">
      <w:pPr>
        <w:jc w:val="both"/>
        <w:rPr>
          <w:rFonts w:eastAsia="Calibri"/>
        </w:rPr>
      </w:pPr>
      <w:r w:rsidRPr="002B3F29">
        <w:t>Към дял I, глава II, раздел 5, подраздел 7 от регулаторната част (укази на държавния съвет) от Кодекса на пощите и електронните съобщения се добавя член R. 20-25-1 и член R. 20-25-2 със следното съдържание:</w:t>
      </w:r>
    </w:p>
    <w:p w:rsidR="00073A3D" w:rsidRPr="002B3F29" w:rsidRDefault="00073A3D">
      <w:pPr>
        <w:rPr>
          <w:rFonts w:eastAsia="Calibri"/>
        </w:rPr>
      </w:pPr>
    </w:p>
    <w:p w:rsidR="00073A3D" w:rsidRPr="002B3F29" w:rsidRDefault="00D50503">
      <w:r w:rsidRPr="002B3F29">
        <w:t>„</w:t>
      </w:r>
      <w:r w:rsidRPr="002B3F29">
        <w:rPr>
          <w:i/>
        </w:rPr>
        <w:t>Член R. 20-25-1. —</w:t>
      </w:r>
      <w:r w:rsidRPr="002B3F29">
        <w:t xml:space="preserve"> Наказва се с глобата, посочена за нарушенията по отношение на клас 4:</w:t>
      </w:r>
    </w:p>
    <w:p w:rsidR="00073A3D" w:rsidRPr="002B3F29" w:rsidRDefault="00073A3D">
      <w:pPr>
        <w:rPr>
          <w:i/>
        </w:rPr>
      </w:pPr>
    </w:p>
    <w:p w:rsidR="00073A3D" w:rsidRPr="002B3F29" w:rsidRDefault="00D50503">
      <w:pPr>
        <w:jc w:val="both"/>
      </w:pPr>
      <w:r w:rsidRPr="002B3F29">
        <w:t>„1) фактът за собственик на въздухоплавателно средство, което се движи без човек на борда, да го организира да се движи при липсата на устройство за електронна или цифрова сигнализация, посочено в член L. 34-9-2, първа алинея и член R. 20-24- 2, I, или при липсата на устройство за електронна или цифрова сигнализация в работно състояние;</w:t>
      </w:r>
    </w:p>
    <w:p w:rsidR="00073A3D" w:rsidRPr="002B3F29" w:rsidRDefault="00073A3D"/>
    <w:p w:rsidR="00073A3D" w:rsidRPr="002B3F29" w:rsidRDefault="00D50503">
      <w:pPr>
        <w:jc w:val="both"/>
        <w:rPr>
          <w:rFonts w:eastAsia="Calibri"/>
        </w:rPr>
      </w:pPr>
      <w:r w:rsidRPr="002B3F29">
        <w:t>„2) фактът за собственик на въздухоплавателно средство, което се движи без човек на борда, да го организира да се движи при липсата на устройство за светлинна сигнализация, посочено в член L. 34-9-2, първа алинея и член R. 20-24-2, II, или при липсата на устройство за светлинна сигнализация в работно състояние. “</w:t>
      </w:r>
    </w:p>
    <w:p w:rsidR="00FA699A" w:rsidRPr="002B3F29" w:rsidRDefault="00FA699A">
      <w:pPr>
        <w:jc w:val="both"/>
        <w:rPr>
          <w:rFonts w:eastAsia="Calibri"/>
        </w:rPr>
      </w:pPr>
    </w:p>
    <w:p w:rsidR="00FA699A" w:rsidRPr="002B3F29" w:rsidRDefault="00FA699A" w:rsidP="00FA699A">
      <w:r w:rsidRPr="002B3F29">
        <w:t>„</w:t>
      </w:r>
      <w:r w:rsidRPr="002B3F29">
        <w:rPr>
          <w:i/>
        </w:rPr>
        <w:t>Член R. 20-25-2. —</w:t>
      </w:r>
      <w:r w:rsidRPr="002B3F29">
        <w:t xml:space="preserve"> Наказва се с глобата, посочена за нарушенията по отношение на клас 5:</w:t>
      </w:r>
    </w:p>
    <w:p w:rsidR="00FA699A" w:rsidRPr="002B3F29" w:rsidRDefault="00FA699A" w:rsidP="00FA699A">
      <w:pPr>
        <w:rPr>
          <w:i/>
        </w:rPr>
      </w:pPr>
    </w:p>
    <w:p w:rsidR="00FA699A" w:rsidRPr="002B3F29" w:rsidRDefault="00FA699A" w:rsidP="00FA699A">
      <w:pPr>
        <w:pStyle w:val="BodyText"/>
        <w:rPr>
          <w:rFonts w:ascii="Times New              Roman;se" w:eastAsia="Calibri" w:hAnsi="Times New              Roman;se"/>
        </w:rPr>
      </w:pPr>
      <w:r w:rsidRPr="002B3F29">
        <w:rPr>
          <w:rFonts w:ascii="Times New              Roman;se" w:hAnsi="Times New              Roman;se"/>
        </w:rPr>
        <w:t>„Доброволно предаване на електронна или цифрова сигнализация, посочена в член L. 34-9-2, първа алинея, която не съответства на ефективен полет, която е в ход към момента на нейното предаване и произлиза от въздухоплавателно средство, което се движи без човек на борда, регистрирано в базата, посочена в член ХХХ от Кодекса на транспорта. “</w:t>
      </w:r>
    </w:p>
    <w:p w:rsidR="00073A3D" w:rsidRPr="002B3F29" w:rsidRDefault="00073A3D">
      <w:pPr>
        <w:jc w:val="center"/>
        <w:rPr>
          <w:rFonts w:eastAsia="Calibri"/>
          <w:b/>
        </w:rPr>
      </w:pPr>
    </w:p>
    <w:p w:rsidR="00073A3D" w:rsidRPr="002B3F29" w:rsidRDefault="00073A3D"/>
    <w:p w:rsidR="00073A3D" w:rsidRPr="002B3F29" w:rsidRDefault="00D50503">
      <w:pPr>
        <w:jc w:val="center"/>
        <w:rPr>
          <w:b/>
          <w:bCs/>
        </w:rPr>
      </w:pPr>
      <w:r w:rsidRPr="002B3F29">
        <w:rPr>
          <w:b/>
        </w:rPr>
        <w:t>Член 5</w:t>
      </w:r>
    </w:p>
    <w:p w:rsidR="00073A3D" w:rsidRPr="002B3F29" w:rsidRDefault="00073A3D"/>
    <w:p w:rsidR="00BE1E1D" w:rsidRPr="002B3F29" w:rsidRDefault="00D50503">
      <w:pPr>
        <w:pStyle w:val="BodyText"/>
        <w:rPr>
          <w:rFonts w:ascii="Times New              Roman;se" w:eastAsia="Calibri" w:hAnsi="Times New              Roman;se"/>
        </w:rPr>
      </w:pPr>
      <w:r w:rsidRPr="002B3F29">
        <w:rPr>
          <w:rFonts w:ascii="Times New              Roman;se" w:hAnsi="Times New              Roman;se"/>
        </w:rPr>
        <w:t>В член R.48-1, точка 12 от Наказателно-процесуалния кодекс, след думите „от Кодекса на гражданското въздухоплаване“, се добавят думите „и членове R. 20-25-1 и R. 20-25-2 от Кодекса на пощите и електронните съобщения. “.</w:t>
      </w:r>
    </w:p>
    <w:p w:rsidR="00073A3D" w:rsidRPr="002B3F29" w:rsidRDefault="00073A3D"/>
    <w:p w:rsidR="00073A3D" w:rsidRPr="002B3F29" w:rsidRDefault="00D50503">
      <w:pPr>
        <w:jc w:val="center"/>
        <w:rPr>
          <w:b/>
        </w:rPr>
      </w:pPr>
      <w:r w:rsidRPr="002B3F29">
        <w:rPr>
          <w:b/>
        </w:rPr>
        <w:t>Глава IV: заключителни разпоредби</w:t>
      </w:r>
    </w:p>
    <w:p w:rsidR="00073A3D" w:rsidRPr="002B3F29" w:rsidRDefault="00073A3D">
      <w:pPr>
        <w:rPr>
          <w:b/>
        </w:rPr>
      </w:pPr>
    </w:p>
    <w:p w:rsidR="00073A3D" w:rsidRPr="002B3F29" w:rsidRDefault="00D50503">
      <w:pPr>
        <w:jc w:val="center"/>
        <w:rPr>
          <w:b/>
        </w:rPr>
      </w:pPr>
      <w:r w:rsidRPr="002B3F29">
        <w:rPr>
          <w:b/>
        </w:rPr>
        <w:t>Член 6</w:t>
      </w:r>
    </w:p>
    <w:p w:rsidR="00697687" w:rsidRPr="002B3F29" w:rsidRDefault="00697687">
      <w:pPr>
        <w:pStyle w:val="BodyText"/>
      </w:pPr>
    </w:p>
    <w:p w:rsidR="00073A3D" w:rsidRPr="002B3F29" w:rsidRDefault="00D50503">
      <w:pPr>
        <w:pStyle w:val="BodyText"/>
        <w:rPr>
          <w:b/>
        </w:rPr>
      </w:pPr>
      <w:r w:rsidRPr="002B3F29">
        <w:t>Разпоредбите на настоящия указ се прилагат във Френска Полинезия, на островите Уолис и Футуна и на Френските южни и антарктически територии.</w:t>
      </w:r>
    </w:p>
    <w:p w:rsidR="00073A3D" w:rsidRPr="002B3F29" w:rsidRDefault="00073A3D">
      <w:pPr>
        <w:jc w:val="center"/>
        <w:rPr>
          <w:b/>
        </w:rPr>
      </w:pPr>
    </w:p>
    <w:p w:rsidR="00073A3D" w:rsidRPr="002B3F29" w:rsidRDefault="00D50503">
      <w:pPr>
        <w:pStyle w:val="BodyText"/>
        <w:jc w:val="center"/>
        <w:rPr>
          <w:b/>
        </w:rPr>
      </w:pPr>
      <w:r w:rsidRPr="002B3F29">
        <w:rPr>
          <w:b/>
        </w:rPr>
        <w:t>Член 7</w:t>
      </w:r>
    </w:p>
    <w:p w:rsidR="00073A3D" w:rsidRPr="002B3F29" w:rsidRDefault="00D50503">
      <w:pPr>
        <w:pStyle w:val="SNAutorit"/>
        <w:spacing w:before="120" w:after="0"/>
        <w:ind w:firstLine="0"/>
        <w:jc w:val="both"/>
      </w:pPr>
      <w:r w:rsidRPr="002B3F29">
        <w:rPr>
          <w:rFonts w:ascii="Times New              Roman;se" w:hAnsi="Times New              Roman;se"/>
          <w:b w:val="0"/>
        </w:rPr>
        <w:t>Настоящият указ влиза в сила в деня след деня на публикуването му, с изключение на разпоредбите на член R. 20-25-1 и на член R. 20-25-2 от Кодекса на пощите и електронните съобщения, които влизат в сила на 1 януари 2019 г.</w:t>
      </w:r>
    </w:p>
    <w:p w:rsidR="00073A3D" w:rsidRPr="002B3F29" w:rsidRDefault="00D50503">
      <w:pPr>
        <w:pStyle w:val="SNArticle"/>
      </w:pPr>
      <w:r w:rsidRPr="002B3F29">
        <w:t>Член 8</w:t>
      </w:r>
    </w:p>
    <w:p w:rsidR="00073A3D" w:rsidRPr="002B3F29" w:rsidRDefault="00D50503">
      <w:pPr>
        <w:pStyle w:val="BodyText"/>
      </w:pPr>
      <w:r w:rsidRPr="002B3F29">
        <w:t xml:space="preserve">Държавният министър, министър на вътрешните работи, държавният министър, министър на екологичния и солидарен преход, пазителят на държавния печат, министър на правосъдието, министърът на икономиката и финансите, министърът по въпросите на отвъдморските департаменти и територии и министърът към държавния министър, министър на екологичния и солидарен преход, отговарящ за транспорта, се задължават, всеки в съответната област, с изпълнението на настоящия указ, който ще бъде публикуван в </w:t>
      </w:r>
      <w:r w:rsidRPr="002B3F29">
        <w:rPr>
          <w:i/>
        </w:rPr>
        <w:t>Официален вестник</w:t>
      </w:r>
      <w:r w:rsidRPr="002B3F29">
        <w:t xml:space="preserve"> на Френската република.</w:t>
      </w:r>
    </w:p>
    <w:p w:rsidR="00073A3D" w:rsidRPr="002B3F29" w:rsidRDefault="00D50503">
      <w:pPr>
        <w:pStyle w:val="SNDate"/>
      </w:pPr>
      <w:r w:rsidRPr="002B3F29">
        <w:t>Съставено на .</w:t>
      </w:r>
    </w:p>
    <w:p w:rsidR="00073A3D" w:rsidRPr="002B3F29" w:rsidRDefault="00D50503">
      <w:pPr>
        <w:pStyle w:val="SNDate"/>
      </w:pPr>
      <w:r w:rsidRPr="002B3F29">
        <w:lastRenderedPageBreak/>
        <w:t>От министър-председателя:</w:t>
      </w:r>
    </w:p>
    <w:p w:rsidR="00073A3D" w:rsidRPr="002B3F29" w:rsidRDefault="00D50503">
      <w:pPr>
        <w:pStyle w:val="SNSignatureGauche"/>
      </w:pPr>
      <w:r w:rsidRPr="002B3F29">
        <w:t>Държавен министър, министър на вътрешните работи</w:t>
      </w:r>
    </w:p>
    <w:p w:rsidR="00073A3D" w:rsidRPr="002B3F29" w:rsidRDefault="00D50503">
      <w:pPr>
        <w:pStyle w:val="SNSignatureprnomnomGauche"/>
        <w:rPr>
          <w:color w:val="auto"/>
        </w:rPr>
      </w:pPr>
      <w:r w:rsidRPr="002B3F29">
        <w:rPr>
          <w:color w:val="auto"/>
        </w:rPr>
        <w:t>Gérard COLLOMB</w:t>
      </w:r>
    </w:p>
    <w:p w:rsidR="00073A3D" w:rsidRPr="002B3F29" w:rsidRDefault="00D50503">
      <w:pPr>
        <w:pStyle w:val="SNSignatureDroite"/>
        <w:rPr>
          <w:color w:val="auto"/>
        </w:rPr>
      </w:pPr>
      <w:r w:rsidRPr="002B3F29">
        <w:rPr>
          <w:color w:val="auto"/>
        </w:rPr>
        <w:t>Държавен министър, министър на екологичния и солидарен преход</w:t>
      </w:r>
    </w:p>
    <w:p w:rsidR="00073A3D" w:rsidRPr="002B3F29" w:rsidRDefault="00D50503">
      <w:pPr>
        <w:pStyle w:val="SNSignatureDroite"/>
        <w:rPr>
          <w:color w:val="auto"/>
        </w:rPr>
      </w:pPr>
      <w:r w:rsidRPr="002B3F29">
        <w:rPr>
          <w:color w:val="auto"/>
        </w:rPr>
        <w:t>Nicolas HULOT</w:t>
      </w:r>
    </w:p>
    <w:p w:rsidR="00000ECF" w:rsidRPr="002B3F29" w:rsidRDefault="00000ECF" w:rsidP="00697687">
      <w:pPr>
        <w:pStyle w:val="SNSignatureprnomnomDroite"/>
        <w:ind w:left="0"/>
        <w:jc w:val="left"/>
        <w:rPr>
          <w:color w:val="auto"/>
        </w:rPr>
      </w:pPr>
      <w:r w:rsidRPr="002B3F29">
        <w:rPr>
          <w:color w:val="auto"/>
        </w:rPr>
        <w:t>Пазител на държавния печат, министър на правосъдието</w:t>
      </w:r>
    </w:p>
    <w:p w:rsidR="00697687" w:rsidRPr="002B3F29" w:rsidRDefault="00697687" w:rsidP="00697687">
      <w:pPr>
        <w:pStyle w:val="SNSignatureprnomnomGauche"/>
        <w:tabs>
          <w:tab w:val="left" w:pos="9354"/>
        </w:tabs>
        <w:ind w:left="0"/>
        <w:rPr>
          <w:color w:val="auto"/>
        </w:rPr>
      </w:pPr>
    </w:p>
    <w:p w:rsidR="00697687" w:rsidRPr="002B3F29" w:rsidRDefault="00697687" w:rsidP="00697687">
      <w:pPr>
        <w:pStyle w:val="SNSignatureprnomnomGauche"/>
        <w:tabs>
          <w:tab w:val="left" w:pos="9354"/>
        </w:tabs>
        <w:ind w:left="0"/>
        <w:rPr>
          <w:color w:val="auto"/>
        </w:rPr>
      </w:pPr>
    </w:p>
    <w:p w:rsidR="00697687" w:rsidRPr="002B3F29" w:rsidRDefault="00697687" w:rsidP="00697687">
      <w:pPr>
        <w:pStyle w:val="SNSignatureprnomnomGauche"/>
        <w:tabs>
          <w:tab w:val="left" w:pos="9354"/>
        </w:tabs>
        <w:ind w:left="0"/>
        <w:rPr>
          <w:color w:val="auto"/>
        </w:rPr>
      </w:pPr>
    </w:p>
    <w:p w:rsidR="00D47282" w:rsidRPr="002B3F29" w:rsidRDefault="00000ECF" w:rsidP="00697687">
      <w:pPr>
        <w:pStyle w:val="SNSignatureprnomnomGauche"/>
        <w:tabs>
          <w:tab w:val="left" w:pos="9354"/>
        </w:tabs>
        <w:ind w:left="0"/>
        <w:rPr>
          <w:color w:val="auto"/>
        </w:rPr>
      </w:pPr>
      <w:r w:rsidRPr="002B3F29">
        <w:rPr>
          <w:color w:val="auto"/>
        </w:rPr>
        <w:t>Nicole BELLOUBET</w:t>
      </w:r>
    </w:p>
    <w:p w:rsidR="00000ECF" w:rsidRPr="002B3F29" w:rsidRDefault="00000ECF" w:rsidP="00000ECF">
      <w:pPr>
        <w:pStyle w:val="SNSignatureGauche"/>
      </w:pPr>
    </w:p>
    <w:p w:rsidR="00697687" w:rsidRPr="002B3F29" w:rsidRDefault="00697687">
      <w:pPr>
        <w:pStyle w:val="SNSignatureGauche"/>
      </w:pPr>
    </w:p>
    <w:p w:rsidR="00073A3D" w:rsidRPr="002B3F29" w:rsidRDefault="00D50503">
      <w:pPr>
        <w:pStyle w:val="SNSignatureGauche"/>
      </w:pPr>
      <w:r w:rsidRPr="002B3F29">
        <w:lastRenderedPageBreak/>
        <w:t>Министър на икономиката и финансите</w:t>
      </w:r>
    </w:p>
    <w:p w:rsidR="00073A3D" w:rsidRPr="002B3F29" w:rsidRDefault="00D50503">
      <w:pPr>
        <w:pStyle w:val="SNSignatureGauche"/>
      </w:pPr>
      <w:r w:rsidRPr="002B3F29">
        <w:t>Bruno LEMAIRE</w:t>
      </w:r>
    </w:p>
    <w:p w:rsidR="00073A3D" w:rsidRPr="002B3F29" w:rsidRDefault="00F54C64" w:rsidP="002E197B">
      <w:pPr>
        <w:pStyle w:val="SNSignatureprnomnomGauche"/>
        <w:tabs>
          <w:tab w:val="left" w:pos="5812"/>
          <w:tab w:val="left" w:pos="6237"/>
          <w:tab w:val="left" w:pos="6379"/>
          <w:tab w:val="left" w:pos="7230"/>
          <w:tab w:val="left" w:pos="7797"/>
          <w:tab w:val="left" w:pos="8364"/>
        </w:tabs>
        <w:ind w:left="0" w:right="0"/>
        <w:jc w:val="right"/>
        <w:rPr>
          <w:color w:val="auto"/>
        </w:rPr>
      </w:pPr>
      <w:r w:rsidRPr="002B3F29">
        <w:rPr>
          <w:color w:val="auto"/>
        </w:rPr>
        <w:t>Министър по въпросите на отвъдморските департаменти и територии</w:t>
      </w:r>
    </w:p>
    <w:p w:rsidR="00073A3D" w:rsidRPr="002B3F29" w:rsidRDefault="00073A3D">
      <w:pPr>
        <w:pStyle w:val="SNSignatureGauche"/>
        <w:tabs>
          <w:tab w:val="left" w:pos="8222"/>
        </w:tabs>
      </w:pPr>
    </w:p>
    <w:p w:rsidR="00073A3D" w:rsidRPr="002B3F29" w:rsidRDefault="00D50503" w:rsidP="002E197B">
      <w:pPr>
        <w:pStyle w:val="SNSignatureGauche"/>
        <w:tabs>
          <w:tab w:val="left" w:pos="8222"/>
        </w:tabs>
        <w:ind w:left="0" w:right="0"/>
        <w:jc w:val="right"/>
      </w:pPr>
      <w:r w:rsidRPr="002B3F29">
        <w:t>Annick GIRARDIN</w:t>
      </w:r>
    </w:p>
    <w:p w:rsidR="00073A3D" w:rsidRPr="002B3F29" w:rsidRDefault="00D50503">
      <w:pPr>
        <w:pStyle w:val="SNSignatureGauche"/>
      </w:pPr>
      <w:r w:rsidRPr="002B3F29">
        <w:t>Министър към държавния министър, министър на екологичния и солидарен преход, отговарящ за транспорта</w:t>
      </w:r>
    </w:p>
    <w:p w:rsidR="00073A3D" w:rsidRPr="002B3F29" w:rsidRDefault="00D50503">
      <w:pPr>
        <w:pStyle w:val="SNSignatureGauche"/>
      </w:pPr>
      <w:r w:rsidRPr="002B3F29">
        <w:t>Elisabeth BORNE</w:t>
      </w:r>
    </w:p>
    <w:sectPr w:rsidR="00073A3D" w:rsidRPr="002B3F29" w:rsidSect="0014705D">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FD2" w:rsidRDefault="005E5FD2" w:rsidP="00660ECB">
      <w:r>
        <w:separator/>
      </w:r>
    </w:p>
  </w:endnote>
  <w:endnote w:type="continuationSeparator" w:id="0">
    <w:p w:rsidR="005E5FD2" w:rsidRDefault="005E5FD2" w:rsidP="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Liberation Sans">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s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FD2" w:rsidRDefault="005E5FD2" w:rsidP="00660ECB">
      <w:r>
        <w:separator/>
      </w:r>
    </w:p>
  </w:footnote>
  <w:footnote w:type="continuationSeparator" w:id="0">
    <w:p w:rsidR="005E5FD2" w:rsidRDefault="005E5FD2" w:rsidP="00660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B47FD"/>
    <w:multiLevelType w:val="multilevel"/>
    <w:tmpl w:val="CF72BE8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3D"/>
    <w:rsid w:val="00000ECF"/>
    <w:rsid w:val="000448F5"/>
    <w:rsid w:val="000452B1"/>
    <w:rsid w:val="00073A3D"/>
    <w:rsid w:val="0014705D"/>
    <w:rsid w:val="002B3F29"/>
    <w:rsid w:val="002E197B"/>
    <w:rsid w:val="00311055"/>
    <w:rsid w:val="003723F5"/>
    <w:rsid w:val="00397D5C"/>
    <w:rsid w:val="003B26B1"/>
    <w:rsid w:val="003D5A5C"/>
    <w:rsid w:val="003F769D"/>
    <w:rsid w:val="004D1C2C"/>
    <w:rsid w:val="005527AE"/>
    <w:rsid w:val="005E5FD2"/>
    <w:rsid w:val="005F3DB6"/>
    <w:rsid w:val="00660ECB"/>
    <w:rsid w:val="006732B4"/>
    <w:rsid w:val="00697687"/>
    <w:rsid w:val="0082741D"/>
    <w:rsid w:val="008E4588"/>
    <w:rsid w:val="009A32C8"/>
    <w:rsid w:val="009A4C69"/>
    <w:rsid w:val="00A200B4"/>
    <w:rsid w:val="00AD7A1C"/>
    <w:rsid w:val="00BE1E1D"/>
    <w:rsid w:val="00BF6B0E"/>
    <w:rsid w:val="00D47282"/>
    <w:rsid w:val="00D50503"/>
    <w:rsid w:val="00F54C64"/>
    <w:rsid w:val="00FA699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331674-9C03-41E7-B46E-B62E45DC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rPr>
  </w:style>
  <w:style w:type="paragraph" w:styleId="Heading1">
    <w:name w:val="heading 1"/>
    <w:basedOn w:val="Normal"/>
    <w:next w:val="Normal"/>
    <w:qFormat/>
    <w:pPr>
      <w:keepNext/>
      <w:numPr>
        <w:numId w:val="1"/>
      </w:numPr>
      <w:spacing w:before="240"/>
      <w:jc w:val="center"/>
      <w:outlineLvl w:val="0"/>
    </w:pPr>
    <w:rPr>
      <w:rFonts w:cs="Arial"/>
      <w:bCs/>
      <w:caps/>
    </w:rPr>
  </w:style>
  <w:style w:type="paragraph" w:styleId="Heading2">
    <w:name w:val="heading 2"/>
    <w:basedOn w:val="Normal"/>
    <w:next w:val="Normal"/>
    <w:qFormat/>
    <w:pPr>
      <w:keepNext/>
      <w:numPr>
        <w:ilvl w:val="1"/>
        <w:numId w:val="1"/>
      </w:numPr>
      <w:spacing w:before="240"/>
      <w:jc w:val="center"/>
      <w:outlineLvl w:val="1"/>
    </w:pPr>
    <w:rPr>
      <w:bCs/>
      <w:iCs/>
      <w:smallCaps/>
    </w:rPr>
  </w:style>
  <w:style w:type="paragraph" w:styleId="Heading3">
    <w:name w:val="heading 3"/>
    <w:basedOn w:val="Normal"/>
    <w:next w:val="Normal"/>
    <w:qFormat/>
    <w:pPr>
      <w:keepNext/>
      <w:numPr>
        <w:ilvl w:val="2"/>
        <w:numId w:val="1"/>
      </w:numPr>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bg-BG" w:bidi="bg-BG"/>
    </w:rPr>
  </w:style>
  <w:style w:type="character" w:customStyle="1" w:styleId="SNDateCar">
    <w:name w:val="SNDate Car"/>
    <w:qFormat/>
    <w:rPr>
      <w:sz w:val="24"/>
      <w:szCs w:val="24"/>
      <w:lang w:val="bg-BG" w:bidi="bg-BG"/>
    </w:rPr>
  </w:style>
  <w:style w:type="character" w:customStyle="1" w:styleId="SNArticleCar">
    <w:name w:val="SNArticle Car"/>
    <w:qFormat/>
    <w:rPr>
      <w:b/>
      <w:sz w:val="24"/>
      <w:szCs w:val="24"/>
      <w:lang w:val="bg-BG" w:bidi="bg-BG"/>
    </w:rPr>
  </w:style>
  <w:style w:type="character" w:customStyle="1" w:styleId="SNenProjet">
    <w:name w:val="SNenProjet"/>
    <w:basedOn w:val="Policepardfaut1"/>
    <w:qFormat/>
  </w:style>
  <w:style w:type="character" w:customStyle="1" w:styleId="Marquedecommentaire1">
    <w:name w:val="Marque de commentaire1"/>
    <w:qFormat/>
    <w:rPr>
      <w:sz w:val="16"/>
      <w:szCs w:val="16"/>
    </w:rPr>
  </w:style>
  <w:style w:type="character" w:customStyle="1" w:styleId="CommentaireCar">
    <w:name w:val="Commentaire Car"/>
    <w:basedOn w:val="Policepardfaut1"/>
    <w:qFormat/>
  </w:style>
  <w:style w:type="character" w:customStyle="1" w:styleId="ObjetducommentaireCar">
    <w:name w:val="Objet du commentaire Car"/>
    <w:qFormat/>
    <w:rPr>
      <w:b/>
      <w:bCs/>
    </w:rPr>
  </w:style>
  <w:style w:type="character" w:customStyle="1" w:styleId="TextebrutCar">
    <w:name w:val="Texte brut Car"/>
    <w:qFormat/>
    <w:rPr>
      <w:rFonts w:ascii="Calibri" w:eastAsia="Calibri" w:hAnsi="Calibri" w:cs="Calibri"/>
      <w:color w:val="000000"/>
      <w:sz w:val="22"/>
      <w:szCs w:val="22"/>
    </w:rPr>
  </w:style>
  <w:style w:type="character" w:styleId="CommentReference">
    <w:name w:val="annotation reference"/>
    <w:qFormat/>
    <w:rPr>
      <w:sz w:val="16"/>
      <w:szCs w:val="16"/>
    </w:rPr>
  </w:style>
  <w:style w:type="character" w:customStyle="1" w:styleId="CommentaireCar1">
    <w:name w:val="Commentaire Car1"/>
    <w:qFormat/>
    <w:rPr>
      <w:lang w:eastAsia="bg-BG"/>
    </w:rPr>
  </w:style>
  <w:style w:type="paragraph" w:styleId="Title">
    <w:name w:val="Title"/>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20"/>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Titre1">
    <w:name w:val="Titre1"/>
    <w:basedOn w:val="Normal"/>
    <w:next w:val="BodyText"/>
    <w:qFormat/>
    <w:pPr>
      <w:keepNext/>
      <w:spacing w:before="240" w:after="120"/>
    </w:pPr>
    <w:rPr>
      <w:rFonts w:ascii="Liberation Sans" w:eastAsia="微软雅黑" w:hAnsi="Liberation Sans" w:cs="Lucida Sans"/>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504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BodyText"/>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rPr>
  </w:style>
  <w:style w:type="paragraph" w:customStyle="1" w:styleId="Titre2objet">
    <w:name w:val="Titre 2 objet"/>
    <w:basedOn w:val="Heading2"/>
    <w:next w:val="Normal"/>
    <w:qFormat/>
    <w:pPr>
      <w:numPr>
        <w:ilvl w:val="0"/>
        <w:numId w:val="0"/>
      </w:numPr>
      <w:spacing w:before="0" w:after="120"/>
    </w:pPr>
    <w:rPr>
      <w:b/>
    </w:rPr>
  </w:style>
  <w:style w:type="paragraph" w:customStyle="1" w:styleId="titre3objet">
    <w:name w:val="titre 3 objet"/>
    <w:basedOn w:val="Heading3"/>
    <w:next w:val="Normal"/>
    <w:qFormat/>
    <w:pPr>
      <w:numPr>
        <w:ilvl w:val="0"/>
        <w:numId w:val="0"/>
      </w:numPr>
      <w:spacing w:before="0" w:after="120"/>
    </w:pPr>
    <w:rPr>
      <w:b/>
    </w:r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Textebrut1">
    <w:name w:val="Texte brut1"/>
    <w:basedOn w:val="Normal"/>
    <w:qFormat/>
    <w:rPr>
      <w:rFonts w:ascii="Calibri" w:eastAsia="Calibri" w:hAnsi="Calibri" w:cs="Calibri"/>
      <w:color w:val="000000"/>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qFormat/>
    <w:rPr>
      <w:sz w:val="20"/>
      <w:szCs w:val="20"/>
    </w:rPr>
  </w:style>
  <w:style w:type="paragraph" w:styleId="ListParagraph">
    <w:name w:val="List Paragraph"/>
    <w:basedOn w:val="Normal"/>
    <w:qFormat/>
    <w:pPr>
      <w:suppressAutoHyphens w:val="0"/>
      <w:ind w:left="720"/>
    </w:pPr>
    <w:rPr>
      <w:rFonts w:eastAsia="Calibri"/>
      <w:color w:val="000000"/>
    </w:rPr>
  </w:style>
  <w:style w:type="numbering" w:customStyle="1" w:styleId="WW8Num1">
    <w:name w:val="WW8Num1"/>
    <w:qFormat/>
  </w:style>
  <w:style w:type="paragraph" w:styleId="Header">
    <w:name w:val="header"/>
    <w:basedOn w:val="Normal"/>
    <w:link w:val="HeaderChar"/>
    <w:uiPriority w:val="99"/>
    <w:unhideWhenUsed/>
    <w:rsid w:val="00660ECB"/>
    <w:pPr>
      <w:tabs>
        <w:tab w:val="center" w:pos="4320"/>
        <w:tab w:val="right" w:pos="8640"/>
      </w:tabs>
    </w:pPr>
  </w:style>
  <w:style w:type="character" w:customStyle="1" w:styleId="HeaderChar">
    <w:name w:val="Header Char"/>
    <w:basedOn w:val="DefaultParagraphFont"/>
    <w:link w:val="Header"/>
    <w:uiPriority w:val="99"/>
    <w:rsid w:val="00660ECB"/>
    <w:rPr>
      <w:rFonts w:ascii="Times New Roman" w:eastAsia="Times New Roman" w:hAnsi="Times New Roman" w:cs="Times New Roman"/>
      <w:sz w:val="24"/>
      <w:lang w:bidi="bg-BG"/>
    </w:rPr>
  </w:style>
  <w:style w:type="paragraph" w:styleId="Footer">
    <w:name w:val="footer"/>
    <w:basedOn w:val="Normal"/>
    <w:link w:val="FooterChar"/>
    <w:uiPriority w:val="99"/>
    <w:unhideWhenUsed/>
    <w:rsid w:val="00660ECB"/>
    <w:pPr>
      <w:tabs>
        <w:tab w:val="center" w:pos="4320"/>
        <w:tab w:val="right" w:pos="8640"/>
      </w:tabs>
    </w:pPr>
  </w:style>
  <w:style w:type="character" w:customStyle="1" w:styleId="FooterChar">
    <w:name w:val="Footer Char"/>
    <w:basedOn w:val="DefaultParagraphFont"/>
    <w:link w:val="Footer"/>
    <w:uiPriority w:val="99"/>
    <w:rsid w:val="00660ECB"/>
    <w:rPr>
      <w:rFonts w:ascii="Times New Roman" w:eastAsia="Times New Roman" w:hAnsi="Times New Roman" w:cs="Times New Roman"/>
      <w:sz w:val="24"/>
      <w:lan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1775</Words>
  <Characters>10120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MINEFI</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Ke, Tingting</cp:lastModifiedBy>
  <cp:revision>6</cp:revision>
  <cp:lastPrinted>2018-03-29T14:13:00Z</cp:lastPrinted>
  <dcterms:created xsi:type="dcterms:W3CDTF">2018-03-28T11:38:00Z</dcterms:created>
  <dcterms:modified xsi:type="dcterms:W3CDTF">2018-04-20T09:10:00Z</dcterms:modified>
  <dc:language>fr-FR</dc:language>
</cp:coreProperties>
</file>