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F3014E" w:rsidRDefault="00AD7A1C" w:rsidP="00AD7A1C">
      <w:pPr>
        <w:ind w:left="-634" w:right="-778"/>
        <w:jc w:val="center"/>
        <w:textAlignment w:val="baseline"/>
        <w:rPr>
          <w:rFonts w:ascii="Courier New" w:hAnsi="Courier New"/>
          <w:sz w:val="20"/>
        </w:rPr>
      </w:pPr>
      <w:r w:rsidRPr="00F3014E">
        <w:rPr>
          <w:rFonts w:ascii="Courier New" w:hAnsi="Courier New"/>
          <w:sz w:val="20"/>
        </w:rPr>
        <w:t>1. ------IND- 2018 0169 F-- LT- ------ 20180420 --- --- PROJET</w:t>
      </w:r>
    </w:p>
    <w:p w:rsidR="00AD7A1C" w:rsidRPr="00F3014E"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F3014E" w:rsidTr="006516B7">
        <w:trPr>
          <w:cantSplit/>
        </w:trPr>
        <w:tc>
          <w:tcPr>
            <w:tcW w:w="3982" w:type="dxa"/>
            <w:gridSpan w:val="3"/>
          </w:tcPr>
          <w:p w:rsidR="00B73D02" w:rsidRPr="00F3014E" w:rsidRDefault="00B73D02" w:rsidP="006516B7">
            <w:pPr>
              <w:pStyle w:val="SNREPUBLIQUE"/>
            </w:pPr>
            <w:r w:rsidRPr="00F3014E">
              <w:t>PRANCŪZIJOS RESPUBLIKA</w:t>
            </w:r>
          </w:p>
        </w:tc>
      </w:tr>
      <w:tr w:rsidR="00B73D02" w:rsidRPr="00F3014E" w:rsidTr="006516B7">
        <w:trPr>
          <w:cantSplit/>
          <w:trHeight w:val="42"/>
        </w:trPr>
        <w:tc>
          <w:tcPr>
            <w:tcW w:w="1527" w:type="dxa"/>
          </w:tcPr>
          <w:p w:rsidR="00B73D02" w:rsidRPr="00F3014E" w:rsidRDefault="00B73D02" w:rsidP="006516B7">
            <w:pPr>
              <w:rPr>
                <w:sz w:val="8"/>
              </w:rPr>
            </w:pPr>
          </w:p>
        </w:tc>
        <w:tc>
          <w:tcPr>
            <w:tcW w:w="968" w:type="dxa"/>
            <w:tcBorders>
              <w:bottom w:val="single" w:sz="4" w:space="0" w:color="auto"/>
            </w:tcBorders>
          </w:tcPr>
          <w:p w:rsidR="00B73D02" w:rsidRPr="00F3014E" w:rsidRDefault="00B73D02" w:rsidP="006516B7">
            <w:pPr>
              <w:rPr>
                <w:sz w:val="8"/>
              </w:rPr>
            </w:pPr>
          </w:p>
        </w:tc>
        <w:tc>
          <w:tcPr>
            <w:tcW w:w="1487" w:type="dxa"/>
          </w:tcPr>
          <w:p w:rsidR="00B73D02" w:rsidRPr="00F3014E" w:rsidRDefault="00B73D02" w:rsidP="006516B7">
            <w:pPr>
              <w:rPr>
                <w:sz w:val="8"/>
              </w:rPr>
            </w:pPr>
          </w:p>
        </w:tc>
      </w:tr>
      <w:tr w:rsidR="00B73D02" w:rsidRPr="00F3014E" w:rsidTr="006516B7">
        <w:trPr>
          <w:cantSplit/>
        </w:trPr>
        <w:tc>
          <w:tcPr>
            <w:tcW w:w="3982" w:type="dxa"/>
            <w:gridSpan w:val="3"/>
          </w:tcPr>
          <w:p w:rsidR="00B73D02" w:rsidRPr="00F3014E" w:rsidRDefault="00B73D02" w:rsidP="006516B7">
            <w:pPr>
              <w:pStyle w:val="SNTimbre"/>
            </w:pPr>
            <w:r w:rsidRPr="00F3014E">
              <w:t>Ekonomikos ir finansų ministerija</w:t>
            </w:r>
          </w:p>
        </w:tc>
      </w:tr>
      <w:tr w:rsidR="00B73D02" w:rsidRPr="00F3014E" w:rsidTr="006516B7">
        <w:trPr>
          <w:cantSplit/>
          <w:trHeight w:val="222"/>
        </w:trPr>
        <w:tc>
          <w:tcPr>
            <w:tcW w:w="1527" w:type="dxa"/>
          </w:tcPr>
          <w:p w:rsidR="00B73D02" w:rsidRPr="00F3014E" w:rsidRDefault="00B73D02" w:rsidP="006516B7">
            <w:pPr>
              <w:rPr>
                <w:sz w:val="16"/>
              </w:rPr>
            </w:pPr>
          </w:p>
        </w:tc>
        <w:tc>
          <w:tcPr>
            <w:tcW w:w="968" w:type="dxa"/>
            <w:tcBorders>
              <w:bottom w:val="single" w:sz="4" w:space="0" w:color="auto"/>
            </w:tcBorders>
          </w:tcPr>
          <w:p w:rsidR="00B73D02" w:rsidRPr="00F3014E" w:rsidRDefault="00B73D02" w:rsidP="006516B7">
            <w:pPr>
              <w:rPr>
                <w:sz w:val="16"/>
              </w:rPr>
            </w:pPr>
          </w:p>
        </w:tc>
        <w:tc>
          <w:tcPr>
            <w:tcW w:w="1487" w:type="dxa"/>
          </w:tcPr>
          <w:p w:rsidR="00B73D02" w:rsidRPr="00F3014E" w:rsidRDefault="00B73D02" w:rsidP="006516B7">
            <w:pPr>
              <w:rPr>
                <w:sz w:val="16"/>
              </w:rPr>
            </w:pPr>
          </w:p>
        </w:tc>
      </w:tr>
      <w:tr w:rsidR="00B73D02" w:rsidRPr="00F3014E" w:rsidTr="006516B7">
        <w:trPr>
          <w:cantSplit/>
        </w:trPr>
        <w:tc>
          <w:tcPr>
            <w:tcW w:w="1527" w:type="dxa"/>
          </w:tcPr>
          <w:p w:rsidR="00B73D02" w:rsidRPr="00F3014E" w:rsidRDefault="00B73D02" w:rsidP="006516B7">
            <w:pPr>
              <w:rPr>
                <w:sz w:val="16"/>
              </w:rPr>
            </w:pPr>
          </w:p>
        </w:tc>
        <w:tc>
          <w:tcPr>
            <w:tcW w:w="968" w:type="dxa"/>
            <w:tcBorders>
              <w:top w:val="single" w:sz="4" w:space="0" w:color="auto"/>
            </w:tcBorders>
          </w:tcPr>
          <w:p w:rsidR="00B73D02" w:rsidRPr="00F3014E" w:rsidRDefault="00B73D02" w:rsidP="006516B7">
            <w:pPr>
              <w:rPr>
                <w:sz w:val="16"/>
              </w:rPr>
            </w:pPr>
          </w:p>
        </w:tc>
        <w:tc>
          <w:tcPr>
            <w:tcW w:w="1487" w:type="dxa"/>
          </w:tcPr>
          <w:p w:rsidR="00B73D02" w:rsidRPr="00F3014E" w:rsidRDefault="00B73D02" w:rsidP="006516B7">
            <w:pPr>
              <w:rPr>
                <w:sz w:val="16"/>
              </w:rPr>
            </w:pPr>
          </w:p>
        </w:tc>
      </w:tr>
    </w:tbl>
    <w:p w:rsidR="00073A3D" w:rsidRPr="00F3014E" w:rsidRDefault="00D50503" w:rsidP="00B73D02">
      <w:pPr>
        <w:pStyle w:val="SNNature"/>
        <w:jc w:val="left"/>
      </w:pPr>
      <w:r w:rsidRPr="00F3014E">
        <w:t>Dekretas Nr.             , kuriuo nustatomos nepilotuojamų orlaivių signalizavimo prietaisų paskirtys bei Pašto ir elektroninių ryšių kodekso L. 34-9-2 straipsnyje numatytų išimčių suteikimo sąlygos</w:t>
      </w:r>
    </w:p>
    <w:p w:rsidR="00073A3D" w:rsidRPr="00F3014E" w:rsidRDefault="00D50503">
      <w:pPr>
        <w:pStyle w:val="SNNORCentr"/>
      </w:pPr>
      <w:r w:rsidRPr="00F3014E">
        <w:t>NOR: […]</w:t>
      </w:r>
    </w:p>
    <w:p w:rsidR="00073A3D" w:rsidRPr="00F3014E" w:rsidRDefault="00D50503">
      <w:pPr>
        <w:pStyle w:val="SNAutorit"/>
        <w:spacing w:after="0"/>
        <w:jc w:val="both"/>
      </w:pPr>
      <w:r w:rsidRPr="00F3014E">
        <w:rPr>
          <w:i/>
        </w:rPr>
        <w:t xml:space="preserve">Susiję subjektai: </w:t>
      </w:r>
      <w:r w:rsidRPr="00F3014E">
        <w:rPr>
          <w:b w:val="0"/>
          <w:i/>
        </w:rPr>
        <w:t>nepilotuojamų orlaivių, kurių masė viršija reglamentu nustatytą ribinę vertę, nuotoliniai pilotai, nepilotuojamų orlaivių projektuotojai</w:t>
      </w:r>
    </w:p>
    <w:p w:rsidR="00073A3D" w:rsidRPr="00F3014E" w:rsidRDefault="00D50503">
      <w:pPr>
        <w:pStyle w:val="SNAutorit"/>
        <w:spacing w:before="120" w:after="0"/>
        <w:jc w:val="both"/>
      </w:pPr>
      <w:r w:rsidRPr="00F3014E">
        <w:rPr>
          <w:i/>
        </w:rPr>
        <w:t xml:space="preserve">Objektas: </w:t>
      </w:r>
      <w:r w:rsidRPr="00F3014E">
        <w:rPr>
          <w:b w:val="0"/>
          <w:i/>
        </w:rPr>
        <w:t xml:space="preserve">šiuo dokumentu nustatomos elektroninio ir šviesos signalizavimo prietaisų, kurie turi būti įrengti nepilotuojamų orlaivių, kurių masė viršija reglamentu nustatytą ribinę vertę, paskirtys, taip pat prievolių išimčių sąlygos ir susijusios sankcijos. </w:t>
      </w:r>
    </w:p>
    <w:p w:rsidR="00073A3D" w:rsidRPr="00F3014E" w:rsidRDefault="00D50503">
      <w:pPr>
        <w:pStyle w:val="SNAutorit"/>
        <w:spacing w:before="120" w:after="0"/>
        <w:jc w:val="both"/>
      </w:pPr>
      <w:r w:rsidRPr="00F3014E">
        <w:rPr>
          <w:i/>
        </w:rPr>
        <w:t>Įsigaliojimas:</w:t>
      </w:r>
      <w:r w:rsidRPr="00F3014E">
        <w:rPr>
          <w:b w:val="0"/>
          <w:i/>
        </w:rPr>
        <w:t xml:space="preserve"> visas dokumentas įsigalioja kitą dieną po jo paskelbimo, išskyrus Pašto ir elektroninių ryšių kodekso R. 20-25-1 ir R. 20-25-2 straipsnių nuostatas – jos įsigalioja 2019 m. sausio 1 d.</w:t>
      </w:r>
    </w:p>
    <w:p w:rsidR="00073A3D" w:rsidRPr="00F3014E" w:rsidRDefault="00D50503">
      <w:pPr>
        <w:pStyle w:val="SNAutorit"/>
        <w:spacing w:before="120" w:after="0"/>
        <w:jc w:val="both"/>
      </w:pPr>
      <w:r w:rsidRPr="00F3014E">
        <w:rPr>
          <w:i/>
        </w:rPr>
        <w:t>Santrauka:</w:t>
      </w:r>
      <w:r w:rsidRPr="00F3014E">
        <w:rPr>
          <w:b w:val="0"/>
          <w:i/>
        </w:rPr>
        <w:t xml:space="preserve"> pagal Pašto ir elektroninių ryšių kodekso L. 34-9-2 straipsnį su pakeitimais, padarytais 2016 m. spalio 24 d. Įstatymu Nr. 2016-1428 dėl civilinių bepiločių orlaivių naudojimo saugumo stiprinimo, nepilotuojamuose orlaiviuose (išskyrus valstybinius), kurių masė yra didesnė nei reglamentu nustatyta ribinė vertė, turi būti įrengtas elektroninio ar skaitmeninio signalizavimo prietaisas bei šviesos signalizavimo prietaisas. Šiuo dekretu nustatomos šiems prietaisams numatytos paskirtys ir šių prievolių išimčių suteikimo sąlygos.</w:t>
      </w:r>
    </w:p>
    <w:p w:rsidR="00073A3D" w:rsidRPr="00F3014E" w:rsidRDefault="00D50503">
      <w:pPr>
        <w:pStyle w:val="SNAutorit"/>
        <w:spacing w:before="120"/>
        <w:jc w:val="both"/>
      </w:pPr>
      <w:r w:rsidRPr="00F3014E">
        <w:rPr>
          <w:i/>
        </w:rPr>
        <w:t xml:space="preserve">Nuorodos: </w:t>
      </w:r>
      <w:r w:rsidRPr="00F3014E">
        <w:rPr>
          <w:b w:val="0"/>
          <w:i/>
        </w:rPr>
        <w:t xml:space="preserve">dekretu įgyvendinama 2016 m. spalio 24 d. Įstatymo Nr. 2016-1428 dėl civilinių bepiločių orlaivių naudojimo saugumo stiprinimo 4 straipsnio I dalis. Pašto ir elektroninių ryšių kodekso straipsnius su pakeitimais, padarytais šiuo dekretu, galima rasti „Légifrance“ svetainėje (http://www.legifrance.gouv.fr). </w:t>
      </w:r>
    </w:p>
    <w:p w:rsidR="00073A3D" w:rsidRPr="00F3014E" w:rsidRDefault="00D50503">
      <w:pPr>
        <w:pStyle w:val="SNAutorit"/>
      </w:pPr>
      <w:r w:rsidRPr="00F3014E">
        <w:t>Ministras Pirmininkas,</w:t>
      </w:r>
    </w:p>
    <w:p w:rsidR="00073A3D" w:rsidRPr="00F3014E" w:rsidRDefault="00D50503">
      <w:pPr>
        <w:pStyle w:val="SNRapport"/>
      </w:pPr>
      <w:r w:rsidRPr="00F3014E">
        <w:t>remdamasis ekonomikos ir finansų ministro ataskaita,</w:t>
      </w:r>
    </w:p>
    <w:p w:rsidR="003B26B1" w:rsidRPr="00F3014E" w:rsidRDefault="00D50503" w:rsidP="00F54F40">
      <w:pPr>
        <w:jc w:val="both"/>
      </w:pPr>
      <w:r w:rsidRPr="00F3014E">
        <w:t>atsižvelgdamas į 2015 m. rugsėjo 9 d. Europos Parlamento ir Tarybos direktyvą (ES) 2015/1535, kuria nustatoma informacijos apie techninius reglamentus ir informacinės visuomenės paslaugų taisykles teikimo tvarka (kodifikuota redakcija), ypač į pranešimą Nr. metai/XXX/F,</w:t>
      </w:r>
    </w:p>
    <w:p w:rsidR="00F54F40" w:rsidRDefault="00F54F40" w:rsidP="00F54F40">
      <w:pPr>
        <w:ind w:left="426" w:hanging="426"/>
        <w:jc w:val="both"/>
      </w:pPr>
    </w:p>
    <w:p w:rsidR="00073A3D" w:rsidRPr="00F3014E" w:rsidRDefault="00D50503" w:rsidP="00F54F40">
      <w:pPr>
        <w:ind w:left="426" w:hanging="426"/>
        <w:jc w:val="both"/>
      </w:pPr>
      <w:r w:rsidRPr="00F3014E">
        <w:t>atsižvelgdamas į Civilinės aviacijos kodeksą, ypač į jo D. 510-3 straipsnį,</w:t>
      </w:r>
    </w:p>
    <w:p w:rsidR="00073A3D" w:rsidRPr="00F3014E" w:rsidRDefault="00073A3D" w:rsidP="00F54F40">
      <w:pPr>
        <w:ind w:left="426" w:hanging="426"/>
        <w:jc w:val="both"/>
      </w:pPr>
    </w:p>
    <w:p w:rsidR="00073A3D" w:rsidRPr="00F3014E" w:rsidRDefault="00D50503" w:rsidP="00F54F40">
      <w:pPr>
        <w:ind w:left="426" w:hanging="426"/>
        <w:jc w:val="both"/>
      </w:pPr>
      <w:r w:rsidRPr="00F3014E">
        <w:t>atsižvelgdamas į Pašto ir elektroninių ryšių kodeksą, ypač į jo L. 34-9-2 straipsnį,</w:t>
      </w:r>
    </w:p>
    <w:p w:rsidR="00073A3D" w:rsidRPr="00F3014E" w:rsidRDefault="00073A3D" w:rsidP="00F54F40">
      <w:pPr>
        <w:ind w:left="426" w:hanging="426"/>
        <w:jc w:val="both"/>
      </w:pPr>
    </w:p>
    <w:p w:rsidR="00073A3D" w:rsidRPr="00F3014E" w:rsidRDefault="00D50503" w:rsidP="00F54F40">
      <w:pPr>
        <w:ind w:left="426" w:hanging="426"/>
        <w:jc w:val="both"/>
      </w:pPr>
      <w:r w:rsidRPr="00F3014E">
        <w:lastRenderedPageBreak/>
        <w:t>atsižvelgdamas į Vidaus saugumo kodeksą, ypač į jo VIII knygos V antraštinę dalį,</w:t>
      </w:r>
    </w:p>
    <w:p w:rsidR="00073A3D" w:rsidRPr="00F3014E" w:rsidRDefault="00073A3D" w:rsidP="00F54F40">
      <w:pPr>
        <w:ind w:left="426" w:hanging="426"/>
        <w:jc w:val="both"/>
      </w:pPr>
    </w:p>
    <w:p w:rsidR="00073A3D" w:rsidRPr="00F3014E" w:rsidRDefault="00D50503" w:rsidP="00F54F40">
      <w:pPr>
        <w:ind w:left="426" w:hanging="426"/>
        <w:jc w:val="both"/>
      </w:pPr>
      <w:r w:rsidRPr="00F3014E">
        <w:t>atsižvelgdamas į Transporto kodeksą, ypač į jo L. 6100-1–6111-1 straipsnius,</w:t>
      </w:r>
    </w:p>
    <w:p w:rsidR="00073A3D" w:rsidRPr="00F3014E" w:rsidRDefault="00073A3D" w:rsidP="00F54F40">
      <w:pPr>
        <w:jc w:val="both"/>
        <w:rPr>
          <w:sz w:val="22"/>
          <w:szCs w:val="20"/>
        </w:rPr>
      </w:pPr>
    </w:p>
    <w:p w:rsidR="00073A3D" w:rsidRPr="00F3014E" w:rsidRDefault="00D50503" w:rsidP="00F54F40">
      <w:pPr>
        <w:pStyle w:val="SNVisa"/>
        <w:ind w:firstLine="0"/>
        <w:jc w:val="both"/>
      </w:pPr>
      <w:r w:rsidRPr="00F3014E">
        <w:t>atsižvelgdamas į XXX d. Elektroninių ryšių ir pašto reguliavimo tarnybos nuomonę,</w:t>
      </w:r>
    </w:p>
    <w:p w:rsidR="00073A3D" w:rsidRPr="00F3014E" w:rsidRDefault="00073A3D">
      <w:pPr>
        <w:pStyle w:val="SNConsultation"/>
      </w:pPr>
    </w:p>
    <w:p w:rsidR="00073A3D" w:rsidRPr="00F3014E" w:rsidRDefault="00D50503">
      <w:pPr>
        <w:pStyle w:val="SNConsultation"/>
      </w:pPr>
      <w:r w:rsidRPr="00F3014E">
        <w:t>išklausęs Valstybės Tarybą (... skyrių),</w:t>
      </w:r>
    </w:p>
    <w:p w:rsidR="00073A3D" w:rsidRPr="00F3014E" w:rsidRDefault="00D50503">
      <w:pPr>
        <w:pStyle w:val="SNActe"/>
      </w:pPr>
      <w:r w:rsidRPr="00F3014E">
        <w:t>nutarė:</w:t>
      </w:r>
    </w:p>
    <w:p w:rsidR="00073A3D" w:rsidRPr="00F3014E" w:rsidRDefault="00D50503">
      <w:pPr>
        <w:pStyle w:val="SNActe"/>
      </w:pPr>
      <w:r w:rsidRPr="00F3014E">
        <w:t>I skyrius. Nuostatos, susijusios su signalizavimo prietaisų paskirtimis</w:t>
      </w:r>
    </w:p>
    <w:p w:rsidR="00073A3D" w:rsidRPr="00F3014E" w:rsidRDefault="00D50503">
      <w:pPr>
        <w:pStyle w:val="SNArticle"/>
      </w:pPr>
      <w:r w:rsidRPr="00F3014E">
        <w:t>1 straipsnis</w:t>
      </w:r>
    </w:p>
    <w:p w:rsidR="00073A3D" w:rsidRPr="00F3014E" w:rsidRDefault="00D50503">
      <w:pPr>
        <w:pStyle w:val="BodyText"/>
      </w:pPr>
      <w:r w:rsidRPr="00F3014E">
        <w:t>Į Pašto ir elektroninių ryšių kodekso reglamentuojamosios dalies II knygos I antraštinės dalies II</w:t>
      </w:r>
      <w:r w:rsidR="00F3014E" w:rsidRPr="00F3014E">
        <w:t> </w:t>
      </w:r>
      <w:r w:rsidRPr="00F3014E">
        <w:t>skyriaus 5 skirsnio 6 poskirsnį (Valstybės Tarybos dekretai) įterpiamas R. 20-24-2 straipsnis, kuris išdėstomas taip:</w:t>
      </w:r>
    </w:p>
    <w:p w:rsidR="00073A3D" w:rsidRPr="00F3014E" w:rsidRDefault="00073A3D">
      <w:pPr>
        <w:pStyle w:val="BodyText"/>
      </w:pPr>
    </w:p>
    <w:p w:rsidR="00073A3D" w:rsidRPr="00F3014E" w:rsidRDefault="00D50503">
      <w:pPr>
        <w:pStyle w:val="BodyText"/>
      </w:pPr>
      <w:r w:rsidRPr="00F3014E">
        <w:rPr>
          <w:i/>
        </w:rPr>
        <w:t>R. 20-24-2 straipsnis.</w:t>
      </w:r>
      <w:r w:rsidRPr="00F3014E">
        <w:t xml:space="preserve"> I. L. 34-9-2 straipsnio pirmoje pastraipoje nurodytu elektroninio ar skaitmeninio signalizavimo prietaisu siekiama sudaryti sąlygas saugumo, šalies gynybos, gelbėjimo ir muitinių tarnyboms nustatyti skrendančių nepilotuojamų orlaivių, kurių masė viršija dekretu nustatytą ribinę vertę, tapatybę ir padėtį.</w:t>
      </w:r>
    </w:p>
    <w:p w:rsidR="00073A3D" w:rsidRPr="00F3014E" w:rsidRDefault="00D50503">
      <w:pPr>
        <w:pStyle w:val="BodyText"/>
      </w:pPr>
      <w:r w:rsidRPr="00F3014E">
        <w:t>Šiuo tikslu prietaisas elektroniniu būdu perduoda šią informaciją:</w:t>
      </w:r>
    </w:p>
    <w:p w:rsidR="00073A3D" w:rsidRPr="00F3014E" w:rsidRDefault="00D50503">
      <w:pPr>
        <w:pStyle w:val="BodyText"/>
      </w:pPr>
      <w:r w:rsidRPr="00F3014E">
        <w:t>1) elektroninio ar skaitmeninio signalizavimo prietaiso identifikacinį numerį;</w:t>
      </w:r>
    </w:p>
    <w:p w:rsidR="00073A3D" w:rsidRPr="00F3014E" w:rsidRDefault="00D50503">
      <w:pPr>
        <w:pStyle w:val="BodyText"/>
      </w:pPr>
      <w:r w:rsidRPr="00F3014E">
        <w:t xml:space="preserve">2) orlaivio geografinės padėties koordinates ir aukštį; </w:t>
      </w:r>
    </w:p>
    <w:p w:rsidR="00073A3D" w:rsidRPr="00F3014E" w:rsidRDefault="00D50503">
      <w:pPr>
        <w:pStyle w:val="BodyText"/>
      </w:pPr>
      <w:r w:rsidRPr="00F3014E">
        <w:t>3) šios geografinės padėties laiką ir datą;</w:t>
      </w:r>
    </w:p>
    <w:p w:rsidR="00073A3D" w:rsidRPr="00F3014E" w:rsidRDefault="00D50503">
      <w:pPr>
        <w:pStyle w:val="BodyText"/>
      </w:pPr>
      <w:r w:rsidRPr="00F3014E">
        <w:t>4) geografinės padėties koordinates nuo orlaivio pakilimo taško;</w:t>
      </w:r>
    </w:p>
    <w:p w:rsidR="00073A3D" w:rsidRPr="00F3014E" w:rsidRDefault="00D50503">
      <w:pPr>
        <w:pStyle w:val="BodyText"/>
      </w:pPr>
      <w:r w:rsidRPr="00F3014E">
        <w:t>5) orlaivio maršrutą ir greitį.</w:t>
      </w:r>
    </w:p>
    <w:p w:rsidR="00073A3D" w:rsidRPr="00F3014E" w:rsidRDefault="00D50503">
      <w:pPr>
        <w:pStyle w:val="BodyText"/>
      </w:pPr>
      <w:r w:rsidRPr="00F3014E">
        <w:t>Prireikus ir atsižvelgiant į poreikį gauti šią informaciją, šiuo tikslu įgalioti asmenys gali ją panaudoti nusikalstamų veikų tyrimui, taip pat administraciniais, žvalgybos ar statistikos duomenų rinkimo tikslais.</w:t>
      </w:r>
    </w:p>
    <w:p w:rsidR="00073A3D" w:rsidRPr="00F3014E" w:rsidRDefault="00D50503">
      <w:pPr>
        <w:pStyle w:val="BodyText"/>
      </w:pPr>
      <w:r w:rsidRPr="00F3014E">
        <w:t>II. L. 34-9-2 straipsnio pirmoje pastraipoje nurodytu šviesos signalizavimo prietaisu siekiama sudaryti sąlygas saugumo, šalies gynybos, gelbėjimo ir muitinių tarnyboms lengviau pamatyti skrendančius nepilotuojamus orlaivius, kurių masė viršija dekretu nustatytą ribinę vertę, ir juos atskirti nuo kitų orlaivių.</w:t>
      </w:r>
    </w:p>
    <w:p w:rsidR="00073A3D" w:rsidRPr="00F3014E" w:rsidRDefault="00D50503">
      <w:pPr>
        <w:pStyle w:val="BodyText"/>
      </w:pPr>
      <w:r w:rsidRPr="00F3014E">
        <w:t>III. Vidaus reikalų ministro, už transportą atsakingo ministro, už elektroninius ryšius atsakingo ministro nutarimu nustatomos elektroninio ar skaitmeninio signalizavimo prietaiso techninės charakteristikos ir perduodamų duomenų formatas, taip pat šviesos signalizavimo prietaiso techninės charakteristikos.“</w:t>
      </w:r>
    </w:p>
    <w:p w:rsidR="002E197B" w:rsidRPr="00F3014E" w:rsidRDefault="002E197B">
      <w:pPr>
        <w:pStyle w:val="BodyText"/>
      </w:pPr>
    </w:p>
    <w:p w:rsidR="00073A3D" w:rsidRPr="00F3014E" w:rsidRDefault="00D50503">
      <w:pPr>
        <w:pStyle w:val="BodyText"/>
        <w:jc w:val="center"/>
        <w:rPr>
          <w:b/>
        </w:rPr>
      </w:pPr>
      <w:r w:rsidRPr="00F3014E">
        <w:rPr>
          <w:b/>
        </w:rPr>
        <w:t xml:space="preserve">II skyrius. Nuostatos, susijusios </w:t>
      </w:r>
      <w:bookmarkStart w:id="0" w:name="_GoBack"/>
      <w:bookmarkEnd w:id="0"/>
      <w:r w:rsidRPr="00F3014E">
        <w:rPr>
          <w:b/>
        </w:rPr>
        <w:t>su signalizavimo prievolės išimties suteikimo sąlygomis</w:t>
      </w:r>
    </w:p>
    <w:p w:rsidR="00073A3D" w:rsidRPr="00F3014E" w:rsidRDefault="00073A3D">
      <w:pPr>
        <w:jc w:val="center"/>
        <w:rPr>
          <w:rFonts w:eastAsia="Calibri"/>
          <w:b/>
        </w:rPr>
      </w:pPr>
    </w:p>
    <w:p w:rsidR="00073A3D" w:rsidRPr="00F3014E" w:rsidRDefault="00D50503">
      <w:pPr>
        <w:jc w:val="center"/>
        <w:rPr>
          <w:rFonts w:eastAsia="Calibri"/>
          <w:b/>
        </w:rPr>
      </w:pPr>
      <w:r w:rsidRPr="00F3014E">
        <w:rPr>
          <w:b/>
        </w:rPr>
        <w:lastRenderedPageBreak/>
        <w:t>2 straipsnis</w:t>
      </w:r>
    </w:p>
    <w:p w:rsidR="00073A3D" w:rsidRPr="00F3014E" w:rsidRDefault="00073A3D">
      <w:pPr>
        <w:pStyle w:val="BodyText"/>
        <w:jc w:val="center"/>
        <w:rPr>
          <w:b/>
        </w:rPr>
      </w:pPr>
    </w:p>
    <w:p w:rsidR="00073A3D" w:rsidRPr="00F3014E" w:rsidRDefault="00D50503">
      <w:pPr>
        <w:pStyle w:val="BodyText"/>
      </w:pPr>
      <w:r w:rsidRPr="00F3014E">
        <w:t>Į Pašto ir elektroninių ryšių kodekso reglamentuojamosios dalies II knygos I antraštinės dalies II</w:t>
      </w:r>
      <w:r w:rsidR="00F3014E" w:rsidRPr="00F3014E">
        <w:t> </w:t>
      </w:r>
      <w:r w:rsidRPr="00F3014E">
        <w:t>skyriaus 5 skirsnio 6 poskirsnį (Valstybės Tarybos dekretai) įterpiamas R. 20-24-3 straipsnis, kuris išdėstomas taip:</w:t>
      </w:r>
    </w:p>
    <w:p w:rsidR="00073A3D" w:rsidRPr="00F3014E" w:rsidRDefault="00073A3D">
      <w:pPr>
        <w:pStyle w:val="BodyText"/>
      </w:pPr>
    </w:p>
    <w:p w:rsidR="00073A3D" w:rsidRPr="00F3014E" w:rsidRDefault="00D50503">
      <w:pPr>
        <w:pStyle w:val="BodyText"/>
      </w:pPr>
      <w:r w:rsidRPr="00F3014E">
        <w:t>„</w:t>
      </w:r>
      <w:r w:rsidRPr="00F3014E">
        <w:rPr>
          <w:i/>
        </w:rPr>
        <w:t>R. 20-24-3 straipsnis.</w:t>
      </w:r>
      <w:r w:rsidRPr="00F3014E">
        <w:t xml:space="preserve"> I. Prievolė įrengti elektroninio ar skaitmeninio signalizavimo prietaisą netaikoma nepilotuojamiems orlaiviams:</w:t>
      </w:r>
    </w:p>
    <w:p w:rsidR="00073A3D" w:rsidRPr="00F3014E" w:rsidRDefault="00D50503">
      <w:pPr>
        <w:pStyle w:val="BodyText"/>
      </w:pPr>
      <w:r w:rsidRPr="00F3014E">
        <w:t xml:space="preserve">1) kai jie naudojami pramoginiais tikslais, įskaitant varžybas, ir juos nuotoliniu būdu valdo nuotolinis pilotas, kuris yra orlaivių modelių srityje nacionaliniu mastu pripažintos federacijos asociacijos, minimos Civilinės aviacijos kodekso D. 510-3 straipsnyje, narys arba įvairių sporto šakų federacijos, kurią yra patvirtinusi už sportą atsakinga ministerija ir kuri siūlo užsiimti su orlaivių modeliais susijusia veikla, atstovas tokioje vietoje, kuri skelbiama atitinkamai identifikuotomis aeronautikos informacinėmis priemonėmis ir suteikia teisę į šią išimtį; </w:t>
      </w:r>
    </w:p>
    <w:p w:rsidR="00073A3D" w:rsidRPr="00F3014E" w:rsidRDefault="00D50503">
      <w:pPr>
        <w:pStyle w:val="BodyText"/>
        <w:spacing w:after="0"/>
      </w:pPr>
      <w:r w:rsidRPr="00F3014E">
        <w:t>2) kai jie yra naudojami uždarose ir uždengtose patalpose;</w:t>
      </w:r>
    </w:p>
    <w:p w:rsidR="002E197B" w:rsidRPr="00F3014E" w:rsidRDefault="002E197B">
      <w:pPr>
        <w:pStyle w:val="BodyText"/>
        <w:spacing w:after="0"/>
      </w:pPr>
    </w:p>
    <w:p w:rsidR="00073A3D" w:rsidRPr="00F3014E" w:rsidRDefault="00BF6B0E">
      <w:pPr>
        <w:pStyle w:val="BodyText"/>
        <w:spacing w:after="0"/>
      </w:pPr>
      <w:r w:rsidRPr="00F3014E">
        <w:t>3) kai jie priklauso Transporto kodekso L. 6100-1 straipsnio antroje pastraipoje nurodytoms orlaivių kategorijoms, nepažeidžiant kariniams orlaiviams ir valstybei priklausantiems orlaiviams taikytinų nuostatų, ir juos naudoja muitinių, visuomenės saugumo ir civilinės saugos tarnybos;</w:t>
      </w:r>
    </w:p>
    <w:p w:rsidR="00073A3D" w:rsidRPr="00F3014E" w:rsidRDefault="00073A3D">
      <w:pPr>
        <w:pStyle w:val="BodyText"/>
        <w:spacing w:after="0"/>
      </w:pPr>
    </w:p>
    <w:p w:rsidR="00073A3D" w:rsidRPr="00F3014E" w:rsidRDefault="00D50503">
      <w:pPr>
        <w:pStyle w:val="ListParagraph"/>
        <w:ind w:left="0"/>
        <w:jc w:val="both"/>
        <w:rPr>
          <w:color w:val="auto"/>
        </w:rPr>
      </w:pPr>
      <w:r w:rsidRPr="00F3014E">
        <w:rPr>
          <w:color w:val="auto"/>
        </w:rPr>
        <w:t>4) kai jie nepriklauso Transporto kodekso L. 6100-1 straipsnio antroje pastraipoje nurodytai orlaivių kategorijai, bet yra naudojami vykdant muitinių, policijos, civilinės saugos užduotis ar taikant vidaus saugumo kodekso VIII knygos V antraštinėje dalyje nurodytą techniką.“</w:t>
      </w:r>
    </w:p>
    <w:p w:rsidR="00073A3D" w:rsidRPr="00F3014E" w:rsidRDefault="00073A3D">
      <w:pPr>
        <w:pStyle w:val="ListParagraph"/>
        <w:ind w:left="0"/>
        <w:jc w:val="both"/>
        <w:rPr>
          <w:color w:val="auto"/>
        </w:rPr>
      </w:pPr>
    </w:p>
    <w:p w:rsidR="00073A3D" w:rsidRPr="00F3014E" w:rsidRDefault="00073A3D">
      <w:pPr>
        <w:pStyle w:val="BodyText"/>
        <w:spacing w:after="0"/>
        <w:jc w:val="left"/>
      </w:pPr>
    </w:p>
    <w:p w:rsidR="00073A3D" w:rsidRPr="00F3014E" w:rsidRDefault="00D50503" w:rsidP="002E197B">
      <w:pPr>
        <w:pStyle w:val="BodyText"/>
        <w:tabs>
          <w:tab w:val="left" w:pos="0"/>
        </w:tabs>
      </w:pPr>
      <w:r w:rsidRPr="00F3014E">
        <w:t>II. Prievolė įrengti veikiantį šviesos signalizavimo prietaisą netaikoma nepilotuojamiems orlaiviams:</w:t>
      </w:r>
    </w:p>
    <w:p w:rsidR="00073A3D" w:rsidRPr="00F3014E" w:rsidRDefault="00D50503">
      <w:pPr>
        <w:pStyle w:val="BodyText"/>
      </w:pPr>
      <w:r w:rsidRPr="00F3014E">
        <w:t xml:space="preserve">1) kai jie naudojami pramoginiais tikslais, įskaitant varžybas, ir juos nuotoliniu būdu valdo nuotolinis pilotas, kuris yra orlaivių modelių srityje nacionaliniu mastu pripažintos federacijos asociacijos, minimos Civilinės aviacijos kodekso D. 510-3 straipsnyje, narys arba įvairių sporto šakų federacijos, kurią yra patvirtinusi už sportą atsakinga ministerija ir kuri siūlo užsiimti su orlaivių modeliais susijusia veikla, atstovas tokioje vietoje, kuri skelbiama atitinkamai identifikuotomis aeronautikos informacinėmis priemonėmis ir suteikia teisę į šią išimtį; </w:t>
      </w:r>
    </w:p>
    <w:p w:rsidR="00073A3D" w:rsidRPr="00F3014E" w:rsidRDefault="00D50503">
      <w:pPr>
        <w:pStyle w:val="BodyText"/>
        <w:tabs>
          <w:tab w:val="left" w:pos="0"/>
        </w:tabs>
        <w:jc w:val="left"/>
      </w:pPr>
      <w:r w:rsidRPr="00F3014E">
        <w:t>2) kai jie yra naudojami uždarose ir uždengtose patalpose;</w:t>
      </w:r>
    </w:p>
    <w:p w:rsidR="00073A3D" w:rsidRPr="00F3014E" w:rsidRDefault="00D50503" w:rsidP="002E197B">
      <w:pPr>
        <w:pStyle w:val="BodyText"/>
        <w:tabs>
          <w:tab w:val="left" w:pos="0"/>
        </w:tabs>
      </w:pPr>
      <w:r w:rsidRPr="00F3014E">
        <w:t xml:space="preserve">3) kai jie atlieka eksperimentinius, bandomuosius ir kontrolinius skrydžius laikantis civilinės aviacijos ministro nustatytų sąlygų; </w:t>
      </w:r>
    </w:p>
    <w:p w:rsidR="00073A3D" w:rsidRPr="00F3014E" w:rsidRDefault="00BF6B0E">
      <w:pPr>
        <w:pStyle w:val="BodyText"/>
        <w:spacing w:after="0"/>
      </w:pPr>
      <w:r w:rsidRPr="00F3014E">
        <w:t>4) kai jie priklauso Transporto kodekso L. 6100-1 straipsnio antroje pastraipoje nurodytoms orlaivių kategorijoms, nepažeidžiant kariniams orlaiviams ir valstybei priklausantiems orlaiviams taikytinų nuostatų, ir juos naudoja muitinių, visuomenės saugumo ir civilinės saugos tarnybos;</w:t>
      </w:r>
    </w:p>
    <w:p w:rsidR="00073A3D" w:rsidRPr="00F3014E" w:rsidRDefault="00073A3D">
      <w:pPr>
        <w:pStyle w:val="BodyText"/>
        <w:spacing w:after="0"/>
      </w:pPr>
    </w:p>
    <w:p w:rsidR="00073A3D" w:rsidRPr="00F3014E" w:rsidRDefault="00D50503">
      <w:pPr>
        <w:pStyle w:val="ListParagraph"/>
        <w:ind w:left="0"/>
        <w:jc w:val="both"/>
        <w:rPr>
          <w:color w:val="auto"/>
        </w:rPr>
      </w:pPr>
      <w:r w:rsidRPr="00F3014E">
        <w:rPr>
          <w:color w:val="auto"/>
        </w:rPr>
        <w:t>5) kai jie nepriklauso Transporto kodekso L. 6100-1 straipsnio antroje pastraipoje nurodytai orlaivių kategorijai, bet yra naudojami vykdant muitinių, policijos, civilinės saugos užduotis ar taikant vidaus saugumo kodekso VIII knygos V antraštinėje dalyje nurodytą techniką.“</w:t>
      </w:r>
    </w:p>
    <w:p w:rsidR="00073A3D" w:rsidRPr="00F3014E" w:rsidRDefault="00073A3D">
      <w:pPr>
        <w:pStyle w:val="BodyText"/>
        <w:tabs>
          <w:tab w:val="left" w:pos="0"/>
        </w:tabs>
        <w:jc w:val="left"/>
      </w:pPr>
    </w:p>
    <w:p w:rsidR="00073A3D" w:rsidRPr="00F3014E" w:rsidRDefault="00D50503" w:rsidP="00F54F40">
      <w:pPr>
        <w:pStyle w:val="BodyText"/>
        <w:keepNext/>
        <w:keepLines/>
        <w:tabs>
          <w:tab w:val="left" w:pos="0"/>
        </w:tabs>
        <w:jc w:val="center"/>
        <w:rPr>
          <w:b/>
        </w:rPr>
      </w:pPr>
      <w:r w:rsidRPr="00F3014E">
        <w:rPr>
          <w:b/>
        </w:rPr>
        <w:lastRenderedPageBreak/>
        <w:t>III skyrius. Sankcijos</w:t>
      </w:r>
    </w:p>
    <w:p w:rsidR="00073A3D" w:rsidRPr="00F3014E" w:rsidRDefault="00073A3D" w:rsidP="00F54F40">
      <w:pPr>
        <w:pStyle w:val="BodyText"/>
        <w:keepNext/>
        <w:keepLines/>
        <w:tabs>
          <w:tab w:val="left" w:pos="0"/>
        </w:tabs>
        <w:jc w:val="center"/>
        <w:rPr>
          <w:b/>
        </w:rPr>
      </w:pPr>
    </w:p>
    <w:p w:rsidR="00073A3D" w:rsidRPr="00F3014E" w:rsidRDefault="00D50503" w:rsidP="00F54F40">
      <w:pPr>
        <w:keepNext/>
        <w:keepLines/>
        <w:jc w:val="center"/>
        <w:rPr>
          <w:rFonts w:eastAsia="Calibri"/>
          <w:b/>
        </w:rPr>
      </w:pPr>
      <w:r w:rsidRPr="00F3014E">
        <w:rPr>
          <w:b/>
        </w:rPr>
        <w:t>4 straipsnis</w:t>
      </w:r>
    </w:p>
    <w:p w:rsidR="00073A3D" w:rsidRPr="00F3014E" w:rsidRDefault="00073A3D" w:rsidP="00F54F40">
      <w:pPr>
        <w:keepNext/>
        <w:keepLines/>
        <w:jc w:val="center"/>
        <w:rPr>
          <w:rFonts w:eastAsia="Calibri"/>
          <w:b/>
        </w:rPr>
      </w:pPr>
    </w:p>
    <w:p w:rsidR="00073A3D" w:rsidRPr="00F3014E" w:rsidRDefault="00D50503">
      <w:pPr>
        <w:jc w:val="both"/>
        <w:rPr>
          <w:rFonts w:eastAsia="Calibri"/>
        </w:rPr>
      </w:pPr>
      <w:r w:rsidRPr="00F3014E">
        <w:t>Į Pašto ir elektroninių ryšių kodekso reglamentuojamosios dalies II knygos I antraštinės dalies II skyriaus 5 skirsnio 7 poskirsnį (Valstybės Tarybos dekretai) įterpiami R. 20-25-1 ir R. 20-25-2 straipsniai, kurie išdėstomi taip:</w:t>
      </w:r>
    </w:p>
    <w:p w:rsidR="00073A3D" w:rsidRPr="00F3014E" w:rsidRDefault="00073A3D">
      <w:pPr>
        <w:rPr>
          <w:rFonts w:eastAsia="Calibri"/>
        </w:rPr>
      </w:pPr>
    </w:p>
    <w:p w:rsidR="00073A3D" w:rsidRPr="00F3014E" w:rsidRDefault="00D50503">
      <w:r w:rsidRPr="00F3014E">
        <w:t>„</w:t>
      </w:r>
      <w:r w:rsidRPr="00F3014E">
        <w:rPr>
          <w:i/>
        </w:rPr>
        <w:t>R. 20-25-1 straipsnis</w:t>
      </w:r>
      <w:r w:rsidRPr="00F3014E">
        <w:t>. Už toliau išvardytus veiksmus baudžiama bauda, nustatyta už ketvirtos klasės pažeidimus:</w:t>
      </w:r>
    </w:p>
    <w:p w:rsidR="00073A3D" w:rsidRPr="00F3014E" w:rsidRDefault="00073A3D">
      <w:pPr>
        <w:rPr>
          <w:i/>
        </w:rPr>
      </w:pPr>
    </w:p>
    <w:p w:rsidR="00073A3D" w:rsidRPr="00F3014E" w:rsidRDefault="00D50503">
      <w:pPr>
        <w:jc w:val="both"/>
      </w:pPr>
      <w:r w:rsidRPr="00F3014E">
        <w:t>1) kai nepilotuojamo orlaivio savininkas leidžia judėti orlaiviui be elektroninio ar skaitmeninio signalizavimo prietaiso, nurodyto L. 34-9-2 straipsnyje ir R. 20-24-2 straipsnio I dalyje, arba be veikiančio elektroninio ar skaitmeninio signalizavimo prietaiso;</w:t>
      </w:r>
    </w:p>
    <w:p w:rsidR="00073A3D" w:rsidRPr="00F3014E" w:rsidRDefault="00073A3D"/>
    <w:p w:rsidR="00073A3D" w:rsidRPr="00F3014E" w:rsidRDefault="00D50503">
      <w:pPr>
        <w:jc w:val="both"/>
        <w:rPr>
          <w:rFonts w:eastAsia="Calibri"/>
        </w:rPr>
      </w:pPr>
      <w:r w:rsidRPr="00F3014E">
        <w:t>2) kai nepilotuojamo orlaivio savininkas leidžia judėti orlaiviui be šviesos signalizavimo prietaiso, nurodyto L. 34-9-2 straipsnyje ir R. 20-24-2 straipsnio I dalyje, arba be veikiančio šviesos si</w:t>
      </w:r>
      <w:r w:rsidR="00F3014E" w:rsidRPr="00F3014E">
        <w:t>gnalizavimo prietaiso.</w:t>
      </w:r>
      <w:r w:rsidRPr="00F3014E">
        <w:t>“</w:t>
      </w:r>
    </w:p>
    <w:p w:rsidR="00FA699A" w:rsidRPr="00F3014E" w:rsidRDefault="00FA699A">
      <w:pPr>
        <w:jc w:val="both"/>
        <w:rPr>
          <w:rFonts w:eastAsia="Calibri"/>
        </w:rPr>
      </w:pPr>
    </w:p>
    <w:p w:rsidR="00FA699A" w:rsidRPr="00F3014E" w:rsidRDefault="00FA699A" w:rsidP="00FA699A">
      <w:r w:rsidRPr="00F3014E">
        <w:t>„</w:t>
      </w:r>
      <w:r w:rsidRPr="00F3014E">
        <w:rPr>
          <w:i/>
        </w:rPr>
        <w:t>R. 20-25-2 straipsnis</w:t>
      </w:r>
      <w:r w:rsidRPr="00F3014E">
        <w:t>. Už toliau išvardytus veiksmus baudžiama bauda, nustatyta už penktos klasės pažeidimus:</w:t>
      </w:r>
    </w:p>
    <w:p w:rsidR="00FA699A" w:rsidRPr="00F3014E" w:rsidRDefault="00FA699A" w:rsidP="00FA699A">
      <w:pPr>
        <w:rPr>
          <w:i/>
        </w:rPr>
      </w:pPr>
    </w:p>
    <w:p w:rsidR="00FA699A" w:rsidRPr="00F3014E" w:rsidRDefault="00FA699A" w:rsidP="00FA699A">
      <w:pPr>
        <w:pStyle w:val="BodyText"/>
        <w:rPr>
          <w:rFonts w:ascii="Times New              Roman;se" w:eastAsia="Calibri" w:hAnsi="Times New              Roman;se"/>
        </w:rPr>
      </w:pPr>
      <w:r w:rsidRPr="00F3014E">
        <w:rPr>
          <w:rFonts w:ascii="Times New              Roman;se" w:hAnsi="Times New              Roman;se"/>
        </w:rPr>
        <w:t>sąmoningas L. 34-9-2 straipsnio pirmoje pastraipoje nurodyto elektroninio ar skaitmeninio signalo skleidimas, kai orlaivis faktiškai neskrenda, šio signalo skleidimo metu iš nepilotuojamo orlaivio, kuris yra įregistruotas Transporto kodekso XXX straipsnyje nurodytoje bazėje.“</w:t>
      </w:r>
    </w:p>
    <w:p w:rsidR="00073A3D" w:rsidRPr="00F3014E" w:rsidRDefault="00073A3D">
      <w:pPr>
        <w:jc w:val="center"/>
        <w:rPr>
          <w:rFonts w:eastAsia="Calibri"/>
          <w:b/>
        </w:rPr>
      </w:pPr>
    </w:p>
    <w:p w:rsidR="00073A3D" w:rsidRPr="00F3014E" w:rsidRDefault="00073A3D"/>
    <w:p w:rsidR="00073A3D" w:rsidRPr="00F3014E" w:rsidRDefault="00D50503">
      <w:pPr>
        <w:jc w:val="center"/>
        <w:rPr>
          <w:b/>
          <w:bCs/>
        </w:rPr>
      </w:pPr>
      <w:r w:rsidRPr="00F3014E">
        <w:rPr>
          <w:b/>
        </w:rPr>
        <w:t>5 straipsnis</w:t>
      </w:r>
    </w:p>
    <w:p w:rsidR="00073A3D" w:rsidRPr="00F3014E" w:rsidRDefault="00073A3D"/>
    <w:p w:rsidR="00BE1E1D" w:rsidRPr="00F3014E" w:rsidRDefault="00D50503">
      <w:pPr>
        <w:pStyle w:val="BodyText"/>
        <w:rPr>
          <w:rFonts w:ascii="Times New              Roman;se" w:eastAsia="Calibri" w:hAnsi="Times New              Roman;se"/>
        </w:rPr>
      </w:pPr>
      <w:r w:rsidRPr="00F3014E">
        <w:rPr>
          <w:rFonts w:ascii="Times New              Roman;se" w:hAnsi="Times New              Roman;se"/>
        </w:rPr>
        <w:t>Baudžiamojo proceso kodekso R. 48-1 straipsnio 12 punkte po žodžių „Civilinės aviacijos kodekso“ įterpiami žodžiai „bei Pašto ir elektroninių ryšių kodekso R. 20-25-1 ir R. 20-25-2 straipsniai.“</w:t>
      </w:r>
    </w:p>
    <w:p w:rsidR="00073A3D" w:rsidRPr="00F3014E" w:rsidRDefault="00073A3D"/>
    <w:p w:rsidR="00073A3D" w:rsidRPr="00F3014E" w:rsidRDefault="00D50503">
      <w:pPr>
        <w:jc w:val="center"/>
        <w:rPr>
          <w:b/>
        </w:rPr>
      </w:pPr>
      <w:r w:rsidRPr="00F3014E">
        <w:rPr>
          <w:b/>
        </w:rPr>
        <w:t>IV skyrius. Baigiamosios nuostatos</w:t>
      </w:r>
    </w:p>
    <w:p w:rsidR="00073A3D" w:rsidRPr="00F3014E" w:rsidRDefault="00073A3D">
      <w:pPr>
        <w:rPr>
          <w:b/>
        </w:rPr>
      </w:pPr>
    </w:p>
    <w:p w:rsidR="00073A3D" w:rsidRPr="00F3014E" w:rsidRDefault="00D50503">
      <w:pPr>
        <w:jc w:val="center"/>
        <w:rPr>
          <w:b/>
        </w:rPr>
      </w:pPr>
      <w:r w:rsidRPr="00F3014E">
        <w:rPr>
          <w:b/>
        </w:rPr>
        <w:t>6 straipsnis</w:t>
      </w:r>
    </w:p>
    <w:p w:rsidR="00697687" w:rsidRPr="00F3014E" w:rsidRDefault="00697687">
      <w:pPr>
        <w:pStyle w:val="BodyText"/>
      </w:pPr>
    </w:p>
    <w:p w:rsidR="00073A3D" w:rsidRPr="00F3014E" w:rsidRDefault="00D50503">
      <w:pPr>
        <w:pStyle w:val="BodyText"/>
        <w:rPr>
          <w:b/>
        </w:rPr>
      </w:pPr>
      <w:r w:rsidRPr="00F3014E">
        <w:t>Šio dekreto nuostatos taikomos Prancūzijos Polinezijoje, Volise ir Futūnoje, Prancūzijos Pietų ir Antarkties srityse.</w:t>
      </w:r>
    </w:p>
    <w:p w:rsidR="00073A3D" w:rsidRPr="00F3014E" w:rsidRDefault="00073A3D">
      <w:pPr>
        <w:jc w:val="center"/>
        <w:rPr>
          <w:b/>
        </w:rPr>
      </w:pPr>
    </w:p>
    <w:p w:rsidR="00073A3D" w:rsidRPr="00F3014E" w:rsidRDefault="00D50503">
      <w:pPr>
        <w:pStyle w:val="BodyText"/>
        <w:jc w:val="center"/>
        <w:rPr>
          <w:b/>
        </w:rPr>
      </w:pPr>
      <w:r w:rsidRPr="00F3014E">
        <w:rPr>
          <w:b/>
        </w:rPr>
        <w:t>7 straipsnis</w:t>
      </w:r>
    </w:p>
    <w:p w:rsidR="00073A3D" w:rsidRPr="00F3014E" w:rsidRDefault="00D50503">
      <w:pPr>
        <w:pStyle w:val="SNAutorit"/>
        <w:spacing w:before="120" w:after="0"/>
        <w:ind w:firstLine="0"/>
        <w:jc w:val="both"/>
      </w:pPr>
      <w:r w:rsidRPr="00F3014E">
        <w:rPr>
          <w:rFonts w:ascii="Times New              Roman;se" w:hAnsi="Times New              Roman;se"/>
          <w:b w:val="0"/>
        </w:rPr>
        <w:t>Šis dekretas įsigalioja kitą dieną po jo paskelbimo, išskyrus Pašto ir elektroninių ryšių kodekso R. 20-25-1 ir R. 20-25-2 straipsnių nuostatas – jos įsigalioja 2019 m. sausio 1 d.</w:t>
      </w:r>
    </w:p>
    <w:p w:rsidR="00073A3D" w:rsidRPr="00F3014E" w:rsidRDefault="00D50503">
      <w:pPr>
        <w:pStyle w:val="SNArticle"/>
      </w:pPr>
      <w:r w:rsidRPr="00F3014E">
        <w:t>8 straipsnis</w:t>
      </w:r>
    </w:p>
    <w:p w:rsidR="00073A3D" w:rsidRPr="00F3014E" w:rsidRDefault="00D50503">
      <w:pPr>
        <w:pStyle w:val="BodyText"/>
      </w:pPr>
      <w:r w:rsidRPr="00F3014E">
        <w:t xml:space="preserve">Valstybės ministrui – vidaus reikalų ministrui, valstybės ministrui – perėjimo prie ekologiškos ir solidarios ekonomikos ministrui, kanclerei – teisingumo ministrei, ekonomikos ir finansų </w:t>
      </w:r>
      <w:r w:rsidRPr="00F3014E">
        <w:lastRenderedPageBreak/>
        <w:t xml:space="preserve">ministrui, užjūrio reikalų ministrei, valstybės ministrui pavaldžiai perėjimo prie ekologiškos ir solidarios ekonomikos ministrei, atsakingai už transportą, kiekvienam pagal suteiktus įgaliojimus pavesta įgyvendinti šį dekretą, kuris bus paskelbtas Prancūzijos Respublikos </w:t>
      </w:r>
      <w:r w:rsidRPr="00F3014E">
        <w:rPr>
          <w:i/>
        </w:rPr>
        <w:t>oficialiajame leidinyje</w:t>
      </w:r>
      <w:r w:rsidRPr="00F3014E">
        <w:t>.</w:t>
      </w:r>
    </w:p>
    <w:p w:rsidR="00073A3D" w:rsidRPr="00F3014E" w:rsidRDefault="00D50503">
      <w:pPr>
        <w:pStyle w:val="SNDate"/>
      </w:pPr>
      <w:r w:rsidRPr="00F3014E">
        <w:t>Parengta</w:t>
      </w:r>
    </w:p>
    <w:p w:rsidR="00073A3D" w:rsidRPr="00F3014E" w:rsidRDefault="00D50503">
      <w:pPr>
        <w:pStyle w:val="SNDate"/>
      </w:pPr>
      <w:r w:rsidRPr="00F3014E">
        <w:t>Ministro Pirmininko vardu:</w:t>
      </w:r>
    </w:p>
    <w:p w:rsidR="00073A3D" w:rsidRPr="00F3014E" w:rsidRDefault="00D50503">
      <w:pPr>
        <w:pStyle w:val="SNSignatureGauche"/>
      </w:pPr>
      <w:r w:rsidRPr="00F3014E">
        <w:t>Valstybės ministras, vidaus reikalų ministras</w:t>
      </w:r>
    </w:p>
    <w:p w:rsidR="00073A3D" w:rsidRPr="00F3014E" w:rsidRDefault="00D50503">
      <w:pPr>
        <w:pStyle w:val="SNSignatureprnomnomGauche"/>
        <w:rPr>
          <w:color w:val="auto"/>
        </w:rPr>
      </w:pPr>
      <w:r w:rsidRPr="00F3014E">
        <w:rPr>
          <w:color w:val="auto"/>
        </w:rPr>
        <w:t>Gérard COLLOMB</w:t>
      </w:r>
    </w:p>
    <w:p w:rsidR="00073A3D" w:rsidRPr="00F3014E" w:rsidRDefault="00D50503">
      <w:pPr>
        <w:pStyle w:val="SNSignatureDroite"/>
        <w:rPr>
          <w:color w:val="auto"/>
        </w:rPr>
      </w:pPr>
      <w:r w:rsidRPr="00F3014E">
        <w:rPr>
          <w:color w:val="auto"/>
        </w:rPr>
        <w:t>Valstybės ministras, perėjimo prie ekologiškos ir solidarios ekonomikos ministras</w:t>
      </w:r>
    </w:p>
    <w:p w:rsidR="00073A3D" w:rsidRPr="00F3014E" w:rsidRDefault="00D50503">
      <w:pPr>
        <w:pStyle w:val="SNSignatureDroite"/>
        <w:rPr>
          <w:color w:val="auto"/>
        </w:rPr>
      </w:pPr>
      <w:r w:rsidRPr="00F3014E">
        <w:rPr>
          <w:color w:val="auto"/>
        </w:rPr>
        <w:t>Nicolas HULOT</w:t>
      </w:r>
    </w:p>
    <w:p w:rsidR="00000ECF" w:rsidRPr="00F3014E" w:rsidRDefault="00000ECF" w:rsidP="00697687">
      <w:pPr>
        <w:pStyle w:val="SNSignatureprnomnomDroite"/>
        <w:ind w:left="0"/>
        <w:jc w:val="left"/>
        <w:rPr>
          <w:color w:val="auto"/>
        </w:rPr>
      </w:pPr>
      <w:r w:rsidRPr="00F3014E">
        <w:rPr>
          <w:color w:val="auto"/>
        </w:rPr>
        <w:lastRenderedPageBreak/>
        <w:t>Kanclerė, teisingumo ministrė</w:t>
      </w:r>
    </w:p>
    <w:p w:rsidR="00697687" w:rsidRPr="00F3014E" w:rsidRDefault="00697687" w:rsidP="00697687">
      <w:pPr>
        <w:pStyle w:val="SNSignatureprnomnomGauche"/>
        <w:tabs>
          <w:tab w:val="left" w:pos="9354"/>
        </w:tabs>
        <w:ind w:left="0"/>
        <w:rPr>
          <w:color w:val="auto"/>
        </w:rPr>
      </w:pPr>
    </w:p>
    <w:p w:rsidR="00697687" w:rsidRPr="00F3014E" w:rsidRDefault="00697687" w:rsidP="00697687">
      <w:pPr>
        <w:pStyle w:val="SNSignatureprnomnomGauche"/>
        <w:tabs>
          <w:tab w:val="left" w:pos="9354"/>
        </w:tabs>
        <w:ind w:left="0"/>
        <w:rPr>
          <w:color w:val="auto"/>
        </w:rPr>
      </w:pPr>
    </w:p>
    <w:p w:rsidR="00697687" w:rsidRPr="00F3014E" w:rsidRDefault="00697687" w:rsidP="00697687">
      <w:pPr>
        <w:pStyle w:val="SNSignatureprnomnomGauche"/>
        <w:tabs>
          <w:tab w:val="left" w:pos="9354"/>
        </w:tabs>
        <w:ind w:left="0"/>
        <w:rPr>
          <w:color w:val="auto"/>
        </w:rPr>
      </w:pPr>
    </w:p>
    <w:p w:rsidR="00D47282" w:rsidRPr="00F3014E" w:rsidRDefault="00000ECF" w:rsidP="00697687">
      <w:pPr>
        <w:pStyle w:val="SNSignatureprnomnomGauche"/>
        <w:tabs>
          <w:tab w:val="left" w:pos="9354"/>
        </w:tabs>
        <w:ind w:left="0"/>
        <w:rPr>
          <w:color w:val="auto"/>
        </w:rPr>
      </w:pPr>
      <w:r w:rsidRPr="00F3014E">
        <w:rPr>
          <w:color w:val="auto"/>
        </w:rPr>
        <w:t>Nicole BELLOUBET</w:t>
      </w:r>
    </w:p>
    <w:p w:rsidR="00697687" w:rsidRPr="00F3014E" w:rsidRDefault="00697687">
      <w:pPr>
        <w:pStyle w:val="SNSignatureGauche"/>
      </w:pPr>
    </w:p>
    <w:p w:rsidR="00073A3D" w:rsidRPr="00F3014E" w:rsidRDefault="00D50503">
      <w:pPr>
        <w:pStyle w:val="SNSignatureGauche"/>
      </w:pPr>
      <w:r w:rsidRPr="00F3014E">
        <w:t>Ekonomikos ir finansų ministras</w:t>
      </w:r>
    </w:p>
    <w:p w:rsidR="00073A3D" w:rsidRPr="00F3014E" w:rsidRDefault="00D50503">
      <w:pPr>
        <w:pStyle w:val="SNSignatureGauche"/>
      </w:pPr>
      <w:r w:rsidRPr="00F3014E">
        <w:t>BRUNO LEMAIRE</w:t>
      </w:r>
    </w:p>
    <w:p w:rsidR="00073A3D" w:rsidRPr="00F3014E"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sidRPr="00F3014E">
        <w:rPr>
          <w:color w:val="auto"/>
        </w:rPr>
        <w:t>Užjūrio reikalų ministrė</w:t>
      </w:r>
    </w:p>
    <w:p w:rsidR="00073A3D" w:rsidRPr="00F3014E" w:rsidRDefault="00073A3D">
      <w:pPr>
        <w:pStyle w:val="SNSignatureGauche"/>
        <w:tabs>
          <w:tab w:val="left" w:pos="8222"/>
        </w:tabs>
      </w:pPr>
    </w:p>
    <w:p w:rsidR="00073A3D" w:rsidRPr="00F3014E" w:rsidRDefault="00D50503" w:rsidP="002E197B">
      <w:pPr>
        <w:pStyle w:val="SNSignatureGauche"/>
        <w:tabs>
          <w:tab w:val="left" w:pos="8222"/>
        </w:tabs>
        <w:ind w:left="0" w:right="0"/>
        <w:jc w:val="right"/>
      </w:pPr>
      <w:r w:rsidRPr="00F3014E">
        <w:t>Annick GIRARDIN</w:t>
      </w:r>
    </w:p>
    <w:p w:rsidR="00073A3D" w:rsidRPr="00F3014E" w:rsidRDefault="00D50503">
      <w:pPr>
        <w:pStyle w:val="SNSignatureGauche"/>
      </w:pPr>
      <w:r w:rsidRPr="00F3014E">
        <w:t>Valstybės ministrui pavaldi ministrė, perėjimo prie ekologiškos ir solidarios ekonomikos ministrė, atsakinga už transportą</w:t>
      </w:r>
    </w:p>
    <w:p w:rsidR="00073A3D" w:rsidRPr="00F3014E" w:rsidRDefault="00D50503">
      <w:pPr>
        <w:pStyle w:val="SNSignatureGauche"/>
      </w:pPr>
      <w:r w:rsidRPr="00F3014E">
        <w:lastRenderedPageBreak/>
        <w:t>Elisabeth BORNE</w:t>
      </w:r>
    </w:p>
    <w:sectPr w:rsidR="00073A3D" w:rsidRPr="00F3014E"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3C8" w:rsidRDefault="007163C8" w:rsidP="00660ECB">
      <w:r>
        <w:separator/>
      </w:r>
    </w:p>
  </w:endnote>
  <w:endnote w:type="continuationSeparator" w:id="0">
    <w:p w:rsidR="007163C8" w:rsidRDefault="007163C8"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3C8" w:rsidRDefault="007163C8" w:rsidP="00660ECB">
      <w:r>
        <w:separator/>
      </w:r>
    </w:p>
  </w:footnote>
  <w:footnote w:type="continuationSeparator" w:id="0">
    <w:p w:rsidR="007163C8" w:rsidRDefault="007163C8"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E197B"/>
    <w:rsid w:val="00311055"/>
    <w:rsid w:val="003723F5"/>
    <w:rsid w:val="00397D5C"/>
    <w:rsid w:val="003B26B1"/>
    <w:rsid w:val="003D3349"/>
    <w:rsid w:val="003D5A5C"/>
    <w:rsid w:val="003F769D"/>
    <w:rsid w:val="004D1C2C"/>
    <w:rsid w:val="005527AE"/>
    <w:rsid w:val="005F3DB6"/>
    <w:rsid w:val="00660ECB"/>
    <w:rsid w:val="006732B4"/>
    <w:rsid w:val="00697687"/>
    <w:rsid w:val="007163C8"/>
    <w:rsid w:val="0082741D"/>
    <w:rsid w:val="008E4588"/>
    <w:rsid w:val="009A32C8"/>
    <w:rsid w:val="009A4C69"/>
    <w:rsid w:val="00AD7A1C"/>
    <w:rsid w:val="00B73D02"/>
    <w:rsid w:val="00BE1E1D"/>
    <w:rsid w:val="00BF6B0E"/>
    <w:rsid w:val="00D47282"/>
    <w:rsid w:val="00D50503"/>
    <w:rsid w:val="00F3014E"/>
    <w:rsid w:val="00F54C64"/>
    <w:rsid w:val="00F54F40"/>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B853D-18B4-4C1E-9F3C-52D03DC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lt-LT" w:eastAsia="lt-LT" w:bidi="lt-L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lt-LT" w:bidi="lt-LT"/>
    </w:rPr>
  </w:style>
  <w:style w:type="character" w:customStyle="1" w:styleId="SNDateCar">
    <w:name w:val="SNDate Car"/>
    <w:qFormat/>
    <w:rPr>
      <w:sz w:val="24"/>
      <w:szCs w:val="24"/>
      <w:lang w:val="lt-LT" w:bidi="lt-LT"/>
    </w:rPr>
  </w:style>
  <w:style w:type="character" w:customStyle="1" w:styleId="SNArticleCar">
    <w:name w:val="SNArticle Car"/>
    <w:qFormat/>
    <w:rPr>
      <w:b/>
      <w:sz w:val="24"/>
      <w:szCs w:val="24"/>
      <w:lang w:val="lt-LT" w:bidi="lt-LT"/>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lt-LT"/>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lt-LT"/>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1539</Words>
  <Characters>8773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7</cp:revision>
  <cp:lastPrinted>2018-03-29T14:13:00Z</cp:lastPrinted>
  <dcterms:created xsi:type="dcterms:W3CDTF">2018-03-28T11:38:00Z</dcterms:created>
  <dcterms:modified xsi:type="dcterms:W3CDTF">2018-04-20T09:13:00Z</dcterms:modified>
  <dc:language>fr-FR</dc:language>
</cp:coreProperties>
</file>