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876A"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Decretul nr. 1114/2019 din 30 octombrie 2019 de punere în aplicare a articolului L. 34-9-2 din Codul poștelor și al comunicațiilor electronice</w:t>
      </w:r>
    </w:p>
    <w:p w14:paraId="3063D8F5"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Publicul-țintă: piloți de aeronave fără pilot la bord cu o greutate mai mare de 800 de grame, producătorii de aeronave fără pilot la bord.</w:t>
      </w:r>
      <w:r>
        <w:rPr>
          <w:rFonts w:ascii="Times New Roman" w:hAnsi="Times New Roman"/>
          <w:color w:val="000000"/>
          <w:sz w:val="27"/>
        </w:rPr>
        <w:br/>
        <w:t>Subiect: obiectivele dispozitivelor de semnalizare electronică sau digitală și ale luminilor cu care trebuie echipate aeronavele fără pilot la bord.</w:t>
      </w:r>
      <w:r>
        <w:rPr>
          <w:rFonts w:ascii="Times New Roman" w:hAnsi="Times New Roman"/>
          <w:color w:val="000000"/>
          <w:sz w:val="27"/>
        </w:rPr>
        <w:br/>
        <w:t>Intrare în vigoare: decretul intră în vigoare la șase luni de la publicarea sa, cu excepția dispozițiilor articolelor R. 20-29-7 și R. 20-29-8 din Codul poștelor și al comunicațiilor electronice și a articolului R. 48-1 punctul 14 din Codul penal, pe de o parte, și a dispozițiilor Decretului privind aeronavele fără pilot la bord înregistrate în temeiul articolului L. 6111-1 din Codul transporturilor înainte de această dată, pe de altă parte, care intră în vigoare la 12 luni de la publicare.</w:t>
      </w:r>
      <w:r>
        <w:rPr>
          <w:rFonts w:ascii="Times New Roman" w:hAnsi="Times New Roman"/>
          <w:color w:val="000000"/>
          <w:sz w:val="27"/>
        </w:rPr>
        <w:br/>
        <w:t>Notă: în conformitate cu articolul L. 34-9-2 din Codul poștelor și al comunicațiilor electronice, astfel cum a fost modificat prin Legea nr. 2016-1428 din 24 octombrie 2016 privind consolidarea siguranței utilizării dronelor civile, a aeronavelor fără pilot la bord (altele decât aeronavele guvernamentale), a căror greutate depășește pragul stabilit prin lege, trebuie să fie prevăzute cu un dispozitiv de semnalizare electronică sau digitală și cu lumini de semnalizare. Decretul stabilește obiectivele acestor dispozitive, precum și condițiile de exceptare de la obligațiile de raportare și regimul de sancțiuni aplicabil. Acesta stabilește pragul de greutate dincolo de care aeronavele intră sub incidența acestor dispoziții la 800 de grame.</w:t>
      </w:r>
      <w:r>
        <w:rPr>
          <w:rFonts w:ascii="Times New Roman" w:hAnsi="Times New Roman"/>
          <w:color w:val="000000"/>
          <w:sz w:val="27"/>
        </w:rPr>
        <w:br/>
        <w:t>Referințe: decretul este emis pentru a pune în aplicare articolul 4 alineatul (I) din Legea nr. 2016-1428 din 24 octombrie 2016 privind consolidarea măsurilor de siguranță în cazul utilizării dronelor civile. Codul poștelor și al comunicațiilor electronice poate fi accesat, în versiunea rezultată din această modificare, pe site-ul Légifrance (http://www.legifrance.gouv.fr).</w:t>
      </w:r>
    </w:p>
    <w:p w14:paraId="01870301"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Prim-ministrul,</w:t>
      </w:r>
      <w:r>
        <w:rPr>
          <w:rFonts w:ascii="Times New Roman" w:hAnsi="Times New Roman"/>
          <w:color w:val="000000"/>
          <w:sz w:val="27"/>
        </w:rPr>
        <w:br/>
        <w:t>În baza raportului ministrului economiei și finanțelor,</w:t>
      </w:r>
      <w:r>
        <w:rPr>
          <w:rFonts w:ascii="Times New Roman" w:hAnsi="Times New Roman"/>
          <w:color w:val="000000"/>
          <w:sz w:val="27"/>
        </w:rPr>
        <w:br/>
        <w:t>având în vedere Directiva (UE) 2015/1535 a Parlamentului European și a Consiliului din 9 septembrie 2015 referitoare la procedura de furnizare de informații în domeniul reglementărilor tehnice și al normelor privind serviciile societății informaționale (text consolidat) și, în special, notificările nr. 2018/169/F și nr. 2018/168/F,</w:t>
      </w:r>
      <w:r>
        <w:rPr>
          <w:rFonts w:ascii="Times New Roman" w:hAnsi="Times New Roman"/>
          <w:color w:val="000000"/>
          <w:sz w:val="27"/>
        </w:rPr>
        <w:br/>
        <w:t xml:space="preserve">având în vedere Regulamentul (UE) 2018/1139 al Parlamentului European și al Consiliului din 4 iulie 2018 privind normele comune în domeniul aviației civile și de înființare a Agenției Uniunii Europene pentru Siguranța Aviației, de modificare a Regulamentelor (CE) nr. 2111/2005, (CE) nr. 1008/2008, (UE) nr. 996/2010, (UE) nr. 376/2014 și a Directivelor 2014/30/UE și 2014/53/UE ale Parlamentului European și ale Consiliului și de abrogare a Regulamentelor (CE) nr. 552/2004 și </w:t>
      </w:r>
      <w:r>
        <w:rPr>
          <w:rFonts w:ascii="Times New Roman" w:hAnsi="Times New Roman"/>
          <w:color w:val="000000"/>
          <w:sz w:val="27"/>
        </w:rPr>
        <w:lastRenderedPageBreak/>
        <w:t>(CE) nr. 216/2008 ale Parlamentului European și ale Consiliului și a Regulamentului (CEE) nr. 3922/91 al Consiliului;</w:t>
      </w:r>
      <w:r>
        <w:rPr>
          <w:rFonts w:ascii="Times New Roman" w:hAnsi="Times New Roman"/>
          <w:color w:val="000000"/>
          <w:sz w:val="27"/>
        </w:rPr>
        <w:br/>
        <w:t>având în vedere Regulamentul delegat (UE) 2019/945 al Comisiei din 12 martie 2019 privind sistemele de aeronave fără pilot la bord și operatorii de sisteme de aeronave fără pilot la bord din țări terțe, în special articolul 5,</w:t>
      </w:r>
      <w:r>
        <w:rPr>
          <w:rFonts w:ascii="Times New Roman" w:hAnsi="Times New Roman"/>
          <w:color w:val="000000"/>
          <w:sz w:val="27"/>
        </w:rPr>
        <w:br/>
        <w:t>având în vedere Codul aviației civile, în special articolele R. 124-2 și D. 510-3,</w:t>
      </w:r>
      <w:r>
        <w:rPr>
          <w:rFonts w:ascii="Times New Roman" w:hAnsi="Times New Roman"/>
          <w:color w:val="000000"/>
          <w:sz w:val="27"/>
        </w:rPr>
        <w:br/>
        <w:t>având în vedere Codul penal, în special articolul R. 610-1,</w:t>
      </w:r>
      <w:r>
        <w:rPr>
          <w:rFonts w:ascii="Times New Roman" w:hAnsi="Times New Roman"/>
          <w:color w:val="000000"/>
          <w:sz w:val="27"/>
        </w:rPr>
        <w:br/>
        <w:t>având în vedere Codul penal, în special articolul R. 48-1,</w:t>
      </w:r>
      <w:r>
        <w:rPr>
          <w:rFonts w:ascii="Times New Roman" w:hAnsi="Times New Roman"/>
          <w:color w:val="000000"/>
          <w:sz w:val="27"/>
        </w:rPr>
        <w:br/>
        <w:t>având în vedere Codul poștelor și al comunicațiilor electronice, în special articolul L. 34-9-2,</w:t>
      </w:r>
      <w:r>
        <w:rPr>
          <w:rFonts w:ascii="Times New Roman" w:hAnsi="Times New Roman"/>
          <w:color w:val="000000"/>
          <w:sz w:val="27"/>
        </w:rPr>
        <w:br/>
        <w:t>având în vedere Codul securității interne, în special cartea VIII titlul V,</w:t>
      </w:r>
      <w:r>
        <w:rPr>
          <w:rFonts w:ascii="Times New Roman" w:hAnsi="Times New Roman"/>
          <w:color w:val="000000"/>
          <w:sz w:val="27"/>
        </w:rPr>
        <w:br/>
        <w:t>având în vedere Codul sportului, în special articolul L. 131-8,</w:t>
      </w:r>
      <w:r>
        <w:rPr>
          <w:rFonts w:ascii="Times New Roman" w:hAnsi="Times New Roman"/>
          <w:color w:val="000000"/>
          <w:sz w:val="27"/>
        </w:rPr>
        <w:br/>
        <w:t>având în vedere Codul transporturilor, în special articolele L. 6100-1 și L. 6111-1,</w:t>
      </w:r>
      <w:r>
        <w:rPr>
          <w:rFonts w:ascii="Times New Roman" w:hAnsi="Times New Roman"/>
          <w:color w:val="000000"/>
          <w:sz w:val="27"/>
        </w:rPr>
        <w:br/>
        <w:t>În urma consultării Consiliului de Stat (Secțiunea pentru lucrări publice),</w:t>
      </w:r>
      <w:r>
        <w:rPr>
          <w:rFonts w:ascii="Times New Roman" w:hAnsi="Times New Roman"/>
          <w:color w:val="000000"/>
          <w:sz w:val="27"/>
        </w:rPr>
        <w:br/>
        <w:t>Prin prezentul, dispune următoarele:</w:t>
      </w:r>
    </w:p>
    <w:p w14:paraId="338AE23B"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Articolul 1</w:t>
      </w:r>
    </w:p>
    <w:p w14:paraId="7215B2F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Secțiunea 5 din titlul I capitolul II din cartea II din partea de reglementare (Decrete în Consiliul de Stat) din Codul poștelor și al comunicațiilor electronice este completată de o subsecțiunea 10, după cum urmează:</w:t>
      </w:r>
    </w:p>
    <w:p w14:paraId="4580C38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„Subsecțiunea 10</w:t>
      </w:r>
      <w:r>
        <w:rPr>
          <w:rFonts w:ascii="Times New Roman" w:hAnsi="Times New Roman"/>
          <w:color w:val="000000"/>
          <w:sz w:val="27"/>
        </w:rPr>
        <w:br/>
        <w:t>Dispoziții privind aeronavele fără pilot la bord</w:t>
      </w:r>
    </w:p>
    <w:p w14:paraId="77D90C7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20-29-1.- Fără a aduce atingere reglementărilor Uniunii Europene aplicabile aeronavelor fără pilot la bord în ceea ce privește siguranța aviației, dispozițiile prezentei subsecțiuni se aplică acestor aeronave în scopuri de siguranță publică.</w:t>
      </w:r>
    </w:p>
    <w:p w14:paraId="5CBF506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20-29-2.- Scopul dispozitivului de semnalizare electronică sau digitală prevăzut la articolul L. 34-9-2 primul paragraf este de a detecta zborul aeronavelor fără pilot la bord a căror masă depășește pragul prevăzut la articolul D. 103 și de a permite citirea numărului lor de identificare.</w:t>
      </w:r>
      <w:r>
        <w:rPr>
          <w:rFonts w:ascii="Times New Roman" w:hAnsi="Times New Roman"/>
          <w:color w:val="000000"/>
          <w:sz w:val="27"/>
        </w:rPr>
        <w:br/>
        <w:t>Cu unicul scop de a preveni atacurile asupra securității, apărării sau securității publice a statului și de a preveni, a investiga, a detecta sau a urmări penal infracțiunile, informațiile transmise de acest dispozitiv pot fi utilizate, de către serviciile statului care contribuie la securitatea internă și apărarea națională, pentru a permite identificarea proprietarilor de aeronave fără pilot la bord și a utilizatorilor acestora.</w:t>
      </w:r>
    </w:p>
    <w:p w14:paraId="327D255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Articolul R. 20-29-3.- Scopul dispozitivului de semnalizare luminoasă prevăzut la articolul L. 34-9-2 primul paragraf este de a localiza mai ușor, în timpul zborului pe timp de noapte, aeronave fără pilot la bord a căror masă depășește pragul prevăzut la articolul D. 103 și de a le distinge de alte aeronave.</w:t>
      </w:r>
    </w:p>
    <w:p w14:paraId="060F2A5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20-29-4.-Un decret comun al ministrului de interne și al ministrului comunicațiilor electronice precizează caracteristicile tehnice ale dispozitivului de semnalizare electronică sau digitală, natura și formatul informațiilor transmise, precum și caracteristicile tehnice ale dispozitivului de semnalizare.</w:t>
      </w:r>
    </w:p>
    <w:p w14:paraId="0ED919D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20-29-5.-Aeronavele fără pilot la bord sunt exceptate de la cerința de a fi echipate cu un dispozitiv de semnalizare electronică sau digitală:</w:t>
      </w:r>
      <w:r>
        <w:rPr>
          <w:rFonts w:ascii="Times New Roman" w:hAnsi="Times New Roman"/>
          <w:color w:val="000000"/>
          <w:sz w:val="27"/>
        </w:rPr>
        <w:br/>
        <w:t>1. Atunci când sunt utilizate în scopuri recreative și sunt pilotate la distanță de către un pilot de la distanță care este membru al unei asociații afiliate federației recunoscute la nivel național pentru aeromodelare menționată la articolul D. 510-3 din Codul aviației civile sau unei federații multisporturi care include aeromodelarea aprobată de ministrul responsabil cu sportul în temeiul articolului L. 131-8 din Codul sporturilor într-o zonă de activitate stabilită prin decret ca dând dreptul la această scutire și publicată de canalul de informare aeronautică;</w:t>
      </w:r>
      <w:r>
        <w:rPr>
          <w:rFonts w:ascii="Times New Roman" w:hAnsi="Times New Roman"/>
          <w:color w:val="000000"/>
          <w:sz w:val="27"/>
        </w:rPr>
        <w:br/>
        <w:t>2. Atunci când sunt utilizate în spații închise și acoperite;</w:t>
      </w:r>
      <w:r>
        <w:rPr>
          <w:rFonts w:ascii="Times New Roman" w:hAnsi="Times New Roman"/>
          <w:color w:val="000000"/>
          <w:sz w:val="27"/>
        </w:rPr>
        <w:br/>
        <w:t>3. În cazul în care se încadrează în categoriile de aeronave menționate la articolul L. 6100-1 al doilea paragraf din Codul transporturilor, fără a aduce atingere dispozițiilor aplicabile aeronavelor militare și guvernamentale și aeronavelor utilizate de serviciile vamale sau de securitate publică și de securitate civilă;</w:t>
      </w:r>
      <w:r>
        <w:rPr>
          <w:rFonts w:ascii="Times New Roman" w:hAnsi="Times New Roman"/>
          <w:color w:val="000000"/>
          <w:sz w:val="27"/>
        </w:rPr>
        <w:br/>
        <w:t>4. În cazul în care nu aparțin categoriilor de aeronave menționate la articolul L. 6100-1 al doilea paragraf din Codul transporturilor, dar sunt utilizate în cadrul misiunilor vamale, polițienești sau de securitate civilă sau al punerii în aplicare a unei tehnici prevăzute în titlul V din cartea VIII din Codul securității interne;</w:t>
      </w:r>
      <w:r>
        <w:rPr>
          <w:rFonts w:ascii="Times New Roman" w:hAnsi="Times New Roman"/>
          <w:color w:val="000000"/>
          <w:sz w:val="27"/>
        </w:rPr>
        <w:br/>
        <w:t>5. Atunci când sunt transportate sau remorcate pe suprafața solului sau a apei.</w:t>
      </w:r>
    </w:p>
    <w:p w14:paraId="39C1F23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20-29-6.-Aeronavele fără pilot la bord sunt exceptate de la cerința de a fi echipate cu un dispozitiv de semnalizare luminoasă:</w:t>
      </w:r>
      <w:r>
        <w:rPr>
          <w:rFonts w:ascii="Times New Roman" w:hAnsi="Times New Roman"/>
          <w:color w:val="000000"/>
          <w:sz w:val="27"/>
        </w:rPr>
        <w:br/>
        <w:t>1. în cazurile menționate la articolul R. 20-29-5 punctele 1-5;</w:t>
      </w:r>
      <w:r>
        <w:rPr>
          <w:rFonts w:ascii="Times New Roman" w:hAnsi="Times New Roman"/>
          <w:color w:val="000000"/>
          <w:sz w:val="27"/>
        </w:rPr>
        <w:br/>
        <w:t>2. atunci zboară între răsărit și apus de soare;</w:t>
      </w:r>
      <w:r>
        <w:rPr>
          <w:rFonts w:ascii="Times New Roman" w:hAnsi="Times New Roman"/>
          <w:color w:val="000000"/>
          <w:sz w:val="27"/>
        </w:rPr>
        <w:br/>
        <w:t>3. atunci când efectuează zboruri experimentale în scopul testării sau inspecției în condițiile definite de ministrul aviației civile.</w:t>
      </w:r>
    </w:p>
    <w:p w14:paraId="607664B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Articolul R. 20-29-7.-Următoarele se sancționează cu amenda indicată pentru încălcările din clasa 4:</w:t>
      </w:r>
      <w:r>
        <w:rPr>
          <w:rFonts w:ascii="Times New Roman" w:hAnsi="Times New Roman"/>
          <w:color w:val="000000"/>
          <w:sz w:val="27"/>
        </w:rPr>
        <w:br/>
        <w:t>1. operarea aeronavelor fără pilot la bord în absența unui dispozitiv electronic sau digital de semnalizare menționat la articolul L. 34-9-2 primul paragraf sau în absența unui dispozitiv de semnalizare electronic sau digital în stare de funcționare;</w:t>
      </w:r>
      <w:r>
        <w:rPr>
          <w:rFonts w:ascii="Times New Roman" w:hAnsi="Times New Roman"/>
          <w:color w:val="000000"/>
          <w:sz w:val="27"/>
        </w:rPr>
        <w:br/>
        <w:t>2. operarea aeronavelor fără pilot la bord în absența unui dispozitiv de semnalizare luminoasă menționat la articolul L. 34-9-2 primul paragraf sau în absența unui dispozitiv de semnalizare luminoasă în stare de funcționare.</w:t>
      </w:r>
      <w:r>
        <w:rPr>
          <w:rFonts w:ascii="Times New Roman" w:hAnsi="Times New Roman"/>
          <w:color w:val="000000"/>
          <w:sz w:val="27"/>
        </w:rPr>
        <w:br/>
        <w:t>Proprietarul unei aeronave fără pilot la bord este obligat la plata amenzii pentru infracțiunile menționate la punctele 1 și 2, cu excepția cazului în care se constată existența unui zbor sau a oricărui alt eveniment de forță majoră sau furnizează toate dovezile pentru a stabili că nu este adevăratul autor al infracțiunii.</w:t>
      </w:r>
    </w:p>
    <w:p w14:paraId="3902FC4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20-29-8.-Emiterea voluntară a unui semnal electronic sau digital menționat la articolul L. 34-9-2 primul paragraf este pasibilă de amenda prevăzută pentru contravențiile din clasa 5, care nu provin de la aeronave fără pilot la bord înregistrate în registrul prevăzut la articolul R. 124-2 din Codul aviației civile sau care nu corespund unui zbor efectiv, în curs la data emiterii semnalului electronic sau digital.</w:t>
      </w:r>
    </w:p>
    <w:p w14:paraId="4294046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20-29-9.-Orice persoană vinovată de infracțiunile menționate la articolele R. 20-29-7 și R. 20-29-8 este, de asemenea, pasibilă de pedeapsa suplimentară de confiscare a obiectului utilizat pentru săvârșirea infracțiunii.</w:t>
      </w:r>
    </w:p>
    <w:p w14:paraId="437AE05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Articolele R. 20-29-10 – articolele R. 20-29-1-R. 20-29-9 se aplică în Insulele Wallis și Futuna, Polinezia Franceză și în Teritoriile Australe și Antarctice Franceze.”</w:t>
      </w:r>
    </w:p>
    <w:p w14:paraId="5BFDC837"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Articolul 2</w:t>
      </w:r>
    </w:p>
    <w:p w14:paraId="31F6D8E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R. 48-1 din Codul penal este completat cu un alineat care are următoarea formulare:</w:t>
      </w:r>
      <w:r>
        <w:rPr>
          <w:rFonts w:ascii="Times New Roman" w:hAnsi="Times New Roman"/>
          <w:color w:val="000000"/>
          <w:sz w:val="27"/>
        </w:rPr>
        <w:br/>
        <w:t>„(14) Contravențiile care se pedepsesc în temeiul articolului R. 20-29-7 din Codul poștelor și al comunicațiilor electronice.”</w:t>
      </w:r>
    </w:p>
    <w:p w14:paraId="65ECA1A2"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Articolul 3</w:t>
      </w:r>
    </w:p>
    <w:p w14:paraId="4201C42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În partea II titlul I capitolul II din partea normativă (decrete simple) a Codului poștelor și comunicațiilor electronice se adaugă o secțiune 6 cu formularea următoare:</w:t>
      </w:r>
    </w:p>
    <w:p w14:paraId="58CDFEA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„Secțiunea 6</w:t>
      </w:r>
      <w:r>
        <w:rPr>
          <w:rFonts w:ascii="Times New Roman" w:hAnsi="Times New Roman"/>
          <w:color w:val="000000"/>
          <w:sz w:val="27"/>
        </w:rPr>
        <w:br/>
        <w:t>Echipamente terminale de comunicații electronice și echipamente hertziene</w:t>
      </w:r>
    </w:p>
    <w:p w14:paraId="71AE3BC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D. 103.-Limita de greutate menționată la articolele L. 34-9-2, R. 20-29-2 și R. 20-29-3 este stabilită la 800 de grame.</w:t>
      </w:r>
    </w:p>
    <w:p w14:paraId="4437501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Articolul D. 103-1.-Dispozițiile articolului D. 103 se aplică în insulele Wallis și Futuna, Polinezia Franceză și Teritoriile Australe și Antarctice Franceze.</w:t>
      </w:r>
    </w:p>
    <w:p w14:paraId="1907D793"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Articolul 4</w:t>
      </w:r>
    </w:p>
    <w:p w14:paraId="5CE5E0B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Prezentul decret intră în vigoare la șase luni de la publicarea sa.</w:t>
      </w:r>
      <w:r>
        <w:rPr>
          <w:rFonts w:ascii="Times New Roman" w:hAnsi="Times New Roman"/>
          <w:color w:val="000000"/>
          <w:sz w:val="27"/>
        </w:rPr>
        <w:br/>
        <w:t>Cu toate acestea, la 12 luni de la data publicării prezentului decret intră în vigoare:</w:t>
      </w:r>
      <w:r>
        <w:rPr>
          <w:rFonts w:ascii="Times New Roman" w:hAnsi="Times New Roman"/>
          <w:color w:val="000000"/>
          <w:sz w:val="27"/>
        </w:rPr>
        <w:br/>
        <w:t>1. dispozițiile prezentului decret pentru aeronavele care operează fără o persoană la bord înregistrate în conformitate cu secțiunea L. 6111-1 din Codul transporturilor înainte de data intrării în vigoare menționată la primul paragraf;</w:t>
      </w:r>
      <w:r>
        <w:rPr>
          <w:rFonts w:ascii="Times New Roman" w:hAnsi="Times New Roman"/>
          <w:color w:val="000000"/>
          <w:sz w:val="27"/>
        </w:rPr>
        <w:br/>
        <w:t>2. dispozițiile articolelor R. 20-29-7 și R. 20-29-8 din Codul poștelor și al comunicațiilor electronice și ale articolului R. 48-1 punctul 14 din Codul penal.</w:t>
      </w:r>
      <w:r>
        <w:rPr>
          <w:rFonts w:ascii="Times New Roman" w:hAnsi="Times New Roman"/>
          <w:color w:val="000000"/>
          <w:sz w:val="27"/>
        </w:rPr>
        <w:br/>
        <w:t>Dispozițiile prezentului articol se aplică în insulele Wallis și Futuna, Polinezia Franceză și Teritoriile Australe și Antarctice Franceze.</w:t>
      </w:r>
    </w:p>
    <w:p w14:paraId="79EBB7A8"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Articolul 5</w:t>
      </w:r>
    </w:p>
    <w:p w14:paraId="62F191A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Păstrătorul sigiliilor, ministrul justiției, ministrul tranziției ecologice și favorabile incluziunii, ministrul economiei și finanțelor, ministrul de interne, ministrul afacerilor de peste mări și secretarul de stat pe lângă ministrul tranziției ecologice și favorabile incluziunii, însărcinat cu transporturile, sunt responsabili, fiecare în ceea ce îi privește, de punerea în aplicare a prezentului decret, care va fi publicat în Jurnalul Oficial al Republicii Franceze.</w:t>
      </w:r>
    </w:p>
    <w:p w14:paraId="686E9E8B"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Elaborat la 30 octombrie 2019.</w:t>
      </w:r>
    </w:p>
    <w:p w14:paraId="76C52EA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Edouard Philippe</w:t>
      </w:r>
      <w:r>
        <w:rPr>
          <w:rFonts w:ascii="Times New Roman" w:hAnsi="Times New Roman"/>
          <w:color w:val="000000"/>
          <w:sz w:val="27"/>
        </w:rPr>
        <w:br/>
        <w:t>De prim-ministru:</w:t>
      </w:r>
    </w:p>
    <w:p w14:paraId="059AEB86" w14:textId="393552FC"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Ministrul Economiei și Finanțelor,</w:t>
      </w:r>
      <w:r>
        <w:rPr>
          <w:rFonts w:ascii="Times New Roman" w:hAnsi="Times New Roman"/>
          <w:color w:val="000000"/>
          <w:sz w:val="27"/>
        </w:rPr>
        <w:br/>
      </w:r>
      <w:r w:rsidR="00D34A48">
        <w:rPr>
          <w:rFonts w:ascii="Times New Roman" w:eastAsia="Times New Roman" w:hAnsi="Times New Roman" w:cs="Times New Roman"/>
          <w:color w:val="000000"/>
          <w:sz w:val="27"/>
          <w:szCs w:val="27"/>
          <w:lang w:eastAsia="fr-FR"/>
        </w:rPr>
        <w:t>Bruno Le Maire</w:t>
      </w:r>
    </w:p>
    <w:p w14:paraId="234A3219"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Păstrătorul sigiliilor, Ministrul Justiției,</w:t>
      </w:r>
      <w:r>
        <w:rPr>
          <w:rFonts w:ascii="Times New Roman" w:hAnsi="Times New Roman"/>
          <w:color w:val="000000"/>
          <w:sz w:val="27"/>
        </w:rPr>
        <w:br/>
        <w:t>Nicole Belloubet</w:t>
      </w:r>
    </w:p>
    <w:p w14:paraId="7070A85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Ministrul Tranziției Ecologice și Incluzive,</w:t>
      </w:r>
      <w:r>
        <w:rPr>
          <w:rFonts w:ascii="Times New Roman" w:hAnsi="Times New Roman"/>
          <w:color w:val="000000"/>
          <w:sz w:val="27"/>
        </w:rPr>
        <w:br/>
        <w:t>Elisabeth Borne</w:t>
      </w:r>
    </w:p>
    <w:p w14:paraId="2CF6375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Ministrul de Interne,</w:t>
      </w:r>
      <w:r>
        <w:rPr>
          <w:rFonts w:ascii="Times New Roman" w:hAnsi="Times New Roman"/>
          <w:color w:val="000000"/>
          <w:sz w:val="27"/>
        </w:rPr>
        <w:br/>
        <w:t>Christophe Castaner</w:t>
      </w:r>
    </w:p>
    <w:p w14:paraId="7CB4FD0F"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Ministrul Afacerilor de Peste Mări,</w:t>
      </w:r>
      <w:r>
        <w:rPr>
          <w:rFonts w:ascii="Times New Roman" w:hAnsi="Times New Roman"/>
          <w:color w:val="000000"/>
          <w:sz w:val="27"/>
        </w:rPr>
        <w:br/>
        <w:t>Annick Girardin</w:t>
      </w:r>
    </w:p>
    <w:p w14:paraId="465D1219"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Secretarul de stat pe lângă ministrul tranziției ecologice și favorabile incluziunii, responsabil cu transporturile,</w:t>
      </w:r>
      <w:r>
        <w:rPr>
          <w:rFonts w:ascii="Times New Roman" w:hAnsi="Times New Roman"/>
          <w:color w:val="000000"/>
          <w:sz w:val="27"/>
        </w:rPr>
        <w:br/>
        <w:t>Jean-Baptiste Djebbari</w:t>
      </w:r>
    </w:p>
    <w:p w14:paraId="7B8C276A"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D34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05C2"/>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1785</Words>
  <Characters>10181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2021-12-13T11:15:00Z</dcterms:modified>
</cp:coreProperties>
</file>