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64" w:rsidRPr="00814C17" w:rsidRDefault="004A4164" w:rsidP="004A4164">
      <w:pPr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</w:rPr>
        <w:t>1. ------IND- 2019 0309 HU- CS- ------ 20190703 --- --- PROJET</w:t>
      </w:r>
    </w:p>
    <w:p w:rsidR="00FC1B4C" w:rsidRPr="00D4046D" w:rsidRDefault="00FC1B4C" w:rsidP="004A4164">
      <w:pPr>
        <w:jc w:val="center"/>
        <w:rPr>
          <w:b/>
        </w:rPr>
      </w:pPr>
      <w:r>
        <w:rPr>
          <w:b/>
        </w:rPr>
        <w:t xml:space="preserve">Výnos ministra zemědělství </w:t>
      </w:r>
    </w:p>
    <w:p w:rsidR="00FC1B4C" w:rsidRPr="00D4046D" w:rsidRDefault="00FC1B4C" w:rsidP="004A4164">
      <w:pPr>
        <w:jc w:val="center"/>
        <w:rPr>
          <w:b/>
        </w:rPr>
      </w:pPr>
    </w:p>
    <w:p w:rsidR="00FC1B4C" w:rsidRPr="00D4046D" w:rsidRDefault="00453591" w:rsidP="004A4164">
      <w:pPr>
        <w:jc w:val="center"/>
        <w:rPr>
          <w:b/>
        </w:rPr>
      </w:pPr>
      <w:r>
        <w:rPr>
          <w:b/>
        </w:rPr>
        <w:t>.../2019 ze dne ... .... 2019,</w:t>
      </w:r>
    </w:p>
    <w:p w:rsidR="00FC1B4C" w:rsidRPr="00D4046D" w:rsidRDefault="00FC1B4C" w:rsidP="004A4164">
      <w:pPr>
        <w:jc w:val="both"/>
        <w:rPr>
          <w:b/>
          <w:bCs/>
        </w:rPr>
      </w:pPr>
    </w:p>
    <w:p w:rsidR="00FC1B4C" w:rsidRPr="00D4046D" w:rsidRDefault="00FC1B4C" w:rsidP="004A4164">
      <w:pPr>
        <w:jc w:val="center"/>
        <w:rPr>
          <w:rFonts w:eastAsiaTheme="minorHAnsi"/>
          <w:b/>
          <w:bCs/>
        </w:rPr>
      </w:pPr>
      <w:r>
        <w:rPr>
          <w:b/>
        </w:rPr>
        <w:t>kterým se mění výnos ministra zemědělství 53/2017 ze dne 18. října 2017 o provozních podmínkách spalovacích zařízení s celkovým jmenovitým tepelným příkonem rovnajícím se 140 kW</w:t>
      </w:r>
      <w:r>
        <w:rPr>
          <w:b/>
          <w:vertAlign w:val="subscript"/>
        </w:rPr>
        <w:t>th</w:t>
      </w:r>
      <w:r>
        <w:rPr>
          <w:b/>
        </w:rPr>
        <w:t xml:space="preserve"> nebo vyšším, ale nižším než 50 MW</w:t>
      </w:r>
      <w:r>
        <w:rPr>
          <w:b/>
          <w:vertAlign w:val="subscript"/>
        </w:rPr>
        <w:t>th</w:t>
      </w:r>
      <w:r>
        <w:rPr>
          <w:b/>
        </w:rPr>
        <w:t>, a o limitních hodnotách pro látky znečišťující ovzduší vypouštěné z těchto spalovacích zařízení</w:t>
      </w:r>
    </w:p>
    <w:p w:rsidR="00FC1B4C" w:rsidRPr="00D4046D" w:rsidRDefault="00FC1B4C" w:rsidP="004A4164">
      <w:pPr>
        <w:jc w:val="both"/>
        <w:rPr>
          <w:rFonts w:eastAsiaTheme="minorHAnsi"/>
          <w:b/>
          <w:bCs/>
        </w:rPr>
      </w:pPr>
    </w:p>
    <w:p w:rsidR="00FC1B4C" w:rsidRPr="00D4046D" w:rsidRDefault="00FC1B4C" w:rsidP="004A4164">
      <w:pPr>
        <w:jc w:val="both"/>
        <w:rPr>
          <w:i/>
          <w:iCs/>
          <w:u w:val="single"/>
        </w:rPr>
      </w:pPr>
    </w:p>
    <w:p w:rsidR="00FC1B4C" w:rsidRPr="00D4046D" w:rsidRDefault="00FC1B4C" w:rsidP="004A4164">
      <w:pPr>
        <w:jc w:val="both"/>
        <w:rPr>
          <w:bCs/>
          <w:iCs/>
        </w:rPr>
      </w:pPr>
      <w:r>
        <w:t>Na základě povolení uděleného podle § 110 odst. 8 písm. g) zákona LIII z roku 1995 o obecných pravidlech ochrany životního prostředí a v rámci výkonu svých povinností vymezených v § 79 odst. 9 výnosu vlády č. 94/2018 ze dne 22. května 2018 o povinnostech a pravomocích členů vlády tímto nařizuji následující:</w:t>
      </w:r>
    </w:p>
    <w:p w:rsidR="00FC1B4C" w:rsidRPr="00D4046D" w:rsidRDefault="00FC1B4C" w:rsidP="004A4164">
      <w:pPr>
        <w:jc w:val="both"/>
        <w:rPr>
          <w:i/>
        </w:rPr>
      </w:pPr>
    </w:p>
    <w:p w:rsidR="00287AE1" w:rsidRDefault="00D606F7" w:rsidP="004A4164">
      <w:pPr>
        <w:keepNext/>
        <w:keepLines/>
        <w:jc w:val="center"/>
        <w:rPr>
          <w:b/>
        </w:rPr>
      </w:pPr>
      <w:r>
        <w:rPr>
          <w:b/>
        </w:rPr>
        <w:t>§ 1</w:t>
      </w:r>
    </w:p>
    <w:p w:rsidR="00D606F7" w:rsidRDefault="00D606F7" w:rsidP="004A4164">
      <w:pPr>
        <w:keepNext/>
        <w:keepLines/>
        <w:jc w:val="center"/>
        <w:rPr>
          <w:b/>
        </w:rPr>
      </w:pPr>
    </w:p>
    <w:p w:rsidR="009F7DF7" w:rsidRPr="009F7DF7" w:rsidRDefault="004A4164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>(1) Do § 2 odst. 1 výnosu ministra zemědělství 53/2017 ze dne 18. října 2017 o provozních podmínkách spalovacích zařízení s celkovým jmenovitým tepelným příkonem rovnajícím se 140 kW</w:t>
      </w:r>
      <w:r>
        <w:rPr>
          <w:vertAlign w:val="subscript"/>
        </w:rPr>
        <w:t>th</w:t>
      </w:r>
      <w:r>
        <w:t xml:space="preserve"> nebo vyšším, ale nižším než 50 MW</w:t>
      </w:r>
      <w:r>
        <w:rPr>
          <w:vertAlign w:val="subscript"/>
        </w:rPr>
        <w:t>th</w:t>
      </w:r>
      <w:r>
        <w:t>, a o limitních hodnotách pro látky znečišťující ovzduší vypouštěné z těchto spalovacích zařízení (dále jen „výnos“) se doplňuje následující bod 1a:</w:t>
      </w:r>
    </w:p>
    <w:p w:rsidR="009F7DF7" w:rsidRP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/>
          <w:iCs/>
        </w:rPr>
      </w:pPr>
      <w:r>
        <w:rPr>
          <w:i/>
        </w:rPr>
        <w:t>(Pro účely tohoto výnosu)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„1.a „</w:t>
      </w:r>
      <w:r>
        <w:rPr>
          <w:i/>
        </w:rPr>
        <w:t>soustavou pro přepravu plynu“</w:t>
      </w:r>
      <w:r>
        <w:t xml:space="preserve"> se rozumí spolupracující síť zemního plynu podle zákona XL z roku 2008 o dodávkách zemního plynu;“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Default="009F7DF7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(2) Ustanovení § 2 odst. 1 bodu 9 tohoto výnosu se nahrazuje takto: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„9. „</w:t>
      </w:r>
      <w:r>
        <w:rPr>
          <w:i/>
        </w:rPr>
        <w:t xml:space="preserve">celkovým jmenovitým tepelným příkonem“ </w:t>
      </w:r>
      <w:r>
        <w:t>se rozumí součet jmenovitých tepelných příkonů spalovacích zařízení, vypočítaný agregačním postupem, který se v případě spalovacího zařízení rovná jeho jmenovitému tepelnému příkonu;“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Pr="00D606F7" w:rsidRDefault="00D606F7" w:rsidP="004A4164">
      <w:pPr>
        <w:keepNext/>
        <w:keepLines/>
        <w:jc w:val="center"/>
        <w:rPr>
          <w:b/>
        </w:rPr>
      </w:pPr>
      <w:r>
        <w:rPr>
          <w:b/>
        </w:rPr>
        <w:t>§ 2</w:t>
      </w:r>
    </w:p>
    <w:p w:rsidR="00DE6CCA" w:rsidRPr="00D4046D" w:rsidRDefault="00DE6CCA" w:rsidP="004A4164">
      <w:pPr>
        <w:pStyle w:val="ListParagraph"/>
        <w:keepNext/>
        <w:keepLines/>
        <w:ind w:left="0"/>
        <w:jc w:val="center"/>
        <w:rPr>
          <w:i/>
        </w:rPr>
      </w:pPr>
    </w:p>
    <w:p w:rsidR="00F3461C" w:rsidRPr="004A4164" w:rsidRDefault="004A4164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(1) Ustanovení</w:t>
      </w:r>
      <w:r w:rsidR="00B95DA0">
        <w:t xml:space="preserve"> </w:t>
      </w:r>
      <w:r>
        <w:t>§ 4 odst. 6 a odst. 7 výnosu nabývají účinnosti s tímto zněním:</w:t>
      </w:r>
    </w:p>
    <w:p w:rsidR="00287AE1" w:rsidRPr="00D4046D" w:rsidRDefault="00287AE1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„(6) U spalovacích zařízení kategorie I o celkovém jmenovitém tepelném příkonu vyšším než nebo rovném 1 MW</w:t>
      </w:r>
      <w:r>
        <w:rPr>
          <w:vertAlign w:val="subscript"/>
        </w:rPr>
        <w:t>th</w:t>
      </w:r>
      <w:r>
        <w:t>, které jsou v provozu nanejvýš 500 provozních hodin ročně při vyjádření ve formě klouzavého průměru za období pěti let</w:t>
      </w:r>
      <w:r w:rsidR="00C2002B">
        <w:t>,</w:t>
      </w:r>
      <w:r>
        <w:t xml:space="preserve"> se použijí limitní hodnoty emisí stanovené v příloze č. 1 s tou výjimkou, že limitní hodnota emisí pevných materiálů v případě spalovacích zařízeních na tuhou biomasu je 200 mg/Nm3 a limitní hodnota emisí oxidu uhelnatého je 375 mg/Nm</w:t>
      </w:r>
      <w:r>
        <w:rPr>
          <w:vertAlign w:val="superscript"/>
        </w:rPr>
        <w:t>3</w:t>
      </w:r>
      <w:r>
        <w:t>.</w:t>
      </w:r>
    </w:p>
    <w:p w:rsidR="00287AE1" w:rsidRPr="00D4046D" w:rsidRDefault="00287AE1" w:rsidP="004A4164">
      <w:pPr>
        <w:jc w:val="both"/>
        <w:rPr>
          <w:i/>
        </w:rPr>
      </w:pPr>
      <w:r>
        <w:t>(7) Do 1. ledna</w:t>
      </w:r>
      <w:r w:rsidR="00B95DA0">
        <w:t xml:space="preserve"> </w:t>
      </w:r>
      <w:r>
        <w:t>2030 budou u spalovacích zařízení kategorie I o celkovém jmenovitém tepelném příkonu nad 5 MW</w:t>
      </w:r>
      <w:r>
        <w:rPr>
          <w:vertAlign w:val="subscript"/>
        </w:rPr>
        <w:t xml:space="preserve">th </w:t>
      </w:r>
      <w:r>
        <w:t>platit limitní hodnoty uvedené v příloze č. 1, když 50 % produkce užitečného tepla u těchto zařízení, při jejím vyjádření ve formě klouza</w:t>
      </w:r>
      <w:bookmarkStart w:id="0" w:name="_GoBack"/>
      <w:bookmarkEnd w:id="0"/>
      <w:r>
        <w:t>vého průměru za období pěti let, je dodáváno v podobě páry nebo teplé nebo horké vody do veřejné sítě dálkového vytápění, s tou výjimkou, že limitní hodnota emisí v případě oxidu siřičitého u</w:t>
      </w:r>
      <w:r w:rsidR="00B95DA0">
        <w:t xml:space="preserve"> </w:t>
      </w:r>
      <w:r>
        <w:t>spalovacích zařízení na tuhá a kapalná paliva je 1 100 mg/Nm</w:t>
      </w:r>
      <w:r>
        <w:rPr>
          <w:vertAlign w:val="subscript"/>
        </w:rPr>
        <w:t>3</w:t>
      </w:r>
      <w:r>
        <w:t xml:space="preserve"> a limitní hodnota emisí v případě tuhých materiálů u spalovacích </w:t>
      </w:r>
      <w:r>
        <w:lastRenderedPageBreak/>
        <w:t>zařízení na tuhá paliva je 150 mg/Nm</w:t>
      </w:r>
      <w:r>
        <w:rPr>
          <w:vertAlign w:val="superscript"/>
        </w:rPr>
        <w:t>3</w:t>
      </w:r>
      <w:r>
        <w:t>, přičemž limitní hodnota emisí oxidu uhelnatého u spalovacích zařízení na tuhou biomasu je 375 mg/Nm</w:t>
      </w:r>
      <w:r>
        <w:rPr>
          <w:vertAlign w:val="superscript"/>
        </w:rPr>
        <w:t>3</w:t>
      </w:r>
      <w:r>
        <w:t>.</w:t>
      </w:r>
      <w:r w:rsidR="00C2002B">
        <w:t>“</w:t>
      </w:r>
    </w:p>
    <w:p w:rsidR="00FE5F56" w:rsidRPr="00D4046D" w:rsidRDefault="00FE5F56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4257C8" w:rsidRPr="00D4046D" w:rsidRDefault="00FC1B4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(2) Ustanovení</w:t>
      </w:r>
      <w:r w:rsidR="00B95DA0">
        <w:t xml:space="preserve"> </w:t>
      </w:r>
      <w:r>
        <w:t>§ 4 odst. 9 výnosu nabývá v tomto znění:</w:t>
      </w:r>
    </w:p>
    <w:p w:rsidR="004257C8" w:rsidRDefault="004257C8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„(9) Do 1. ledna 2030 budou pro oxidy dusíku z motorů kategorie 1 a plynových turbín o celkovém jmenovitém tepelném příkonu přesahujícím 5 MW</w:t>
      </w:r>
      <w:r>
        <w:rPr>
          <w:vertAlign w:val="subscript"/>
        </w:rPr>
        <w:t>th</w:t>
      </w:r>
      <w:r>
        <w:t>, které se používají k provozování plynových kompresorových stanic nezbytných k zajištění bezpečnosti a ochrany soustav k přepravě plynu, platit limitní hodnoty emisí stanovené v příloze č. 1 s tou výjimkou, že v případě plynových motorů uvedených do provozu před 1. lednem 1994 je limitní hodnota emisí oxidů dusíku 565 mg/Nm</w:t>
      </w:r>
      <w:r>
        <w:rPr>
          <w:vertAlign w:val="superscript"/>
        </w:rPr>
        <w:t>3</w:t>
      </w:r>
      <w:r>
        <w:t>.“</w:t>
      </w:r>
    </w:p>
    <w:p w:rsidR="00740D2A" w:rsidRPr="00D4046D" w:rsidRDefault="00740D2A" w:rsidP="004A4164">
      <w:pPr>
        <w:autoSpaceDE w:val="0"/>
        <w:autoSpaceDN w:val="0"/>
        <w:adjustRightInd w:val="0"/>
        <w:jc w:val="both"/>
        <w:rPr>
          <w:bCs/>
          <w:iCs/>
        </w:rPr>
      </w:pPr>
    </w:p>
    <w:p w:rsidR="00FC1B4C" w:rsidRPr="00D4046D" w:rsidRDefault="004257C8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(3) Ustanovení § 4 odst. 10 výnosu se nahrazuje takto:</w:t>
      </w:r>
    </w:p>
    <w:p w:rsidR="00FC1B4C" w:rsidRPr="00D4046D" w:rsidRDefault="00FC1B4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„(10) U spalovacích zařízení kategorie II, které jsou v provozu nanejvýš 500 provozních hodin ročně při vyjádření ve formě klouzavého průměru za období tří let, se použijí limitní hodnoty emisí stanovené v příloze č. 1 s tou výjimkou, že limitní hodnota emisí pevných materiálů v případě spalovacích zařízení na tuhá paliva je 100 mg/Nm</w:t>
      </w:r>
      <w:r>
        <w:rPr>
          <w:vertAlign w:val="superscript"/>
        </w:rPr>
        <w:t>3</w:t>
      </w:r>
      <w:r>
        <w:t xml:space="preserve"> a limitní hodnota emisí oxidu uhelnatého v případě spalovacích zařízení o celkovém jmenovitém tepelném příkonu vyšším než nebo rovném 1 MW</w:t>
      </w:r>
      <w:r>
        <w:rPr>
          <w:vertAlign w:val="subscript"/>
        </w:rPr>
        <w:t>th</w:t>
      </w:r>
      <w:r>
        <w:t>, které spalují palivo z tuhé biomasy, je 375 mg/Nm</w:t>
      </w:r>
      <w:r>
        <w:rPr>
          <w:vertAlign w:val="superscript"/>
        </w:rPr>
        <w:t>3</w:t>
      </w:r>
      <w:r>
        <w:t>.“</w:t>
      </w:r>
    </w:p>
    <w:p w:rsidR="00DE6CCA" w:rsidRPr="00D4046D" w:rsidRDefault="00DE6CCA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E6CCA" w:rsidRPr="00D4046D" w:rsidRDefault="004916B6" w:rsidP="004A4164">
      <w:pPr>
        <w:pStyle w:val="ListParagraph"/>
        <w:keepNext/>
        <w:keepLines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>(4) Ustanovení § 4 odst. 13 výnosu se nahrazuje takto:</w:t>
      </w:r>
    </w:p>
    <w:p w:rsidR="00DE6CCA" w:rsidRPr="00553495" w:rsidRDefault="00DE6CCA" w:rsidP="004A4164">
      <w:pPr>
        <w:keepNext/>
        <w:keepLines/>
        <w:autoSpaceDE w:val="0"/>
        <w:autoSpaceDN w:val="0"/>
        <w:adjustRightInd w:val="0"/>
        <w:jc w:val="both"/>
        <w:rPr>
          <w:bCs/>
          <w:iCs/>
        </w:rPr>
      </w:pPr>
      <w:r>
        <w:t>„(13) V případě stacionárních motorů neplatí limitní hodnoty emisí pro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>a)</w:t>
      </w:r>
      <w:r w:rsidR="00B95DA0">
        <w:t xml:space="preserve"> </w:t>
      </w:r>
      <w:r>
        <w:t>motory s jmenovitým tepelným příkonem nižším než 1 MW</w:t>
      </w:r>
      <w:r>
        <w:rPr>
          <w:vertAlign w:val="subscript"/>
        </w:rPr>
        <w:t>th</w:t>
      </w:r>
      <w:r>
        <w:t xml:space="preserve">, jejichž spotřeba paliva je nižší než 50 kg / h, a 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>b</w:t>
      </w:r>
      <w:r>
        <w:t>) stacionární motory se záložním napájením, které jsou v provozu méně než 50 hodin za rok.“</w:t>
      </w:r>
    </w:p>
    <w:p w:rsidR="00DE6CCA" w:rsidRPr="00D4046D" w:rsidRDefault="00DE6CCA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</w:p>
    <w:p w:rsidR="00FC1B4C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</w:rPr>
        <w:t>§ 3</w:t>
      </w:r>
    </w:p>
    <w:p w:rsidR="00D26C98" w:rsidRPr="00D4046D" w:rsidRDefault="00D26C98" w:rsidP="004A4164">
      <w:pPr>
        <w:keepNext/>
        <w:keepLines/>
        <w:autoSpaceDE w:val="0"/>
        <w:autoSpaceDN w:val="0"/>
        <w:adjustRightInd w:val="0"/>
        <w:jc w:val="center"/>
        <w:rPr>
          <w:bCs/>
          <w:iCs/>
        </w:rPr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>Ustanovení § 12 odst. 2 a 3 výnosu se nahrazuje takto:</w:t>
      </w:r>
    </w:p>
    <w:p w:rsidR="00D26C98" w:rsidRPr="00D4046D" w:rsidRDefault="00D26C98" w:rsidP="004A4164">
      <w:pPr>
        <w:keepNext/>
        <w:keepLines/>
        <w:autoSpaceDE w:val="0"/>
        <w:autoSpaceDN w:val="0"/>
        <w:adjustRightInd w:val="0"/>
        <w:jc w:val="both"/>
      </w:pPr>
    </w:p>
    <w:p w:rsidR="006B0CC9" w:rsidRPr="00D4046D" w:rsidRDefault="00FC1B4C" w:rsidP="004A4164">
      <w:pPr>
        <w:autoSpaceDE w:val="0"/>
        <w:autoSpaceDN w:val="0"/>
        <w:adjustRightInd w:val="0"/>
        <w:spacing w:before="60"/>
        <w:jc w:val="both"/>
      </w:pPr>
      <w:r>
        <w:t>„(2) Do 31. prosince 2029 platí pro spalovací zařízení kategorie I o celkovém jmenovitém tepelném příkonu vyšším než nebo rovném 1 MW</w:t>
      </w:r>
      <w:r>
        <w:rPr>
          <w:vertAlign w:val="subscript"/>
        </w:rPr>
        <w:t>th</w:t>
      </w:r>
      <w:r>
        <w:t>,ale nižším než 5 MW</w:t>
      </w:r>
      <w:r>
        <w:rPr>
          <w:vertAlign w:val="subscript"/>
        </w:rPr>
        <w:t>th</w:t>
      </w:r>
      <w:r>
        <w:t xml:space="preserve"> limitní hodnoty emisí uvedené v příloze 1 s následujícími výjimkami: </w:t>
      </w:r>
    </w:p>
    <w:p w:rsidR="00FC1B4C" w:rsidRPr="00D4046D" w:rsidRDefault="00FC1B4C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v případě spalování tuhé biomasy je limitní hodnota emisí oxidu uhelnatého 375 mg/Nm</w:t>
      </w:r>
      <w:r>
        <w:rPr>
          <w:vertAlign w:val="superscript"/>
        </w:rPr>
        <w:t>3</w:t>
      </w:r>
      <w:r>
        <w:t>;</w:t>
      </w:r>
    </w:p>
    <w:p w:rsidR="006B0CC9" w:rsidRPr="00D4046D" w:rsidRDefault="006B0CC9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v případě plynových motorů uvedených do provozu před 1. lednem</w:t>
      </w:r>
      <w:r w:rsidR="00B95DA0">
        <w:t xml:space="preserve"> </w:t>
      </w:r>
      <w:r>
        <w:t>1994, které mají celkový jmenovitý tepelný příkon vyšší než 3 MW</w:t>
      </w:r>
      <w:r>
        <w:rPr>
          <w:vertAlign w:val="subscript"/>
        </w:rPr>
        <w:t>th</w:t>
      </w:r>
      <w:r>
        <w:t>, je limitní hodnota emisí oxidů dusíku 565 mg/Nm</w:t>
      </w:r>
      <w:r>
        <w:rPr>
          <w:vertAlign w:val="superscript"/>
        </w:rPr>
        <w:t>3</w:t>
      </w:r>
      <w:r>
        <w:t>, limitní hodnota emisí CO v případě čtyřtaktních motorů je 375 mg/Nm</w:t>
      </w:r>
      <w:r>
        <w:rPr>
          <w:vertAlign w:val="superscript"/>
        </w:rPr>
        <w:t>3</w:t>
      </w:r>
      <w:r>
        <w:t>, v případě dvoutaktních motorů je to 320 mg/Nm</w:t>
      </w:r>
      <w:r>
        <w:rPr>
          <w:vertAlign w:val="superscript"/>
        </w:rPr>
        <w:t>3</w:t>
      </w:r>
      <w:r>
        <w:t xml:space="preserve"> a u celkových organických sloučenin vyjádřených v podobě C (uhlíku) s výjimkou metanu je limitní hodnota emisí 115 mg/Nm</w:t>
      </w:r>
      <w:r>
        <w:rPr>
          <w:vertAlign w:val="superscript"/>
        </w:rPr>
        <w:t>3</w:t>
      </w:r>
      <w:r>
        <w:t>.</w:t>
      </w:r>
    </w:p>
    <w:p w:rsidR="006B0CC9" w:rsidRPr="00D4046D" w:rsidRDefault="00115E21" w:rsidP="004A4164">
      <w:pPr>
        <w:autoSpaceDE w:val="0"/>
        <w:autoSpaceDN w:val="0"/>
        <w:adjustRightInd w:val="0"/>
        <w:jc w:val="both"/>
      </w:pPr>
      <w:r>
        <w:t>(3) Do 3. prosince</w:t>
      </w:r>
      <w:r w:rsidR="00B95DA0">
        <w:t xml:space="preserve"> </w:t>
      </w:r>
      <w:r>
        <w:t>2024 platí pro spalovací zařízení kategorie I s celkovým jmenovitým tepelným příkonem vyšším než 5 MW</w:t>
      </w:r>
      <w:r>
        <w:rPr>
          <w:vertAlign w:val="subscript"/>
        </w:rPr>
        <w:t>th</w:t>
      </w:r>
      <w:r>
        <w:t xml:space="preserve"> limitní hodnoty emisí stanovené v příloze 1 s následujícími výjimkami:</w:t>
      </w:r>
    </w:p>
    <w:p w:rsidR="006B0CC9" w:rsidRPr="00D4046D" w:rsidRDefault="00FC1B4C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v případě spalování tuhé biomasy je limitní hodnota emisí oxidu uhelnatého 375 mg/Nm</w:t>
      </w:r>
      <w:r>
        <w:rPr>
          <w:vertAlign w:val="superscript"/>
        </w:rPr>
        <w:t>3</w:t>
      </w:r>
      <w:r>
        <w:t>;</w:t>
      </w:r>
    </w:p>
    <w:p w:rsidR="00FC1B4C" w:rsidRPr="00D4046D" w:rsidRDefault="006B0CC9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v případě plynových motorů uvedených d</w:t>
      </w:r>
      <w:r w:rsidR="00C2002B">
        <w:t>o provozu před 1. lednem</w:t>
      </w:r>
      <w:r w:rsidR="00B95DA0">
        <w:t xml:space="preserve"> </w:t>
      </w:r>
      <w:r w:rsidR="00C2002B">
        <w:t>1994,</w:t>
      </w:r>
      <w:r>
        <w:t xml:space="preserve"> je limitní hodnota emisí oxidů dusíku 565 mg/Nm</w:t>
      </w:r>
      <w:r>
        <w:rPr>
          <w:vertAlign w:val="superscript"/>
        </w:rPr>
        <w:t>3</w:t>
      </w:r>
      <w:r>
        <w:t>, limitní hodnota emisí oxidu uhelnatého v případě čtyřtaktních motorů je 375 mg/Nm</w:t>
      </w:r>
      <w:r>
        <w:rPr>
          <w:vertAlign w:val="superscript"/>
        </w:rPr>
        <w:t>3</w:t>
      </w:r>
      <w:r>
        <w:t>, v případě dvoutaktních motorů je to 320 mg/Nm</w:t>
      </w:r>
      <w:r>
        <w:rPr>
          <w:vertAlign w:val="superscript"/>
        </w:rPr>
        <w:t>3</w:t>
      </w:r>
      <w:r>
        <w:t xml:space="preserve"> a u celkových organických sloučenin vyjádřených v podobě C (uhlíku) s výjimkou metanu je limitní hodnota emisí 115 mg/Nm</w:t>
      </w:r>
      <w:r>
        <w:rPr>
          <w:vertAlign w:val="superscript"/>
        </w:rPr>
        <w:t>3</w:t>
      </w:r>
      <w:r>
        <w:t>.“</w:t>
      </w:r>
    </w:p>
    <w:p w:rsidR="00115E21" w:rsidRPr="00D4046D" w:rsidRDefault="00115E21" w:rsidP="004A4164">
      <w:pPr>
        <w:autoSpaceDE w:val="0"/>
        <w:autoSpaceDN w:val="0"/>
        <w:adjustRightInd w:val="0"/>
        <w:jc w:val="both"/>
      </w:pPr>
    </w:p>
    <w:p w:rsidR="00115E21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4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(1) Příloha č. 1 výnosu se mění v souladu s přílohou č. 1.</w:t>
      </w:r>
    </w:p>
    <w:p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(2) Příloha č. 2 výnosu nabývá účinnosti v souladu s přílohou č. 2.</w:t>
      </w:r>
    </w:p>
    <w:p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(3) Příloha č. 3 výnosu nabývá účinnosti v souladu s přílohou č. 3.</w:t>
      </w:r>
    </w:p>
    <w:p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>(4) Příloha č. 4 výnosu se mění v souladu s přílohou č. 4.</w:t>
      </w:r>
    </w:p>
    <w:p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>(5) Příloha č. 5 výnosu se mění v souladu s přílohou č. 5.</w:t>
      </w:r>
    </w:p>
    <w:p w:rsidR="00C77639" w:rsidRDefault="00C77639" w:rsidP="004A4164">
      <w:pPr>
        <w:autoSpaceDE w:val="0"/>
        <w:autoSpaceDN w:val="0"/>
        <w:adjustRightInd w:val="0"/>
      </w:pPr>
    </w:p>
    <w:p w:rsidR="00052A46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5</w:t>
      </w:r>
    </w:p>
    <w:p w:rsidR="00052A46" w:rsidRDefault="00052A46" w:rsidP="004A4164">
      <w:pPr>
        <w:keepNext/>
        <w:keepLines/>
        <w:autoSpaceDE w:val="0"/>
        <w:autoSpaceDN w:val="0"/>
        <w:adjustRightInd w:val="0"/>
      </w:pPr>
    </w:p>
    <w:p w:rsidR="00052A46" w:rsidRDefault="00052A46" w:rsidP="004A4164">
      <w:pPr>
        <w:autoSpaceDE w:val="0"/>
        <w:autoSpaceDN w:val="0"/>
        <w:adjustRightInd w:val="0"/>
      </w:pPr>
      <w:r>
        <w:t>Dílčí bod 3.4 bodu 3 přílohy č. 4 výnosu se nahrazuje takto:</w:t>
      </w:r>
    </w:p>
    <w:p w:rsidR="00052A46" w:rsidRPr="00D4046D" w:rsidRDefault="00052A46" w:rsidP="004A4164">
      <w:pPr>
        <w:autoSpaceDE w:val="0"/>
        <w:autoSpaceDN w:val="0"/>
        <w:adjustRightInd w:val="0"/>
      </w:pPr>
    </w:p>
    <w:p w:rsidR="00C77639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6</w:t>
      </w:r>
    </w:p>
    <w:p w:rsidR="00C77639" w:rsidRPr="00D4046D" w:rsidRDefault="00C77639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(1) Tento výnos nabývá účinnosti s výjimkami uvedenými v odstavcích 2 a 3 v 15. den po jeho vyhlášení.</w:t>
      </w:r>
    </w:p>
    <w:p w:rsidR="004916B6" w:rsidRPr="00D4046D" w:rsidRDefault="004916B6" w:rsidP="004A4164">
      <w:pPr>
        <w:autoSpaceDE w:val="0"/>
        <w:autoSpaceDN w:val="0"/>
        <w:adjustRightInd w:val="0"/>
        <w:jc w:val="both"/>
      </w:pPr>
    </w:p>
    <w:p w:rsidR="004916B6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>(2) Ustanovení § 2 odst. 1 a 2, § 4 odst. 3 a přílohy č. 3 nabývají účinnosti dne 1. ledna 2025.</w:t>
      </w:r>
    </w:p>
    <w:p w:rsidR="00567A90" w:rsidRPr="00D4046D" w:rsidRDefault="00567A90" w:rsidP="004A4164">
      <w:pPr>
        <w:pStyle w:val="ListParagraph"/>
        <w:autoSpaceDE w:val="0"/>
        <w:autoSpaceDN w:val="0"/>
        <w:adjustRightInd w:val="0"/>
        <w:ind w:left="0"/>
        <w:jc w:val="both"/>
      </w:pPr>
    </w:p>
    <w:p w:rsidR="00767D9D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>(3) Ustanovení § 4 odst. 2 a přílohy č. 2 nabývají účinnosti dne 1. ledna 2030.</w:t>
      </w:r>
    </w:p>
    <w:p w:rsidR="00567A90" w:rsidRPr="00567A90" w:rsidRDefault="00567A90" w:rsidP="004A4164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767D9D" w:rsidRPr="001E77B8" w:rsidRDefault="001F134F" w:rsidP="004A4164">
      <w:pPr>
        <w:keepNext/>
        <w:keepLines/>
        <w:jc w:val="center"/>
        <w:rPr>
          <w:b/>
        </w:rPr>
      </w:pPr>
      <w:r>
        <w:rPr>
          <w:b/>
        </w:rPr>
        <w:t>§ 7</w:t>
      </w:r>
    </w:p>
    <w:p w:rsidR="00716094" w:rsidRPr="00D4046D" w:rsidRDefault="00716094" w:rsidP="004A4164">
      <w:pPr>
        <w:keepNext/>
        <w:keepLines/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1) Účelem tohoto výnosu je splnění směrnice Evropského parlamentu a Rady (EU) 2015/2193 ze dne 25. listopadu 2015 o omezení emisí některých znečišťujících látek do ovzduší ze středních spalovacích zařízení.</w:t>
      </w: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„2) Byl dodržen požadavek na předchozí oznámení tohoto výnosu podle článků 5 až 7 směrnice Evropského parlamentu a Rady (EU) 2015/1535 ze dne 9. září 2015 o postupu při poskytování informací v oblasti technických předpisů a předpisů pro služby informační společnost.</w:t>
      </w:r>
    </w:p>
    <w:p w:rsidR="00716094" w:rsidRPr="00D4046D" w:rsidRDefault="00716094" w:rsidP="004A4164"/>
    <w:p w:rsidR="00115E21" w:rsidRPr="000B1A9E" w:rsidRDefault="00115E21" w:rsidP="004A4164">
      <w:r>
        <w:t>V Budapešti, [datum] června 2019.’</w:t>
      </w:r>
    </w:p>
    <w:p w:rsidR="00115E21" w:rsidRPr="00832B17" w:rsidRDefault="00115E21" w:rsidP="004A4164"/>
    <w:p w:rsidR="004A4164" w:rsidRDefault="002125C2" w:rsidP="004A4164">
      <w:pPr>
        <w:ind w:left="6379"/>
      </w:pPr>
      <w:r>
        <w:t>Dr István Nagy</w:t>
      </w:r>
    </w:p>
    <w:p w:rsidR="004A4164" w:rsidRPr="004A4164" w:rsidRDefault="004A4164" w:rsidP="004A4164">
      <w:pPr>
        <w:ind w:left="6379"/>
      </w:pPr>
      <w:r>
        <w:rPr>
          <w:i/>
        </w:rPr>
        <w:t>Výnos ministra zemědělství</w:t>
      </w:r>
    </w:p>
    <w:p w:rsidR="00FC1B4C" w:rsidRPr="00D4046D" w:rsidRDefault="00FC1B4C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Příloha č. 1 k výnosu ministra zemědělství č. .../2019 ze dne ... ... 2019</w:t>
      </w:r>
    </w:p>
    <w:p w:rsidR="00FC1B4C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>1. Dílčí bod 2.3 bodu 2 přílohy č. 1 výnosu se nahrazuje takto: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„2.3 Limitní hodnota emisí NOx je 320 mg/m</w:t>
      </w:r>
      <w:r>
        <w:rPr>
          <w:vertAlign w:val="superscript"/>
        </w:rPr>
        <w:t>3</w:t>
      </w:r>
      <w:r>
        <w:t xml:space="preserve"> u spalování lignitu, 300 mg/m</w:t>
      </w:r>
      <w:r>
        <w:rPr>
          <w:vertAlign w:val="superscript"/>
        </w:rPr>
        <w:t>3</w:t>
      </w:r>
      <w:r>
        <w:t xml:space="preserve"> u kotlů na kapalná paliva spalujících tuhá paliva z biomasy a 210 mg/m</w:t>
      </w:r>
      <w:r>
        <w:rPr>
          <w:vertAlign w:val="superscript"/>
        </w:rPr>
        <w:t>3</w:t>
      </w:r>
      <w:r>
        <w:t xml:space="preserve"> u kotlů spalujících ostatní tuhá paliva.“</w:t>
      </w:r>
    </w:p>
    <w:p w:rsidR="00FC1B4C" w:rsidRPr="00D4046D" w:rsidRDefault="00FC1B4C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  <w:r>
        <w:t>2. Dílčí bod 3.1 bodu 3 přílohy č. 1 výnosu se nahrazuje takto:</w:t>
      </w: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  <w:r>
        <w:t>„3.1 Limitní hodnota emisí NOx je 300 mg/m</w:t>
      </w:r>
      <w:r>
        <w:rPr>
          <w:vertAlign w:val="superscript"/>
        </w:rPr>
        <w:t>3</w:t>
      </w:r>
      <w:r>
        <w:t xml:space="preserve"> v případě dvoutaktních motorů, 225 mg/m</w:t>
      </w:r>
      <w:r>
        <w:rPr>
          <w:vertAlign w:val="superscript"/>
        </w:rPr>
        <w:t>3</w:t>
      </w:r>
      <w:r>
        <w:t xml:space="preserve"> v případě čtyřtaktních plynových motorů spalujících bioplyn a skládkový plyn, 1 650 mg/m</w:t>
      </w:r>
      <w:r>
        <w:rPr>
          <w:vertAlign w:val="superscript"/>
        </w:rPr>
        <w:t>3</w:t>
      </w:r>
      <w:r>
        <w:t xml:space="preserve"> v případě naftových motorů používaných výhradně u průzkumných vrtů a 1 500 mg/m</w:t>
      </w:r>
      <w:r>
        <w:rPr>
          <w:vertAlign w:val="superscript"/>
        </w:rPr>
        <w:t>3</w:t>
      </w:r>
      <w:r>
        <w:t xml:space="preserve"> v případě ostatních naftových motorů.“</w:t>
      </w:r>
    </w:p>
    <w:p w:rsidR="00C060D9" w:rsidRDefault="00C060D9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 Do bodu 3 přílohy č. 1 výnosu se doplňují níže uvedený dílčí bod 3.4: </w:t>
      </w: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autoSpaceDE w:val="0"/>
        <w:autoSpaceDN w:val="0"/>
        <w:adjustRightInd w:val="0"/>
        <w:jc w:val="both"/>
      </w:pPr>
      <w:r>
        <w:t>„3.4 Limitní hodnota emisí TOC v případě plynových motorů používajících zemní plyn s obsahem etanu vyšším než 5 % bude 95 mg/m</w:t>
      </w:r>
      <w:r>
        <w:rPr>
          <w:vertAlign w:val="superscript"/>
        </w:rPr>
        <w:t>3</w:t>
      </w:r>
      <w:r>
        <w:t>.“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Příloha č. 2 k výnosu ministra zemědělství č. .../2019 ze dne ... ... 2019</w:t>
      </w:r>
    </w:p>
    <w:p w:rsidR="00FC1B4C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1. V buňce B:5 tabulky v bodě 2 přílohy č. 2 výnosu se nahrazuje údaj „1 500“ výrazem „375“.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>2. Dílčí bod 2.5 bodu 2 přílohy č. 2 výnosu nabývá účinnosti v tomto znění: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„2.3 Limitní hodnota emisí NOx je 320 mg/Nm</w:t>
      </w:r>
      <w:r>
        <w:rPr>
          <w:vertAlign w:val="superscript"/>
        </w:rPr>
        <w:t>3</w:t>
      </w:r>
      <w:r>
        <w:t xml:space="preserve"> u spalování hnědého uhlí, 300 mg/Nm</w:t>
      </w:r>
      <w:r>
        <w:rPr>
          <w:vertAlign w:val="superscript"/>
        </w:rPr>
        <w:t>3</w:t>
      </w:r>
      <w:r>
        <w:t xml:space="preserve"> u kotlů na kapalná paliva spalujících tuhá paliva z biomasy a 210 mg/Nm</w:t>
      </w:r>
      <w:r>
        <w:rPr>
          <w:vertAlign w:val="superscript"/>
        </w:rPr>
        <w:t>3</w:t>
      </w:r>
      <w:r>
        <w:t xml:space="preserve"> u kotlů spalujících ostatní tuhá paliva.“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DD14C1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>3. Dílčí bod 3.3 bodu 3 přílohy č. 2 výnosu nabývá účinnosti v tomto znění:</w:t>
      </w:r>
    </w:p>
    <w:p w:rsidR="00DD14C1" w:rsidRPr="00D4046D" w:rsidRDefault="00DD14C1" w:rsidP="004A4164">
      <w:pPr>
        <w:keepNext/>
        <w:keepLines/>
        <w:autoSpaceDE w:val="0"/>
        <w:autoSpaceDN w:val="0"/>
        <w:adjustRightInd w:val="0"/>
        <w:jc w:val="both"/>
      </w:pP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>„3.3 Limitní hodnota emisí NOx je 1 850 mg/Nm</w:t>
      </w:r>
      <w:r>
        <w:rPr>
          <w:vertAlign w:val="superscript"/>
        </w:rPr>
        <w:t>3</w:t>
      </w:r>
      <w:r>
        <w:t xml:space="preserve"> v následujících případech:</w:t>
      </w: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>a)</w:t>
      </w:r>
      <w:r>
        <w:tab/>
        <w:t>v případě naftových motorů, jejichž konstrukce započala před dnem 18. května 2006;</w:t>
      </w:r>
    </w:p>
    <w:p w:rsidR="00FC1B4C" w:rsidRPr="00D4046D" w:rsidRDefault="00DD14C1" w:rsidP="004A4164">
      <w:pPr>
        <w:autoSpaceDE w:val="0"/>
        <w:autoSpaceDN w:val="0"/>
        <w:adjustRightInd w:val="0"/>
        <w:jc w:val="both"/>
      </w:pPr>
      <w:r>
        <w:t>b)</w:t>
      </w:r>
      <w:r>
        <w:tab/>
        <w:t>v případě dvoupalivových motorů v kapalném režimu.“</w:t>
      </w:r>
    </w:p>
    <w:p w:rsidR="00400308" w:rsidRDefault="00400308" w:rsidP="004A4164"/>
    <w:p w:rsidR="004A4164" w:rsidRPr="00D4046D" w:rsidRDefault="004A4164" w:rsidP="004A4164"/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 Do bodu 3 přílohy č. 2 výnosu se doplní níže uvedený dílčí bod 3.8: </w:t>
      </w:r>
    </w:p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</w:p>
    <w:p w:rsidR="00400308" w:rsidRPr="00D4046D" w:rsidRDefault="00400308" w:rsidP="004A4164">
      <w:pPr>
        <w:autoSpaceDE w:val="0"/>
        <w:autoSpaceDN w:val="0"/>
        <w:adjustRightInd w:val="0"/>
        <w:jc w:val="both"/>
      </w:pPr>
      <w:r>
        <w:t>„3.8 Limitní hodnota emisí TOC v případě plynových motorů používajících zemní plyn s obsahem etanu vyšším než 5 % bude 95 mg/m</w:t>
      </w:r>
      <w:r>
        <w:rPr>
          <w:vertAlign w:val="superscript"/>
        </w:rPr>
        <w:t>3</w:t>
      </w:r>
      <w:r>
        <w:t>.“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Příloha č. 3 k výnosu ministra zemědělství č. .../2019 ze dne ... ... 2019</w:t>
      </w:r>
    </w:p>
    <w:p w:rsidR="00FC1B4C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1. V buňce B:5 tabulky v bodě 2 přílohy č. 3 výnosu se nahrazuje údaj „1 500“ výrazem „375“.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>2. Dílčí bod 2.6 bodu 2 přílohy č. 3 výnosu nabývá účinnosti v tomto znění: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„2.6 Limitní hodnota emisí NOx je 320 mg/m</w:t>
      </w:r>
      <w:r>
        <w:rPr>
          <w:vertAlign w:val="superscript"/>
        </w:rPr>
        <w:t>3</w:t>
      </w:r>
      <w:r>
        <w:t xml:space="preserve"> u spalování lignitu, 300 mg/m</w:t>
      </w:r>
      <w:r>
        <w:rPr>
          <w:vertAlign w:val="superscript"/>
        </w:rPr>
        <w:t>3</w:t>
      </w:r>
      <w:r>
        <w:t xml:space="preserve"> u kotlů na kapalná paliva spalujících tuhá paliva z biomasy a 210 mg/m</w:t>
      </w:r>
      <w:r>
        <w:rPr>
          <w:vertAlign w:val="superscript"/>
        </w:rPr>
        <w:t>3</w:t>
      </w:r>
      <w:r>
        <w:t xml:space="preserve"> u kotlů spalujících ostatní tuhá paliva.“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>3. Dílčí bod 3.2 bodu 3 přílohy č. 3 výnosu nabývá účinnosti v tomto znění:</w:t>
      </w:r>
    </w:p>
    <w:p w:rsidR="00F86AAE" w:rsidRPr="00D4046D" w:rsidRDefault="00F86AAE" w:rsidP="004A4164">
      <w:pPr>
        <w:keepNext/>
        <w:keepLines/>
      </w:pPr>
    </w:p>
    <w:p w:rsidR="00F86AAE" w:rsidRPr="00D4046D" w:rsidRDefault="00F86AAE" w:rsidP="004A4164">
      <w:r>
        <w:t>„3.2 Limitní hodnota emisí NOx je 1 500 mg/Nm</w:t>
      </w:r>
      <w:r>
        <w:rPr>
          <w:vertAlign w:val="superscript"/>
        </w:rPr>
        <w:t>3</w:t>
      </w:r>
      <w:r>
        <w:t xml:space="preserve"> v následujících případech:</w:t>
      </w:r>
    </w:p>
    <w:p w:rsidR="00F86AAE" w:rsidRPr="00D4046D" w:rsidRDefault="00F86AAE" w:rsidP="004A4164">
      <w:r>
        <w:t>a)</w:t>
      </w:r>
      <w:r>
        <w:tab/>
        <w:t>v případě naftových motorů, jejichž konstrukce započala před dnem 18. května 2006;</w:t>
      </w:r>
    </w:p>
    <w:p w:rsidR="00A00383" w:rsidRPr="00D4046D" w:rsidRDefault="00F86AAE" w:rsidP="004A4164">
      <w:r>
        <w:t>b)</w:t>
      </w:r>
      <w:r>
        <w:tab/>
        <w:t>v případě dvoupalivových motorů v kapalném režimu.“</w:t>
      </w:r>
    </w:p>
    <w:p w:rsidR="00A00383" w:rsidRDefault="00A00383" w:rsidP="004A4164"/>
    <w:p w:rsidR="004A4164" w:rsidRPr="00D4046D" w:rsidRDefault="004A4164" w:rsidP="004A4164"/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 Bod 3 přílohy č. 3 výnosu nabývá účinnosti s následujícími dílčími body 3.9 a 3.10: </w:t>
      </w:r>
    </w:p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</w:p>
    <w:p w:rsidR="00D4046D" w:rsidRPr="00D4046D" w:rsidRDefault="00A00383" w:rsidP="004A4164">
      <w:pPr>
        <w:autoSpaceDE w:val="0"/>
        <w:autoSpaceDN w:val="0"/>
        <w:adjustRightInd w:val="0"/>
        <w:jc w:val="both"/>
      </w:pPr>
      <w:r>
        <w:t>„3.9 Limitní hodnota emisí TOC v případě plynových motorů používajících zemní plyn s obsahem etanu vyšším než 5 % je 95 mg/m</w:t>
      </w:r>
      <w:r>
        <w:rPr>
          <w:vertAlign w:val="superscript"/>
        </w:rPr>
        <w:t>3</w:t>
      </w:r>
      <w:r>
        <w:t>.</w:t>
      </w:r>
    </w:p>
    <w:p w:rsidR="00380F30" w:rsidRPr="00D4046D" w:rsidRDefault="00380F30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3.10 V případě plynových motorů uvedených do provozu před 1. lednem 1994, které se používají k provozování plynových kompresorových stanic nezbytných k zajištění bezpečnosti a ochrany soustavy pro přepravu plynu, je limitní hodnota emisí CO v případě čtyřtaktního motoru 375 mg/m</w:t>
      </w:r>
      <w:r>
        <w:rPr>
          <w:vertAlign w:val="superscript"/>
        </w:rPr>
        <w:t>3</w:t>
      </w:r>
      <w:r>
        <w:t>, v případě dvoutaktního motoru je to 320 mg/m</w:t>
      </w:r>
      <w:r>
        <w:rPr>
          <w:vertAlign w:val="superscript"/>
        </w:rPr>
        <w:t>3</w:t>
      </w:r>
      <w:r>
        <w:t xml:space="preserve"> a limitní hodnota emisí TOC je 115 mg/m</w:t>
      </w:r>
      <w:r>
        <w:rPr>
          <w:vertAlign w:val="superscript"/>
        </w:rPr>
        <w:t>3</w:t>
      </w:r>
      <w:r>
        <w:t xml:space="preserve"> až do 1. ledna 2030.“</w:t>
      </w:r>
    </w:p>
    <w:p w:rsidR="00F94FF8" w:rsidRPr="00D4046D" w:rsidRDefault="00F94FF8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Příloha č. 4 k výnosu ministra zemědělství č. .../2019 ze dne ... ... 2019</w:t>
      </w:r>
    </w:p>
    <w:p w:rsidR="00846AD7" w:rsidRPr="00D4046D" w:rsidRDefault="00846AD7" w:rsidP="004A4164">
      <w:pPr>
        <w:keepNext/>
        <w:keepLines/>
      </w:pPr>
    </w:p>
    <w:p w:rsidR="00F94FF8" w:rsidRPr="00D4046D" w:rsidRDefault="00F94FF8" w:rsidP="004A4164">
      <w:pPr>
        <w:keepNext/>
        <w:keepLines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  <w:r>
        <w:t>1. Dílčí bod 2.5 bodu 2 přílohy č. 4 výnosu se nahrazuje takto: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„2.5 Limitní hodnota emisí NOx je 320 mg/m</w:t>
      </w:r>
      <w:r>
        <w:rPr>
          <w:vertAlign w:val="superscript"/>
        </w:rPr>
        <w:t>3</w:t>
      </w:r>
      <w:r>
        <w:t xml:space="preserve"> u spalování lignitu, 300 mg/m</w:t>
      </w:r>
      <w:r>
        <w:rPr>
          <w:vertAlign w:val="superscript"/>
        </w:rPr>
        <w:t>3</w:t>
      </w:r>
      <w:r>
        <w:t xml:space="preserve"> u kotlů na kapalná paliva spalujících tuhá paliva z biomasy a 210 mg/m</w:t>
      </w:r>
      <w:r>
        <w:rPr>
          <w:vertAlign w:val="superscript"/>
        </w:rPr>
        <w:t>3</w:t>
      </w:r>
      <w:r>
        <w:t xml:space="preserve"> u kotlů spalujících ostatní tuhá paliva.“</w:t>
      </w:r>
    </w:p>
    <w:p w:rsidR="00F94FF8" w:rsidRDefault="00F94FF8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  <w:r>
        <w:t>2. Dílčí bod 3.3 bodu 3 přílohy č. 4 výnosu se nahrazuje takto: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EF21F5" w:rsidRDefault="00FE7228" w:rsidP="004A4164">
      <w:pPr>
        <w:autoSpaceDE w:val="0"/>
        <w:autoSpaceDN w:val="0"/>
        <w:adjustRightInd w:val="0"/>
        <w:jc w:val="both"/>
      </w:pPr>
      <w:r>
        <w:t>„3.3 Limitní hodno</w:t>
      </w:r>
      <w:r w:rsidR="00C2002B">
        <w:t>ta emisí NOx u naftových motorů,</w:t>
      </w:r>
      <w:r>
        <w:t xml:space="preserve"> pokud jsou jejich emise NOx omezeny vlivem primárních opatření, je 1 650 mg/m</w:t>
      </w:r>
      <w:r>
        <w:rPr>
          <w:vertAlign w:val="superscript"/>
        </w:rPr>
        <w:t>3</w:t>
      </w:r>
      <w:r>
        <w:t xml:space="preserve"> v případě naftových motorů používaných výhradně při průzkumných vrtech a 1 500</w:t>
      </w:r>
      <w:r w:rsidR="00B95DA0">
        <w:t xml:space="preserve"> </w:t>
      </w:r>
      <w:r>
        <w:t>mg/m</w:t>
      </w:r>
      <w:r>
        <w:rPr>
          <w:vertAlign w:val="superscript"/>
        </w:rPr>
        <w:t>3</w:t>
      </w:r>
      <w:r>
        <w:t xml:space="preserve"> v případě ostatních naftových motorů.“</w:t>
      </w:r>
    </w:p>
    <w:p w:rsidR="00D92A3F" w:rsidRDefault="00D92A3F" w:rsidP="004A4164">
      <w:pPr>
        <w:autoSpaceDE w:val="0"/>
        <w:autoSpaceDN w:val="0"/>
        <w:adjustRightInd w:val="0"/>
        <w:jc w:val="both"/>
      </w:pPr>
    </w:p>
    <w:p w:rsidR="004A4164" w:rsidRPr="00EF21F5" w:rsidRDefault="004A4164" w:rsidP="004A4164">
      <w:pPr>
        <w:autoSpaceDE w:val="0"/>
        <w:autoSpaceDN w:val="0"/>
        <w:adjustRightInd w:val="0"/>
        <w:jc w:val="both"/>
      </w:pP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  <w:r>
        <w:t>3. Do bodu 3 přílohy č. 4 výnosu se doplní níže uvedený dílčí bod 3.8:</w:t>
      </w: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D4046D" w:rsidRDefault="003758D5" w:rsidP="004A4164">
      <w:pPr>
        <w:autoSpaceDE w:val="0"/>
        <w:autoSpaceDN w:val="0"/>
        <w:adjustRightInd w:val="0"/>
        <w:jc w:val="both"/>
      </w:pPr>
      <w:r>
        <w:t>„3.8 Limitní hodnota emisí TOC v případě plynových motorů používajících zemní plyn s obsahem etanu vyšším než 5 % bude 95 mg/m</w:t>
      </w:r>
      <w:r>
        <w:rPr>
          <w:vertAlign w:val="superscript"/>
        </w:rPr>
        <w:t>3</w:t>
      </w:r>
      <w:r>
        <w:t>.“</w:t>
      </w:r>
    </w:p>
    <w:p w:rsidR="001733D0" w:rsidRPr="00D4046D" w:rsidRDefault="001733D0" w:rsidP="004A4164">
      <w:pPr>
        <w:keepNext/>
        <w:keepLines/>
        <w:pageBreakBefore/>
        <w:jc w:val="right"/>
        <w:rPr>
          <w:i/>
        </w:rPr>
      </w:pPr>
      <w:r>
        <w:rPr>
          <w:i/>
        </w:rPr>
        <w:t>Příloha č. 5 k výnosu ministra zemědělství č. .../2019 ze dne ... ... 2019</w:t>
      </w:r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F94FF8" w:rsidRPr="00D4046D" w:rsidRDefault="001733D0" w:rsidP="004A4164">
      <w:pPr>
        <w:autoSpaceDE w:val="0"/>
        <w:autoSpaceDN w:val="0"/>
        <w:adjustRightInd w:val="0"/>
        <w:jc w:val="both"/>
      </w:pPr>
      <w:r>
        <w:t xml:space="preserve">1. V buňce B:5 tabulky v bodě 2 přílohy č. 5 výnosu se nahrazuje údaj „1 500“ výrazem „375“. </w:t>
      </w:r>
    </w:p>
    <w:p w:rsidR="00F94FF8" w:rsidRDefault="00F94FF8" w:rsidP="004A4164">
      <w:pPr>
        <w:autoSpaceDE w:val="0"/>
        <w:autoSpaceDN w:val="0"/>
        <w:adjustRightInd w:val="0"/>
      </w:pPr>
    </w:p>
    <w:p w:rsidR="004A4164" w:rsidRPr="00D4046D" w:rsidRDefault="004A4164" w:rsidP="004A4164">
      <w:pPr>
        <w:autoSpaceDE w:val="0"/>
        <w:autoSpaceDN w:val="0"/>
        <w:adjustRightInd w:val="0"/>
      </w:pPr>
    </w:p>
    <w:p w:rsidR="00F94FF8" w:rsidRPr="00D4046D" w:rsidRDefault="001733D0" w:rsidP="004A4164">
      <w:pPr>
        <w:keepNext/>
        <w:keepLines/>
        <w:autoSpaceDE w:val="0"/>
        <w:autoSpaceDN w:val="0"/>
        <w:adjustRightInd w:val="0"/>
      </w:pPr>
      <w:r>
        <w:t>2. Dílčí body 2.3 a 2.4 bodu 2 přílohy č. 5 výnosu se nahrazují takto: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„2.3 Limitní hodnota emisí NOx v případě spalovacích zařízení spalujících tuh paliva o celkovém jmenovitém tepelném příkonu rovném nebo vyšším než 1 MW</w:t>
      </w:r>
      <w:r>
        <w:rPr>
          <w:vertAlign w:val="subscript"/>
        </w:rPr>
        <w:t>th</w:t>
      </w:r>
      <w:r>
        <w:t>, ale nižším než 5 MW</w:t>
      </w:r>
      <w:r>
        <w:rPr>
          <w:vertAlign w:val="subscript"/>
        </w:rPr>
        <w:t>th</w:t>
      </w:r>
      <w:r>
        <w:t xml:space="preserve"> je 500 mg/Nm</w:t>
      </w:r>
      <w:r>
        <w:rPr>
          <w:vertAlign w:val="superscript"/>
        </w:rPr>
        <w:t>3</w:t>
      </w:r>
      <w:r>
        <w:t xml:space="preserve"> s tou výjimkou, že v případě spalování hnědého uhlí je tato hodnota 320 mg/Nm</w:t>
      </w:r>
      <w:r>
        <w:rPr>
          <w:vertAlign w:val="superscript"/>
        </w:rPr>
        <w:t>3</w:t>
      </w:r>
      <w:r>
        <w:t xml:space="preserve"> a v případě kotlů na kapalná paliva spalujících tuhá paliva z biomasy je tato hodnota 300 mg/Nm</w:t>
      </w:r>
      <w:r>
        <w:rPr>
          <w:vertAlign w:val="superscript"/>
        </w:rPr>
        <w:t>3</w:t>
      </w:r>
      <w:r>
        <w:t>.</w:t>
      </w: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2.4 Limitní hodnota emisí pro NOx pro kotle na kapalná paliva spalující jiná tuhá paliva je 210 mg/Nm</w:t>
      </w:r>
      <w:r>
        <w:rPr>
          <w:vertAlign w:val="superscript"/>
        </w:rPr>
        <w:t>3</w:t>
      </w:r>
      <w:r>
        <w:t>.“</w:t>
      </w:r>
    </w:p>
    <w:p w:rsidR="001733D0" w:rsidRDefault="001733D0" w:rsidP="004A4164"/>
    <w:p w:rsidR="004A4164" w:rsidRPr="00D4046D" w:rsidRDefault="004A4164" w:rsidP="004A4164"/>
    <w:p w:rsidR="001733D0" w:rsidRPr="00D4046D" w:rsidRDefault="001733D0" w:rsidP="004A4164">
      <w:pPr>
        <w:keepNext/>
        <w:keepLines/>
        <w:autoSpaceDE w:val="0"/>
        <w:autoSpaceDN w:val="0"/>
        <w:adjustRightInd w:val="0"/>
      </w:pPr>
      <w:r>
        <w:t>3. Dílčí bod 3.2 bodu 3 přílohy č. 5 výnosu se nahrazuje takto:</w:t>
      </w:r>
    </w:p>
    <w:p w:rsidR="001733D0" w:rsidRPr="00D4046D" w:rsidRDefault="001733D0" w:rsidP="004A4164">
      <w:pPr>
        <w:keepNext/>
        <w:keepLines/>
      </w:pPr>
    </w:p>
    <w:p w:rsidR="001733D0" w:rsidRPr="00D4046D" w:rsidRDefault="001733D0" w:rsidP="004A4164">
      <w:pPr>
        <w:jc w:val="both"/>
      </w:pPr>
      <w:r>
        <w:t>„3.2 V případě motorů, které jsou v provozu 500–1 500 hodin za rok, pokud jsou jejich emise NOx omezené z důvodu primárních opatření, platí níže uvedené limitní hodnoty emisí pro NOx:</w:t>
      </w:r>
    </w:p>
    <w:p w:rsidR="001733D0" w:rsidRPr="00D4046D" w:rsidRDefault="001733D0" w:rsidP="004A4164">
      <w:pPr>
        <w:jc w:val="both"/>
      </w:pPr>
      <w:r>
        <w:t>a) 1 300 mg/Nm</w:t>
      </w:r>
      <w:r>
        <w:rPr>
          <w:vertAlign w:val="superscript"/>
        </w:rPr>
        <w:t xml:space="preserve">3 </w:t>
      </w:r>
      <w:r>
        <w:t>pro naftové motory s celkovým jmenovitým tepelným příkonem do 20 MW</w:t>
      </w:r>
      <w:r>
        <w:rPr>
          <w:vertAlign w:val="subscript"/>
        </w:rPr>
        <w:t>th</w:t>
      </w:r>
      <w:r>
        <w:t xml:space="preserve"> při ≤ 1 200 r/min;</w:t>
      </w:r>
    </w:p>
    <w:p w:rsidR="001733D0" w:rsidRPr="00EF21F5" w:rsidRDefault="001733D0" w:rsidP="004A4164">
      <w:pPr>
        <w:jc w:val="both"/>
      </w:pPr>
      <w:r>
        <w:t>b) 1 500 mg/Nm</w:t>
      </w:r>
      <w:r>
        <w:rPr>
          <w:vertAlign w:val="superscript"/>
        </w:rPr>
        <w:t xml:space="preserve">3 </w:t>
      </w:r>
      <w:r>
        <w:t>pro dieselové motory s celkovým jmenovitým tepelným příkonem nejvýše 20 MW</w:t>
      </w:r>
      <w:r>
        <w:rPr>
          <w:vertAlign w:val="subscript"/>
        </w:rPr>
        <w:t>th</w:t>
      </w:r>
      <w:r>
        <w:t xml:space="preserve"> a pro dvoupalivové motory v kapalném režimu;</w:t>
      </w:r>
    </w:p>
    <w:p w:rsidR="007A2FAA" w:rsidRPr="00EF21F5" w:rsidRDefault="001733D0" w:rsidP="004A4164">
      <w:pPr>
        <w:jc w:val="both"/>
      </w:pPr>
      <w:r>
        <w:t>c) 750 mg/Nm</w:t>
      </w:r>
      <w:r>
        <w:rPr>
          <w:vertAlign w:val="superscript"/>
        </w:rPr>
        <w:t>3</w:t>
      </w:r>
      <w:r>
        <w:t xml:space="preserve"> u naftových motorů s &gt; 1 200 r/min;</w:t>
      </w:r>
    </w:p>
    <w:p w:rsidR="00F94FF8" w:rsidRPr="00EF21F5" w:rsidRDefault="007A2FAA" w:rsidP="004A4164">
      <w:pPr>
        <w:jc w:val="both"/>
      </w:pPr>
      <w:r>
        <w:t>d) 380 mg/Nm</w:t>
      </w:r>
      <w:r>
        <w:rPr>
          <w:vertAlign w:val="superscript"/>
        </w:rPr>
        <w:t>3</w:t>
      </w:r>
      <w:r>
        <w:t xml:space="preserve"> u dvoupalivových motorů v plynovém režimu.“</w:t>
      </w:r>
    </w:p>
    <w:p w:rsidR="00C828A5" w:rsidRDefault="00C828A5" w:rsidP="004A4164">
      <w:pPr>
        <w:jc w:val="both"/>
      </w:pPr>
    </w:p>
    <w:p w:rsidR="004A4164" w:rsidRPr="00EF21F5" w:rsidRDefault="004A4164" w:rsidP="004A4164">
      <w:pPr>
        <w:jc w:val="both"/>
      </w:pPr>
    </w:p>
    <w:p w:rsidR="003758D5" w:rsidRPr="00EF21F5" w:rsidRDefault="003758D5" w:rsidP="004A4164">
      <w:pPr>
        <w:keepNext/>
        <w:keepLines/>
      </w:pPr>
      <w:r>
        <w:t>4. Do bodu 3 přílohy č. 5 výnosu se doplní níže uvedený dílčí bod 3.9:</w:t>
      </w:r>
    </w:p>
    <w:p w:rsidR="003758D5" w:rsidRPr="00EF21F5" w:rsidRDefault="003758D5" w:rsidP="004A4164">
      <w:pPr>
        <w:keepNext/>
        <w:keepLines/>
      </w:pPr>
    </w:p>
    <w:p w:rsidR="00C828A5" w:rsidRPr="00C828A5" w:rsidRDefault="003758D5" w:rsidP="004A4164">
      <w:pPr>
        <w:rPr>
          <w:rFonts w:eastAsiaTheme="minorHAnsi"/>
        </w:rPr>
      </w:pPr>
      <w:r>
        <w:t>„3.9 Limitní hodnota emisí TOC v případě plynových motorů používajících zemní plyn s obsahem etanu vyšším než 5 % bude 95 mg/m</w:t>
      </w:r>
      <w:r>
        <w:rPr>
          <w:vertAlign w:val="superscript"/>
        </w:rPr>
        <w:t>3</w:t>
      </w:r>
      <w:r>
        <w:t>.“</w:t>
      </w:r>
    </w:p>
    <w:sectPr w:rsidR="00C828A5" w:rsidRPr="00C828A5" w:rsidSect="00034634">
      <w:headerReference w:type="default" r:id="rId9"/>
      <w:footerReference w:type="default" r:id="rId10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CE" w:rsidRDefault="00B312CE">
      <w:r>
        <w:separator/>
      </w:r>
    </w:p>
  </w:endnote>
  <w:endnote w:type="continuationSeparator" w:id="0">
    <w:p w:rsidR="00B312CE" w:rsidRDefault="00B3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988"/>
      <w:gridCol w:w="4235"/>
      <w:gridCol w:w="2685"/>
    </w:tblGrid>
    <w:tr w:rsidR="00F80E39" w:rsidRPr="008430F8" w:rsidTr="004A4164">
      <w:trPr>
        <w:cantSplit/>
      </w:trPr>
      <w:tc>
        <w:tcPr>
          <w:tcW w:w="1508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Vyhotovil/a: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 Hunor Orban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vedoucí oddělení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+36 (1) 795 5859</w:t>
          </w:r>
        </w:p>
        <w:p w:rsidR="00F80E39" w:rsidRPr="008430F8" w:rsidRDefault="00B312CE" w:rsidP="00A00383">
          <w:pPr>
            <w:pStyle w:val="Footer"/>
            <w:jc w:val="center"/>
            <w:rPr>
              <w:i/>
              <w:sz w:val="16"/>
              <w:szCs w:val="16"/>
            </w:rPr>
          </w:pPr>
          <w:hyperlink r:id="rId1">
            <w:r w:rsidR="002125C2">
              <w:rPr>
                <w:rStyle w:val="Hyperlink"/>
                <w:i/>
                <w:sz w:val="16"/>
              </w:rPr>
              <w:t>hunor.orban@am.gov.hu</w:t>
            </w:r>
          </w:hyperlink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</w:rPr>
            <w:t>Dr Tamás Andréka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vedoucí oddělení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+36 (1) 795 3801</w:t>
          </w:r>
        </w:p>
        <w:p w:rsidR="00F80E39" w:rsidRPr="008430F8" w:rsidRDefault="00B312CE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hyperlink r:id="rId2">
            <w:r w:rsidR="002125C2">
              <w:rPr>
                <w:rStyle w:val="Hyperlink"/>
                <w:i/>
                <w:sz w:val="16"/>
              </w:rPr>
              <w:t>tamas.andreka@am.gov.hu</w:t>
            </w:r>
          </w:hyperlink>
        </w:p>
      </w:tc>
      <w:tc>
        <w:tcPr>
          <w:tcW w:w="2137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Přezkoumal/a: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Tibor Zoltán László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Náměstek státní ministryně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 András Rácz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státní ministr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Tomasitz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státní ministr</w:t>
          </w:r>
        </w:p>
      </w:tc>
      <w:tc>
        <w:tcPr>
          <w:tcW w:w="1355" w:type="pct"/>
          <w:hideMark/>
        </w:tcPr>
        <w:p w:rsidR="00F80E39" w:rsidRPr="001F2F45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Schválil/a:</w:t>
          </w: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Nagy</w:t>
          </w:r>
        </w:p>
        <w:p w:rsidR="00F80E39" w:rsidRPr="008430F8" w:rsidRDefault="00F80E39" w:rsidP="004A4164">
          <w:pPr>
            <w:pStyle w:val="Footer"/>
            <w:jc w:val="center"/>
            <w:rPr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ministrem</w:t>
          </w:r>
        </w:p>
      </w:tc>
    </w:tr>
  </w:tbl>
  <w:p w:rsidR="00F80E39" w:rsidRPr="00BE1C91" w:rsidRDefault="00F80E39" w:rsidP="00BE1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CE" w:rsidRDefault="00B312CE">
      <w:r>
        <w:separator/>
      </w:r>
    </w:p>
  </w:footnote>
  <w:footnote w:type="continuationSeparator" w:id="0">
    <w:p w:rsidR="00B312CE" w:rsidRDefault="00B3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39" w:rsidRDefault="00F80E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312C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C8ED10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7AC1137"/>
    <w:multiLevelType w:val="hybridMultilevel"/>
    <w:tmpl w:val="AA70FEA4"/>
    <w:lvl w:ilvl="0" w:tplc="63DA0A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2C7999"/>
    <w:multiLevelType w:val="hybridMultilevel"/>
    <w:tmpl w:val="5E6810F6"/>
    <w:lvl w:ilvl="0" w:tplc="B1AA7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7" w15:restartNumberingAfterBreak="0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D7D"/>
    <w:multiLevelType w:val="hybridMultilevel"/>
    <w:tmpl w:val="3ADC8102"/>
    <w:lvl w:ilvl="0" w:tplc="7B061F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04AA"/>
    <w:multiLevelType w:val="hybridMultilevel"/>
    <w:tmpl w:val="69A41C20"/>
    <w:lvl w:ilvl="0" w:tplc="80386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B43AF"/>
    <w:multiLevelType w:val="hybridMultilevel"/>
    <w:tmpl w:val="31F860A8"/>
    <w:lvl w:ilvl="0" w:tplc="BF6E6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C1775"/>
    <w:multiLevelType w:val="hybridMultilevel"/>
    <w:tmpl w:val="D04C7A1E"/>
    <w:lvl w:ilvl="0" w:tplc="1D1E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 w15:restartNumberingAfterBreak="0">
    <w:nsid w:val="3ABB52B6"/>
    <w:multiLevelType w:val="hybridMultilevel"/>
    <w:tmpl w:val="7904F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2F1E"/>
    <w:multiLevelType w:val="hybridMultilevel"/>
    <w:tmpl w:val="E042DE26"/>
    <w:lvl w:ilvl="0" w:tplc="E0C6CA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237B5"/>
    <w:multiLevelType w:val="hybridMultilevel"/>
    <w:tmpl w:val="B3682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80072"/>
    <w:multiLevelType w:val="hybridMultilevel"/>
    <w:tmpl w:val="A190BF10"/>
    <w:lvl w:ilvl="0" w:tplc="1D28F45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54844"/>
    <w:multiLevelType w:val="hybridMultilevel"/>
    <w:tmpl w:val="767013BC"/>
    <w:lvl w:ilvl="0" w:tplc="BF7815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2547F8"/>
    <w:multiLevelType w:val="hybridMultilevel"/>
    <w:tmpl w:val="2C88C7C6"/>
    <w:lvl w:ilvl="0" w:tplc="A7D6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3091C"/>
    <w:multiLevelType w:val="hybridMultilevel"/>
    <w:tmpl w:val="3D6CB02C"/>
    <w:lvl w:ilvl="0" w:tplc="8936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40F55AC"/>
    <w:multiLevelType w:val="hybridMultilevel"/>
    <w:tmpl w:val="E4785FB6"/>
    <w:lvl w:ilvl="0" w:tplc="42949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0681"/>
    <w:multiLevelType w:val="hybridMultilevel"/>
    <w:tmpl w:val="7F86C5B0"/>
    <w:lvl w:ilvl="0" w:tplc="27C40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7"/>
  </w:num>
  <w:num w:numId="5">
    <w:abstractNumId w:val="53"/>
  </w:num>
  <w:num w:numId="6">
    <w:abstractNumId w:val="38"/>
  </w:num>
  <w:num w:numId="7">
    <w:abstractNumId w:val="6"/>
  </w:num>
  <w:num w:numId="8">
    <w:abstractNumId w:val="13"/>
  </w:num>
  <w:num w:numId="9">
    <w:abstractNumId w:val="39"/>
  </w:num>
  <w:num w:numId="10">
    <w:abstractNumId w:val="41"/>
  </w:num>
  <w:num w:numId="11">
    <w:abstractNumId w:val="28"/>
  </w:num>
  <w:num w:numId="12">
    <w:abstractNumId w:val="49"/>
  </w:num>
  <w:num w:numId="13">
    <w:abstractNumId w:val="51"/>
  </w:num>
  <w:num w:numId="14">
    <w:abstractNumId w:val="21"/>
  </w:num>
  <w:num w:numId="15">
    <w:abstractNumId w:val="30"/>
  </w:num>
  <w:num w:numId="16">
    <w:abstractNumId w:val="11"/>
  </w:num>
  <w:num w:numId="17">
    <w:abstractNumId w:val="36"/>
  </w:num>
  <w:num w:numId="18">
    <w:abstractNumId w:val="26"/>
  </w:num>
  <w:num w:numId="19">
    <w:abstractNumId w:val="12"/>
  </w:num>
  <w:num w:numId="20">
    <w:abstractNumId w:val="56"/>
  </w:num>
  <w:num w:numId="21">
    <w:abstractNumId w:val="52"/>
  </w:num>
  <w:num w:numId="22">
    <w:abstractNumId w:val="55"/>
  </w:num>
  <w:num w:numId="23">
    <w:abstractNumId w:val="29"/>
  </w:num>
  <w:num w:numId="24">
    <w:abstractNumId w:val="2"/>
  </w:num>
  <w:num w:numId="25">
    <w:abstractNumId w:val="46"/>
  </w:num>
  <w:num w:numId="26">
    <w:abstractNumId w:val="25"/>
  </w:num>
  <w:num w:numId="27">
    <w:abstractNumId w:val="15"/>
  </w:num>
  <w:num w:numId="28">
    <w:abstractNumId w:val="35"/>
  </w:num>
  <w:num w:numId="29">
    <w:abstractNumId w:val="34"/>
  </w:num>
  <w:num w:numId="30">
    <w:abstractNumId w:val="16"/>
  </w:num>
  <w:num w:numId="31">
    <w:abstractNumId w:val="23"/>
  </w:num>
  <w:num w:numId="32">
    <w:abstractNumId w:val="10"/>
  </w:num>
  <w:num w:numId="33">
    <w:abstractNumId w:val="5"/>
  </w:num>
  <w:num w:numId="34">
    <w:abstractNumId w:val="50"/>
  </w:num>
  <w:num w:numId="35">
    <w:abstractNumId w:val="19"/>
  </w:num>
  <w:num w:numId="36">
    <w:abstractNumId w:val="43"/>
  </w:num>
  <w:num w:numId="37">
    <w:abstractNumId w:val="24"/>
  </w:num>
  <w:num w:numId="38">
    <w:abstractNumId w:val="4"/>
  </w:num>
  <w:num w:numId="39">
    <w:abstractNumId w:val="8"/>
  </w:num>
  <w:num w:numId="40">
    <w:abstractNumId w:val="33"/>
  </w:num>
  <w:num w:numId="41">
    <w:abstractNumId w:val="17"/>
  </w:num>
  <w:num w:numId="42">
    <w:abstractNumId w:val="54"/>
  </w:num>
  <w:num w:numId="43">
    <w:abstractNumId w:val="32"/>
  </w:num>
  <w:num w:numId="44">
    <w:abstractNumId w:val="18"/>
  </w:num>
  <w:num w:numId="45">
    <w:abstractNumId w:val="31"/>
  </w:num>
  <w:num w:numId="46">
    <w:abstractNumId w:val="42"/>
  </w:num>
  <w:num w:numId="47">
    <w:abstractNumId w:val="22"/>
  </w:num>
  <w:num w:numId="48">
    <w:abstractNumId w:val="47"/>
  </w:num>
  <w:num w:numId="49">
    <w:abstractNumId w:val="20"/>
  </w:num>
  <w:num w:numId="50">
    <w:abstractNumId w:val="3"/>
  </w:num>
  <w:num w:numId="51">
    <w:abstractNumId w:val="45"/>
  </w:num>
  <w:num w:numId="52">
    <w:abstractNumId w:val="44"/>
  </w:num>
  <w:num w:numId="53">
    <w:abstractNumId w:val="48"/>
  </w:num>
  <w:num w:numId="54">
    <w:abstractNumId w:val="9"/>
  </w:num>
  <w:num w:numId="55">
    <w:abstractNumId w:val="1"/>
  </w:num>
  <w:num w:numId="56">
    <w:abstractNumId w:val="40"/>
  </w:num>
  <w:num w:numId="57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734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1BDB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649"/>
    <w:rsid w:val="00025BAE"/>
    <w:rsid w:val="00025F54"/>
    <w:rsid w:val="00026267"/>
    <w:rsid w:val="00027582"/>
    <w:rsid w:val="0003010B"/>
    <w:rsid w:val="00030C3E"/>
    <w:rsid w:val="00030C8E"/>
    <w:rsid w:val="00031562"/>
    <w:rsid w:val="00033D2A"/>
    <w:rsid w:val="00034634"/>
    <w:rsid w:val="00036C04"/>
    <w:rsid w:val="00036D14"/>
    <w:rsid w:val="00037664"/>
    <w:rsid w:val="00037A82"/>
    <w:rsid w:val="00037DC4"/>
    <w:rsid w:val="00040430"/>
    <w:rsid w:val="00041469"/>
    <w:rsid w:val="00041FCC"/>
    <w:rsid w:val="00042265"/>
    <w:rsid w:val="000434E1"/>
    <w:rsid w:val="000439EB"/>
    <w:rsid w:val="00044AE7"/>
    <w:rsid w:val="000477B7"/>
    <w:rsid w:val="0005065B"/>
    <w:rsid w:val="00052934"/>
    <w:rsid w:val="00052A46"/>
    <w:rsid w:val="0005378A"/>
    <w:rsid w:val="00053E13"/>
    <w:rsid w:val="00057C00"/>
    <w:rsid w:val="000601EE"/>
    <w:rsid w:val="00060E94"/>
    <w:rsid w:val="00061D37"/>
    <w:rsid w:val="00063587"/>
    <w:rsid w:val="00063976"/>
    <w:rsid w:val="00067F6D"/>
    <w:rsid w:val="00067F79"/>
    <w:rsid w:val="000701FB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4421"/>
    <w:rsid w:val="00085B41"/>
    <w:rsid w:val="00086456"/>
    <w:rsid w:val="00086C1A"/>
    <w:rsid w:val="00086F7A"/>
    <w:rsid w:val="00087C5B"/>
    <w:rsid w:val="000911EF"/>
    <w:rsid w:val="00091523"/>
    <w:rsid w:val="00091691"/>
    <w:rsid w:val="00093F20"/>
    <w:rsid w:val="00096036"/>
    <w:rsid w:val="00097EFF"/>
    <w:rsid w:val="000A0140"/>
    <w:rsid w:val="000A0D0C"/>
    <w:rsid w:val="000A0D6C"/>
    <w:rsid w:val="000A339F"/>
    <w:rsid w:val="000A36E3"/>
    <w:rsid w:val="000A3E8E"/>
    <w:rsid w:val="000A5F68"/>
    <w:rsid w:val="000A7D46"/>
    <w:rsid w:val="000B1A9E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835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070DE"/>
    <w:rsid w:val="0011146D"/>
    <w:rsid w:val="0011488B"/>
    <w:rsid w:val="00115125"/>
    <w:rsid w:val="00115E21"/>
    <w:rsid w:val="0011614B"/>
    <w:rsid w:val="001242D4"/>
    <w:rsid w:val="00124F42"/>
    <w:rsid w:val="001262C7"/>
    <w:rsid w:val="00130E91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609"/>
    <w:rsid w:val="00146C4F"/>
    <w:rsid w:val="0014750B"/>
    <w:rsid w:val="00150748"/>
    <w:rsid w:val="00151B87"/>
    <w:rsid w:val="00152530"/>
    <w:rsid w:val="00152F96"/>
    <w:rsid w:val="00153694"/>
    <w:rsid w:val="00153B28"/>
    <w:rsid w:val="00154D37"/>
    <w:rsid w:val="001550D8"/>
    <w:rsid w:val="001555BD"/>
    <w:rsid w:val="00155D74"/>
    <w:rsid w:val="0016066E"/>
    <w:rsid w:val="00161233"/>
    <w:rsid w:val="0016173A"/>
    <w:rsid w:val="00163D44"/>
    <w:rsid w:val="00164FDE"/>
    <w:rsid w:val="00166B2B"/>
    <w:rsid w:val="001726CB"/>
    <w:rsid w:val="0017288F"/>
    <w:rsid w:val="001731E7"/>
    <w:rsid w:val="001733D0"/>
    <w:rsid w:val="00173EB3"/>
    <w:rsid w:val="00175AE7"/>
    <w:rsid w:val="00175BC0"/>
    <w:rsid w:val="00175F85"/>
    <w:rsid w:val="00177C4E"/>
    <w:rsid w:val="0018146D"/>
    <w:rsid w:val="00181C0B"/>
    <w:rsid w:val="00183579"/>
    <w:rsid w:val="0018475E"/>
    <w:rsid w:val="001859EB"/>
    <w:rsid w:val="00185F2F"/>
    <w:rsid w:val="0018605A"/>
    <w:rsid w:val="001866FD"/>
    <w:rsid w:val="00186D2C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A635C"/>
    <w:rsid w:val="001B0E10"/>
    <w:rsid w:val="001B1E45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5F87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E77B8"/>
    <w:rsid w:val="001F025D"/>
    <w:rsid w:val="001F0A54"/>
    <w:rsid w:val="001F134F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10F7"/>
    <w:rsid w:val="002023B0"/>
    <w:rsid w:val="00202F9A"/>
    <w:rsid w:val="002030AB"/>
    <w:rsid w:val="00203791"/>
    <w:rsid w:val="0020655F"/>
    <w:rsid w:val="00206DCD"/>
    <w:rsid w:val="002073E6"/>
    <w:rsid w:val="00210B7F"/>
    <w:rsid w:val="00211539"/>
    <w:rsid w:val="0021161B"/>
    <w:rsid w:val="00211BC3"/>
    <w:rsid w:val="00211D2F"/>
    <w:rsid w:val="00212335"/>
    <w:rsid w:val="002125C2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588"/>
    <w:rsid w:val="00215824"/>
    <w:rsid w:val="00215C33"/>
    <w:rsid w:val="002169DE"/>
    <w:rsid w:val="00216BC0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27B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0B11"/>
    <w:rsid w:val="00233BBD"/>
    <w:rsid w:val="00233FB6"/>
    <w:rsid w:val="00234DAE"/>
    <w:rsid w:val="00235E18"/>
    <w:rsid w:val="00236666"/>
    <w:rsid w:val="002366C2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0F2B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0C24"/>
    <w:rsid w:val="0028345C"/>
    <w:rsid w:val="00284211"/>
    <w:rsid w:val="0028436E"/>
    <w:rsid w:val="0028549A"/>
    <w:rsid w:val="00285788"/>
    <w:rsid w:val="002857B5"/>
    <w:rsid w:val="00286606"/>
    <w:rsid w:val="002878B1"/>
    <w:rsid w:val="00287AE1"/>
    <w:rsid w:val="00287C04"/>
    <w:rsid w:val="00292116"/>
    <w:rsid w:val="002959F0"/>
    <w:rsid w:val="00296BDB"/>
    <w:rsid w:val="002A0514"/>
    <w:rsid w:val="002A087B"/>
    <w:rsid w:val="002A0CC8"/>
    <w:rsid w:val="002A13E9"/>
    <w:rsid w:val="002A4869"/>
    <w:rsid w:val="002A6DB8"/>
    <w:rsid w:val="002B0384"/>
    <w:rsid w:val="002B15E0"/>
    <w:rsid w:val="002B20AA"/>
    <w:rsid w:val="002B2273"/>
    <w:rsid w:val="002B3328"/>
    <w:rsid w:val="002B349F"/>
    <w:rsid w:val="002B3760"/>
    <w:rsid w:val="002B3E9C"/>
    <w:rsid w:val="002B58AE"/>
    <w:rsid w:val="002B6E5F"/>
    <w:rsid w:val="002C04C8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978"/>
    <w:rsid w:val="002D2ECE"/>
    <w:rsid w:val="002D30E3"/>
    <w:rsid w:val="002D39B8"/>
    <w:rsid w:val="002D4013"/>
    <w:rsid w:val="002D7957"/>
    <w:rsid w:val="002E14B8"/>
    <w:rsid w:val="002E1755"/>
    <w:rsid w:val="002E349B"/>
    <w:rsid w:val="002E3D60"/>
    <w:rsid w:val="002E3DC9"/>
    <w:rsid w:val="002E4930"/>
    <w:rsid w:val="002E5373"/>
    <w:rsid w:val="002E5553"/>
    <w:rsid w:val="002E5CF8"/>
    <w:rsid w:val="002E623B"/>
    <w:rsid w:val="002E6298"/>
    <w:rsid w:val="002E65BA"/>
    <w:rsid w:val="002E741E"/>
    <w:rsid w:val="002E76D8"/>
    <w:rsid w:val="002E793A"/>
    <w:rsid w:val="002F05BE"/>
    <w:rsid w:val="002F07BB"/>
    <w:rsid w:val="002F2587"/>
    <w:rsid w:val="002F2D51"/>
    <w:rsid w:val="002F3008"/>
    <w:rsid w:val="002F4316"/>
    <w:rsid w:val="002F4541"/>
    <w:rsid w:val="002F4D09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1730A"/>
    <w:rsid w:val="003200A0"/>
    <w:rsid w:val="00320D1D"/>
    <w:rsid w:val="00323084"/>
    <w:rsid w:val="00325218"/>
    <w:rsid w:val="00326CF8"/>
    <w:rsid w:val="00326F5A"/>
    <w:rsid w:val="003301AF"/>
    <w:rsid w:val="00331A0A"/>
    <w:rsid w:val="003333CF"/>
    <w:rsid w:val="00333F88"/>
    <w:rsid w:val="00334614"/>
    <w:rsid w:val="00335388"/>
    <w:rsid w:val="00335C58"/>
    <w:rsid w:val="003360E9"/>
    <w:rsid w:val="003366DB"/>
    <w:rsid w:val="00336EB2"/>
    <w:rsid w:val="003401BD"/>
    <w:rsid w:val="00340786"/>
    <w:rsid w:val="003409C4"/>
    <w:rsid w:val="003409ED"/>
    <w:rsid w:val="003411D9"/>
    <w:rsid w:val="00341394"/>
    <w:rsid w:val="00341C30"/>
    <w:rsid w:val="0034257F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58D5"/>
    <w:rsid w:val="00376747"/>
    <w:rsid w:val="003779CB"/>
    <w:rsid w:val="00380F30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0264"/>
    <w:rsid w:val="00392F41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24E6"/>
    <w:rsid w:val="003A3359"/>
    <w:rsid w:val="003A3633"/>
    <w:rsid w:val="003A4528"/>
    <w:rsid w:val="003A541B"/>
    <w:rsid w:val="003B0319"/>
    <w:rsid w:val="003B18F6"/>
    <w:rsid w:val="003B19D6"/>
    <w:rsid w:val="003B222A"/>
    <w:rsid w:val="003B2656"/>
    <w:rsid w:val="003B3A2A"/>
    <w:rsid w:val="003B410F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2176"/>
    <w:rsid w:val="003E3D8D"/>
    <w:rsid w:val="003E42E7"/>
    <w:rsid w:val="003E4487"/>
    <w:rsid w:val="003E497F"/>
    <w:rsid w:val="003E4D8D"/>
    <w:rsid w:val="003E686B"/>
    <w:rsid w:val="003F0D23"/>
    <w:rsid w:val="003F2491"/>
    <w:rsid w:val="003F34DD"/>
    <w:rsid w:val="003F38A3"/>
    <w:rsid w:val="003F45EE"/>
    <w:rsid w:val="003F6227"/>
    <w:rsid w:val="003F7732"/>
    <w:rsid w:val="003F7FFE"/>
    <w:rsid w:val="00400308"/>
    <w:rsid w:val="00401586"/>
    <w:rsid w:val="004024BC"/>
    <w:rsid w:val="00402C08"/>
    <w:rsid w:val="00405AC1"/>
    <w:rsid w:val="00406793"/>
    <w:rsid w:val="00407DEE"/>
    <w:rsid w:val="00410767"/>
    <w:rsid w:val="00410A47"/>
    <w:rsid w:val="00410BFC"/>
    <w:rsid w:val="00411155"/>
    <w:rsid w:val="004126D4"/>
    <w:rsid w:val="004134FB"/>
    <w:rsid w:val="004152BB"/>
    <w:rsid w:val="00415A59"/>
    <w:rsid w:val="0041707F"/>
    <w:rsid w:val="00417EA6"/>
    <w:rsid w:val="00417EB4"/>
    <w:rsid w:val="00417EFE"/>
    <w:rsid w:val="004201AD"/>
    <w:rsid w:val="00420E1A"/>
    <w:rsid w:val="00421D9C"/>
    <w:rsid w:val="0042245D"/>
    <w:rsid w:val="00422496"/>
    <w:rsid w:val="0042339A"/>
    <w:rsid w:val="00423CE8"/>
    <w:rsid w:val="00424087"/>
    <w:rsid w:val="004242BB"/>
    <w:rsid w:val="004257C8"/>
    <w:rsid w:val="00425EF8"/>
    <w:rsid w:val="0042616D"/>
    <w:rsid w:val="004315B4"/>
    <w:rsid w:val="00431DB7"/>
    <w:rsid w:val="00433811"/>
    <w:rsid w:val="00437368"/>
    <w:rsid w:val="004373A7"/>
    <w:rsid w:val="0043786F"/>
    <w:rsid w:val="00440301"/>
    <w:rsid w:val="004420B9"/>
    <w:rsid w:val="0044382A"/>
    <w:rsid w:val="004442C7"/>
    <w:rsid w:val="00444AE1"/>
    <w:rsid w:val="004453B7"/>
    <w:rsid w:val="004465D4"/>
    <w:rsid w:val="00447248"/>
    <w:rsid w:val="00447473"/>
    <w:rsid w:val="0044775B"/>
    <w:rsid w:val="00450E59"/>
    <w:rsid w:val="00453591"/>
    <w:rsid w:val="004569DC"/>
    <w:rsid w:val="00456F71"/>
    <w:rsid w:val="0046090A"/>
    <w:rsid w:val="00462608"/>
    <w:rsid w:val="0046358A"/>
    <w:rsid w:val="00465FA8"/>
    <w:rsid w:val="00467B9F"/>
    <w:rsid w:val="00467E7C"/>
    <w:rsid w:val="0047020D"/>
    <w:rsid w:val="004708CA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0A7B"/>
    <w:rsid w:val="004916B6"/>
    <w:rsid w:val="00491ABF"/>
    <w:rsid w:val="004922C0"/>
    <w:rsid w:val="00492C65"/>
    <w:rsid w:val="004953C8"/>
    <w:rsid w:val="00495C23"/>
    <w:rsid w:val="0049610D"/>
    <w:rsid w:val="00497234"/>
    <w:rsid w:val="00497B93"/>
    <w:rsid w:val="004A0231"/>
    <w:rsid w:val="004A1390"/>
    <w:rsid w:val="004A2AD0"/>
    <w:rsid w:val="004A34E2"/>
    <w:rsid w:val="004A38BD"/>
    <w:rsid w:val="004A3E3A"/>
    <w:rsid w:val="004A4164"/>
    <w:rsid w:val="004A4A1B"/>
    <w:rsid w:val="004A4CD6"/>
    <w:rsid w:val="004A516B"/>
    <w:rsid w:val="004A72AB"/>
    <w:rsid w:val="004B0C55"/>
    <w:rsid w:val="004B0D88"/>
    <w:rsid w:val="004B122E"/>
    <w:rsid w:val="004B289A"/>
    <w:rsid w:val="004B2CC8"/>
    <w:rsid w:val="004B2DAB"/>
    <w:rsid w:val="004B4658"/>
    <w:rsid w:val="004B497A"/>
    <w:rsid w:val="004B72D3"/>
    <w:rsid w:val="004B75B9"/>
    <w:rsid w:val="004B7C63"/>
    <w:rsid w:val="004C006E"/>
    <w:rsid w:val="004C12F8"/>
    <w:rsid w:val="004C25B7"/>
    <w:rsid w:val="004C2F10"/>
    <w:rsid w:val="004C3418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4DA4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5C3D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06FDF"/>
    <w:rsid w:val="005100CF"/>
    <w:rsid w:val="0051075B"/>
    <w:rsid w:val="005121F0"/>
    <w:rsid w:val="00512A58"/>
    <w:rsid w:val="00512E3F"/>
    <w:rsid w:val="00514EF1"/>
    <w:rsid w:val="005150C5"/>
    <w:rsid w:val="0051612F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3870"/>
    <w:rsid w:val="0053564B"/>
    <w:rsid w:val="0053721B"/>
    <w:rsid w:val="005418A8"/>
    <w:rsid w:val="005423F7"/>
    <w:rsid w:val="00544CCC"/>
    <w:rsid w:val="00546039"/>
    <w:rsid w:val="00546123"/>
    <w:rsid w:val="005463B2"/>
    <w:rsid w:val="00550F68"/>
    <w:rsid w:val="00551F39"/>
    <w:rsid w:val="00553495"/>
    <w:rsid w:val="005552CE"/>
    <w:rsid w:val="00555D34"/>
    <w:rsid w:val="00556994"/>
    <w:rsid w:val="0055717C"/>
    <w:rsid w:val="00557922"/>
    <w:rsid w:val="00560952"/>
    <w:rsid w:val="00560C6A"/>
    <w:rsid w:val="00561AEE"/>
    <w:rsid w:val="0056250B"/>
    <w:rsid w:val="00562A25"/>
    <w:rsid w:val="00562D78"/>
    <w:rsid w:val="00562F47"/>
    <w:rsid w:val="00564187"/>
    <w:rsid w:val="00567A90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6CEE"/>
    <w:rsid w:val="005978D1"/>
    <w:rsid w:val="005A05E0"/>
    <w:rsid w:val="005A06A0"/>
    <w:rsid w:val="005A0F6E"/>
    <w:rsid w:val="005A25C9"/>
    <w:rsid w:val="005A35F4"/>
    <w:rsid w:val="005A39B6"/>
    <w:rsid w:val="005A4EA3"/>
    <w:rsid w:val="005A63E5"/>
    <w:rsid w:val="005A7110"/>
    <w:rsid w:val="005B20ED"/>
    <w:rsid w:val="005B22B5"/>
    <w:rsid w:val="005B3101"/>
    <w:rsid w:val="005B3D6B"/>
    <w:rsid w:val="005B3F2A"/>
    <w:rsid w:val="005B4584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20A"/>
    <w:rsid w:val="005D16C4"/>
    <w:rsid w:val="005D2317"/>
    <w:rsid w:val="005D312D"/>
    <w:rsid w:val="005D3834"/>
    <w:rsid w:val="005D3B53"/>
    <w:rsid w:val="005D43BD"/>
    <w:rsid w:val="005D7D8F"/>
    <w:rsid w:val="005E4431"/>
    <w:rsid w:val="005E4939"/>
    <w:rsid w:val="005E4EF3"/>
    <w:rsid w:val="005E71B3"/>
    <w:rsid w:val="005F311D"/>
    <w:rsid w:val="005F45A0"/>
    <w:rsid w:val="005F49C9"/>
    <w:rsid w:val="005F5D55"/>
    <w:rsid w:val="005F6E73"/>
    <w:rsid w:val="00600731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1E8"/>
    <w:rsid w:val="00613736"/>
    <w:rsid w:val="00614BBE"/>
    <w:rsid w:val="00616374"/>
    <w:rsid w:val="0062041C"/>
    <w:rsid w:val="00620DD2"/>
    <w:rsid w:val="0062342D"/>
    <w:rsid w:val="006275D2"/>
    <w:rsid w:val="00630AF8"/>
    <w:rsid w:val="0063108D"/>
    <w:rsid w:val="006332B1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DAC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474E"/>
    <w:rsid w:val="006850DB"/>
    <w:rsid w:val="00686046"/>
    <w:rsid w:val="00686E1B"/>
    <w:rsid w:val="0068718B"/>
    <w:rsid w:val="00692050"/>
    <w:rsid w:val="00692383"/>
    <w:rsid w:val="00693536"/>
    <w:rsid w:val="006946AD"/>
    <w:rsid w:val="00695119"/>
    <w:rsid w:val="00695360"/>
    <w:rsid w:val="006954B8"/>
    <w:rsid w:val="00695800"/>
    <w:rsid w:val="006958A5"/>
    <w:rsid w:val="00695AF9"/>
    <w:rsid w:val="00695C2F"/>
    <w:rsid w:val="00697110"/>
    <w:rsid w:val="006A01BE"/>
    <w:rsid w:val="006A0E3E"/>
    <w:rsid w:val="006A1034"/>
    <w:rsid w:val="006A197F"/>
    <w:rsid w:val="006A1D4C"/>
    <w:rsid w:val="006A29F3"/>
    <w:rsid w:val="006A357A"/>
    <w:rsid w:val="006A57D6"/>
    <w:rsid w:val="006A5B0F"/>
    <w:rsid w:val="006A6642"/>
    <w:rsid w:val="006A6BD0"/>
    <w:rsid w:val="006B0548"/>
    <w:rsid w:val="006B068C"/>
    <w:rsid w:val="006B0704"/>
    <w:rsid w:val="006B0C6A"/>
    <w:rsid w:val="006B0CC9"/>
    <w:rsid w:val="006B1C78"/>
    <w:rsid w:val="006B1F6C"/>
    <w:rsid w:val="006B386A"/>
    <w:rsid w:val="006B3E13"/>
    <w:rsid w:val="006B4C9D"/>
    <w:rsid w:val="006B68EE"/>
    <w:rsid w:val="006B6A0C"/>
    <w:rsid w:val="006B7400"/>
    <w:rsid w:val="006C0ADB"/>
    <w:rsid w:val="006C3B13"/>
    <w:rsid w:val="006C41F6"/>
    <w:rsid w:val="006C51E8"/>
    <w:rsid w:val="006C5938"/>
    <w:rsid w:val="006C5E5C"/>
    <w:rsid w:val="006C61C7"/>
    <w:rsid w:val="006C6823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2811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3D7C"/>
    <w:rsid w:val="006F4B49"/>
    <w:rsid w:val="006F6C33"/>
    <w:rsid w:val="006F70B6"/>
    <w:rsid w:val="006F7449"/>
    <w:rsid w:val="00700F55"/>
    <w:rsid w:val="007061FD"/>
    <w:rsid w:val="00707414"/>
    <w:rsid w:val="00710CA2"/>
    <w:rsid w:val="00710D8F"/>
    <w:rsid w:val="007123BB"/>
    <w:rsid w:val="007159F7"/>
    <w:rsid w:val="00715ABD"/>
    <w:rsid w:val="00716094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0D"/>
    <w:rsid w:val="00730426"/>
    <w:rsid w:val="00732499"/>
    <w:rsid w:val="007325F1"/>
    <w:rsid w:val="00732EA1"/>
    <w:rsid w:val="00734599"/>
    <w:rsid w:val="007346FF"/>
    <w:rsid w:val="0073490E"/>
    <w:rsid w:val="007349F8"/>
    <w:rsid w:val="00735A11"/>
    <w:rsid w:val="007401A5"/>
    <w:rsid w:val="00740773"/>
    <w:rsid w:val="00740D2A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1E3E"/>
    <w:rsid w:val="00762B92"/>
    <w:rsid w:val="00764F07"/>
    <w:rsid w:val="00765725"/>
    <w:rsid w:val="00766033"/>
    <w:rsid w:val="00766AB0"/>
    <w:rsid w:val="00766C01"/>
    <w:rsid w:val="007674C9"/>
    <w:rsid w:val="00767D9D"/>
    <w:rsid w:val="007701AA"/>
    <w:rsid w:val="00772E35"/>
    <w:rsid w:val="0077535E"/>
    <w:rsid w:val="00775F0F"/>
    <w:rsid w:val="00776B15"/>
    <w:rsid w:val="00780CB0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63F0"/>
    <w:rsid w:val="0079738D"/>
    <w:rsid w:val="00797775"/>
    <w:rsid w:val="00797A83"/>
    <w:rsid w:val="007A0252"/>
    <w:rsid w:val="007A1368"/>
    <w:rsid w:val="007A2FAA"/>
    <w:rsid w:val="007A4AE4"/>
    <w:rsid w:val="007A4ED6"/>
    <w:rsid w:val="007A5F99"/>
    <w:rsid w:val="007A6B40"/>
    <w:rsid w:val="007B073F"/>
    <w:rsid w:val="007B07FB"/>
    <w:rsid w:val="007B24D4"/>
    <w:rsid w:val="007B2F50"/>
    <w:rsid w:val="007B3946"/>
    <w:rsid w:val="007B3F52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5A6E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451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0E6B"/>
    <w:rsid w:val="0082100F"/>
    <w:rsid w:val="008217C0"/>
    <w:rsid w:val="00824DEE"/>
    <w:rsid w:val="00825B7C"/>
    <w:rsid w:val="00826640"/>
    <w:rsid w:val="00827A62"/>
    <w:rsid w:val="00830819"/>
    <w:rsid w:val="008317B5"/>
    <w:rsid w:val="00831E83"/>
    <w:rsid w:val="00832B17"/>
    <w:rsid w:val="0083617E"/>
    <w:rsid w:val="00836286"/>
    <w:rsid w:val="00837998"/>
    <w:rsid w:val="00837CC1"/>
    <w:rsid w:val="00840254"/>
    <w:rsid w:val="00842219"/>
    <w:rsid w:val="00842FC3"/>
    <w:rsid w:val="008430F8"/>
    <w:rsid w:val="00843652"/>
    <w:rsid w:val="00843C81"/>
    <w:rsid w:val="00844091"/>
    <w:rsid w:val="0084447C"/>
    <w:rsid w:val="00844D3B"/>
    <w:rsid w:val="00845A07"/>
    <w:rsid w:val="00845B6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66CD"/>
    <w:rsid w:val="00867111"/>
    <w:rsid w:val="00867338"/>
    <w:rsid w:val="00870A43"/>
    <w:rsid w:val="00871391"/>
    <w:rsid w:val="00871518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001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3BB9"/>
    <w:rsid w:val="008A4083"/>
    <w:rsid w:val="008A6697"/>
    <w:rsid w:val="008B01A9"/>
    <w:rsid w:val="008B091F"/>
    <w:rsid w:val="008B1A4A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3FE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B25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2AA"/>
    <w:rsid w:val="009128E1"/>
    <w:rsid w:val="00913E5F"/>
    <w:rsid w:val="009144BC"/>
    <w:rsid w:val="00914881"/>
    <w:rsid w:val="009155E0"/>
    <w:rsid w:val="00916696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0F17"/>
    <w:rsid w:val="00961035"/>
    <w:rsid w:val="00961AE7"/>
    <w:rsid w:val="00962BE7"/>
    <w:rsid w:val="009649FE"/>
    <w:rsid w:val="00964A20"/>
    <w:rsid w:val="00965877"/>
    <w:rsid w:val="00965BDE"/>
    <w:rsid w:val="00965EC8"/>
    <w:rsid w:val="00965F62"/>
    <w:rsid w:val="00967CF6"/>
    <w:rsid w:val="009701E8"/>
    <w:rsid w:val="00971A14"/>
    <w:rsid w:val="009731A7"/>
    <w:rsid w:val="00973C7F"/>
    <w:rsid w:val="00973DFD"/>
    <w:rsid w:val="00974863"/>
    <w:rsid w:val="00977546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28D"/>
    <w:rsid w:val="00991A45"/>
    <w:rsid w:val="00991AF6"/>
    <w:rsid w:val="00992BB6"/>
    <w:rsid w:val="00993C4D"/>
    <w:rsid w:val="00994743"/>
    <w:rsid w:val="00994FAF"/>
    <w:rsid w:val="00994FEB"/>
    <w:rsid w:val="0099735A"/>
    <w:rsid w:val="009A1117"/>
    <w:rsid w:val="009A1280"/>
    <w:rsid w:val="009A1FFC"/>
    <w:rsid w:val="009A26DF"/>
    <w:rsid w:val="009A3CC0"/>
    <w:rsid w:val="009A4A72"/>
    <w:rsid w:val="009A5BA2"/>
    <w:rsid w:val="009A74BE"/>
    <w:rsid w:val="009A7695"/>
    <w:rsid w:val="009A774D"/>
    <w:rsid w:val="009B0CC8"/>
    <w:rsid w:val="009B2BF6"/>
    <w:rsid w:val="009B33D9"/>
    <w:rsid w:val="009B3E81"/>
    <w:rsid w:val="009B4078"/>
    <w:rsid w:val="009B4177"/>
    <w:rsid w:val="009B4242"/>
    <w:rsid w:val="009B5F3E"/>
    <w:rsid w:val="009B5FAF"/>
    <w:rsid w:val="009B6422"/>
    <w:rsid w:val="009B727B"/>
    <w:rsid w:val="009B79EC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5EC"/>
    <w:rsid w:val="009D1612"/>
    <w:rsid w:val="009D26C1"/>
    <w:rsid w:val="009D382F"/>
    <w:rsid w:val="009D41A3"/>
    <w:rsid w:val="009D492D"/>
    <w:rsid w:val="009D584C"/>
    <w:rsid w:val="009D7310"/>
    <w:rsid w:val="009D7C39"/>
    <w:rsid w:val="009D7FAE"/>
    <w:rsid w:val="009E012D"/>
    <w:rsid w:val="009E0F47"/>
    <w:rsid w:val="009E26E8"/>
    <w:rsid w:val="009E3BDF"/>
    <w:rsid w:val="009E4F19"/>
    <w:rsid w:val="009E567C"/>
    <w:rsid w:val="009E598F"/>
    <w:rsid w:val="009F006C"/>
    <w:rsid w:val="009F09C6"/>
    <w:rsid w:val="009F325A"/>
    <w:rsid w:val="009F3A76"/>
    <w:rsid w:val="009F3DAC"/>
    <w:rsid w:val="009F5153"/>
    <w:rsid w:val="009F5245"/>
    <w:rsid w:val="009F557B"/>
    <w:rsid w:val="009F7144"/>
    <w:rsid w:val="009F7DF7"/>
    <w:rsid w:val="009F7FF9"/>
    <w:rsid w:val="00A00211"/>
    <w:rsid w:val="00A00383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3DD"/>
    <w:rsid w:val="00A42626"/>
    <w:rsid w:val="00A446FB"/>
    <w:rsid w:val="00A447B6"/>
    <w:rsid w:val="00A45E33"/>
    <w:rsid w:val="00A47D17"/>
    <w:rsid w:val="00A52110"/>
    <w:rsid w:val="00A529FD"/>
    <w:rsid w:val="00A52EFF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15A2"/>
    <w:rsid w:val="00A72097"/>
    <w:rsid w:val="00A72906"/>
    <w:rsid w:val="00A74604"/>
    <w:rsid w:val="00A74B23"/>
    <w:rsid w:val="00A7665F"/>
    <w:rsid w:val="00A81AD9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2719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2E5E"/>
    <w:rsid w:val="00AC4C09"/>
    <w:rsid w:val="00AC4D4B"/>
    <w:rsid w:val="00AC5154"/>
    <w:rsid w:val="00AC694F"/>
    <w:rsid w:val="00AD4CFD"/>
    <w:rsid w:val="00AD5E3A"/>
    <w:rsid w:val="00AD7718"/>
    <w:rsid w:val="00AE23CB"/>
    <w:rsid w:val="00AE31EF"/>
    <w:rsid w:val="00AE3303"/>
    <w:rsid w:val="00AE3397"/>
    <w:rsid w:val="00AE3CD9"/>
    <w:rsid w:val="00AE40A6"/>
    <w:rsid w:val="00AE46B7"/>
    <w:rsid w:val="00AE6620"/>
    <w:rsid w:val="00AE6C7E"/>
    <w:rsid w:val="00AE725B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41B1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098"/>
    <w:rsid w:val="00B26614"/>
    <w:rsid w:val="00B2750E"/>
    <w:rsid w:val="00B312CE"/>
    <w:rsid w:val="00B3261E"/>
    <w:rsid w:val="00B327DB"/>
    <w:rsid w:val="00B3287E"/>
    <w:rsid w:val="00B32C09"/>
    <w:rsid w:val="00B32C53"/>
    <w:rsid w:val="00B33495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1611"/>
    <w:rsid w:val="00B520B4"/>
    <w:rsid w:val="00B53282"/>
    <w:rsid w:val="00B5480F"/>
    <w:rsid w:val="00B5490F"/>
    <w:rsid w:val="00B569BF"/>
    <w:rsid w:val="00B56D84"/>
    <w:rsid w:val="00B57A80"/>
    <w:rsid w:val="00B60394"/>
    <w:rsid w:val="00B61C3B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66DB"/>
    <w:rsid w:val="00B77B91"/>
    <w:rsid w:val="00B77DB9"/>
    <w:rsid w:val="00B80DF0"/>
    <w:rsid w:val="00B8204F"/>
    <w:rsid w:val="00B8213B"/>
    <w:rsid w:val="00B82399"/>
    <w:rsid w:val="00B823AE"/>
    <w:rsid w:val="00B82856"/>
    <w:rsid w:val="00B848B5"/>
    <w:rsid w:val="00B8553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DA0"/>
    <w:rsid w:val="00B95EEE"/>
    <w:rsid w:val="00B96341"/>
    <w:rsid w:val="00B96608"/>
    <w:rsid w:val="00B96F76"/>
    <w:rsid w:val="00B97E76"/>
    <w:rsid w:val="00BA1103"/>
    <w:rsid w:val="00BA1395"/>
    <w:rsid w:val="00BA4663"/>
    <w:rsid w:val="00BA55BD"/>
    <w:rsid w:val="00BA590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078"/>
    <w:rsid w:val="00BC3897"/>
    <w:rsid w:val="00BC3F98"/>
    <w:rsid w:val="00BC51BC"/>
    <w:rsid w:val="00BC60AB"/>
    <w:rsid w:val="00BC668B"/>
    <w:rsid w:val="00BC6916"/>
    <w:rsid w:val="00BD03CF"/>
    <w:rsid w:val="00BD1C90"/>
    <w:rsid w:val="00BD1CF0"/>
    <w:rsid w:val="00BD2045"/>
    <w:rsid w:val="00BD225D"/>
    <w:rsid w:val="00BD3778"/>
    <w:rsid w:val="00BD651E"/>
    <w:rsid w:val="00BD6CD5"/>
    <w:rsid w:val="00BD7866"/>
    <w:rsid w:val="00BD78E7"/>
    <w:rsid w:val="00BE1C91"/>
    <w:rsid w:val="00BE35C4"/>
    <w:rsid w:val="00BE4CA3"/>
    <w:rsid w:val="00BE5064"/>
    <w:rsid w:val="00BE5734"/>
    <w:rsid w:val="00BE72B0"/>
    <w:rsid w:val="00BE7398"/>
    <w:rsid w:val="00BF04D3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0D9"/>
    <w:rsid w:val="00C06B9A"/>
    <w:rsid w:val="00C137C0"/>
    <w:rsid w:val="00C138DB"/>
    <w:rsid w:val="00C147D9"/>
    <w:rsid w:val="00C1569B"/>
    <w:rsid w:val="00C172CA"/>
    <w:rsid w:val="00C175F2"/>
    <w:rsid w:val="00C2002B"/>
    <w:rsid w:val="00C202A7"/>
    <w:rsid w:val="00C205D0"/>
    <w:rsid w:val="00C20AFA"/>
    <w:rsid w:val="00C21A0B"/>
    <w:rsid w:val="00C21BDC"/>
    <w:rsid w:val="00C21DBB"/>
    <w:rsid w:val="00C225CE"/>
    <w:rsid w:val="00C229E7"/>
    <w:rsid w:val="00C23C8E"/>
    <w:rsid w:val="00C24AF8"/>
    <w:rsid w:val="00C2539C"/>
    <w:rsid w:val="00C2632D"/>
    <w:rsid w:val="00C273BC"/>
    <w:rsid w:val="00C32442"/>
    <w:rsid w:val="00C32503"/>
    <w:rsid w:val="00C32B34"/>
    <w:rsid w:val="00C33A24"/>
    <w:rsid w:val="00C33EB0"/>
    <w:rsid w:val="00C351BA"/>
    <w:rsid w:val="00C36FAB"/>
    <w:rsid w:val="00C371DE"/>
    <w:rsid w:val="00C3751E"/>
    <w:rsid w:val="00C37617"/>
    <w:rsid w:val="00C40E92"/>
    <w:rsid w:val="00C4116D"/>
    <w:rsid w:val="00C413E1"/>
    <w:rsid w:val="00C420AF"/>
    <w:rsid w:val="00C43BB4"/>
    <w:rsid w:val="00C4425D"/>
    <w:rsid w:val="00C45650"/>
    <w:rsid w:val="00C460A7"/>
    <w:rsid w:val="00C463C1"/>
    <w:rsid w:val="00C46CBC"/>
    <w:rsid w:val="00C47C4F"/>
    <w:rsid w:val="00C5586F"/>
    <w:rsid w:val="00C5759C"/>
    <w:rsid w:val="00C60C62"/>
    <w:rsid w:val="00C62611"/>
    <w:rsid w:val="00C630A8"/>
    <w:rsid w:val="00C645E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77639"/>
    <w:rsid w:val="00C811F6"/>
    <w:rsid w:val="00C81F9C"/>
    <w:rsid w:val="00C828A5"/>
    <w:rsid w:val="00C8297C"/>
    <w:rsid w:val="00C83B40"/>
    <w:rsid w:val="00C84483"/>
    <w:rsid w:val="00C86705"/>
    <w:rsid w:val="00C9091E"/>
    <w:rsid w:val="00C91441"/>
    <w:rsid w:val="00C916DE"/>
    <w:rsid w:val="00C944CF"/>
    <w:rsid w:val="00C958AD"/>
    <w:rsid w:val="00C95936"/>
    <w:rsid w:val="00C95D50"/>
    <w:rsid w:val="00C962F2"/>
    <w:rsid w:val="00CA0704"/>
    <w:rsid w:val="00CA07D7"/>
    <w:rsid w:val="00CA18D9"/>
    <w:rsid w:val="00CA4108"/>
    <w:rsid w:val="00CA5D32"/>
    <w:rsid w:val="00CA6E77"/>
    <w:rsid w:val="00CB0C3A"/>
    <w:rsid w:val="00CB254C"/>
    <w:rsid w:val="00CB2C6B"/>
    <w:rsid w:val="00CB46AE"/>
    <w:rsid w:val="00CB53B0"/>
    <w:rsid w:val="00CB6D1E"/>
    <w:rsid w:val="00CB71D3"/>
    <w:rsid w:val="00CC00E5"/>
    <w:rsid w:val="00CC019D"/>
    <w:rsid w:val="00CC17E6"/>
    <w:rsid w:val="00CC1906"/>
    <w:rsid w:val="00CC1C19"/>
    <w:rsid w:val="00CC241E"/>
    <w:rsid w:val="00CC2425"/>
    <w:rsid w:val="00CC285B"/>
    <w:rsid w:val="00CC288F"/>
    <w:rsid w:val="00CC4365"/>
    <w:rsid w:val="00CC5310"/>
    <w:rsid w:val="00CC6626"/>
    <w:rsid w:val="00CC67E0"/>
    <w:rsid w:val="00CC6969"/>
    <w:rsid w:val="00CC69B8"/>
    <w:rsid w:val="00CC719C"/>
    <w:rsid w:val="00CC7707"/>
    <w:rsid w:val="00CD06DA"/>
    <w:rsid w:val="00CD17FD"/>
    <w:rsid w:val="00CD19FB"/>
    <w:rsid w:val="00CD2C69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2459"/>
    <w:rsid w:val="00CF551E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0A25"/>
    <w:rsid w:val="00D215E2"/>
    <w:rsid w:val="00D21823"/>
    <w:rsid w:val="00D24111"/>
    <w:rsid w:val="00D26C40"/>
    <w:rsid w:val="00D26C98"/>
    <w:rsid w:val="00D26E71"/>
    <w:rsid w:val="00D2742F"/>
    <w:rsid w:val="00D27BBD"/>
    <w:rsid w:val="00D307F4"/>
    <w:rsid w:val="00D30AA5"/>
    <w:rsid w:val="00D31046"/>
    <w:rsid w:val="00D315FB"/>
    <w:rsid w:val="00D31C4E"/>
    <w:rsid w:val="00D33171"/>
    <w:rsid w:val="00D3462C"/>
    <w:rsid w:val="00D34E8C"/>
    <w:rsid w:val="00D3576A"/>
    <w:rsid w:val="00D36358"/>
    <w:rsid w:val="00D36379"/>
    <w:rsid w:val="00D363A2"/>
    <w:rsid w:val="00D36895"/>
    <w:rsid w:val="00D37275"/>
    <w:rsid w:val="00D3763F"/>
    <w:rsid w:val="00D37CEB"/>
    <w:rsid w:val="00D4046D"/>
    <w:rsid w:val="00D4085D"/>
    <w:rsid w:val="00D40DAD"/>
    <w:rsid w:val="00D427E6"/>
    <w:rsid w:val="00D448C0"/>
    <w:rsid w:val="00D46B5E"/>
    <w:rsid w:val="00D470BE"/>
    <w:rsid w:val="00D473A4"/>
    <w:rsid w:val="00D47E24"/>
    <w:rsid w:val="00D51BD5"/>
    <w:rsid w:val="00D52B8E"/>
    <w:rsid w:val="00D534A6"/>
    <w:rsid w:val="00D559E6"/>
    <w:rsid w:val="00D561A9"/>
    <w:rsid w:val="00D566D4"/>
    <w:rsid w:val="00D5765C"/>
    <w:rsid w:val="00D57914"/>
    <w:rsid w:val="00D57B02"/>
    <w:rsid w:val="00D57C8E"/>
    <w:rsid w:val="00D604E3"/>
    <w:rsid w:val="00D606F7"/>
    <w:rsid w:val="00D613CA"/>
    <w:rsid w:val="00D645DB"/>
    <w:rsid w:val="00D656D1"/>
    <w:rsid w:val="00D66BC0"/>
    <w:rsid w:val="00D677A3"/>
    <w:rsid w:val="00D67A60"/>
    <w:rsid w:val="00D705EC"/>
    <w:rsid w:val="00D71090"/>
    <w:rsid w:val="00D71EB4"/>
    <w:rsid w:val="00D7210B"/>
    <w:rsid w:val="00D72194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2A3F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2F81"/>
    <w:rsid w:val="00DA4110"/>
    <w:rsid w:val="00DA4ADC"/>
    <w:rsid w:val="00DA635E"/>
    <w:rsid w:val="00DA7351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14C1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E6CCA"/>
    <w:rsid w:val="00DF11B3"/>
    <w:rsid w:val="00DF2F23"/>
    <w:rsid w:val="00DF3670"/>
    <w:rsid w:val="00DF37D0"/>
    <w:rsid w:val="00DF3CB6"/>
    <w:rsid w:val="00DF57F8"/>
    <w:rsid w:val="00DF5B3A"/>
    <w:rsid w:val="00DF6C03"/>
    <w:rsid w:val="00DF7D3B"/>
    <w:rsid w:val="00E011A8"/>
    <w:rsid w:val="00E03038"/>
    <w:rsid w:val="00E0316F"/>
    <w:rsid w:val="00E035A9"/>
    <w:rsid w:val="00E04610"/>
    <w:rsid w:val="00E051A1"/>
    <w:rsid w:val="00E060C6"/>
    <w:rsid w:val="00E0623D"/>
    <w:rsid w:val="00E06283"/>
    <w:rsid w:val="00E079BE"/>
    <w:rsid w:val="00E10614"/>
    <w:rsid w:val="00E10C86"/>
    <w:rsid w:val="00E1120B"/>
    <w:rsid w:val="00E11C2C"/>
    <w:rsid w:val="00E12510"/>
    <w:rsid w:val="00E13209"/>
    <w:rsid w:val="00E15859"/>
    <w:rsid w:val="00E15BCB"/>
    <w:rsid w:val="00E169DA"/>
    <w:rsid w:val="00E171DF"/>
    <w:rsid w:val="00E1746B"/>
    <w:rsid w:val="00E20FD1"/>
    <w:rsid w:val="00E212CF"/>
    <w:rsid w:val="00E22A67"/>
    <w:rsid w:val="00E22BE3"/>
    <w:rsid w:val="00E23694"/>
    <w:rsid w:val="00E27033"/>
    <w:rsid w:val="00E27AD8"/>
    <w:rsid w:val="00E3046A"/>
    <w:rsid w:val="00E31247"/>
    <w:rsid w:val="00E34260"/>
    <w:rsid w:val="00E3563D"/>
    <w:rsid w:val="00E36371"/>
    <w:rsid w:val="00E36670"/>
    <w:rsid w:val="00E373FA"/>
    <w:rsid w:val="00E3797E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C89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4A4D"/>
    <w:rsid w:val="00E86443"/>
    <w:rsid w:val="00E879F9"/>
    <w:rsid w:val="00E90E35"/>
    <w:rsid w:val="00E91614"/>
    <w:rsid w:val="00E93E81"/>
    <w:rsid w:val="00E943FF"/>
    <w:rsid w:val="00E961D2"/>
    <w:rsid w:val="00E96719"/>
    <w:rsid w:val="00E97517"/>
    <w:rsid w:val="00EA175A"/>
    <w:rsid w:val="00EA1875"/>
    <w:rsid w:val="00EA20E2"/>
    <w:rsid w:val="00EA242B"/>
    <w:rsid w:val="00EA272A"/>
    <w:rsid w:val="00EA5EFE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BE1"/>
    <w:rsid w:val="00EB7F43"/>
    <w:rsid w:val="00EC09FC"/>
    <w:rsid w:val="00EC0FAB"/>
    <w:rsid w:val="00EC1367"/>
    <w:rsid w:val="00EC2EF3"/>
    <w:rsid w:val="00EC47BD"/>
    <w:rsid w:val="00EC7B5A"/>
    <w:rsid w:val="00ED0911"/>
    <w:rsid w:val="00ED21A3"/>
    <w:rsid w:val="00ED2F66"/>
    <w:rsid w:val="00ED31E8"/>
    <w:rsid w:val="00ED48C0"/>
    <w:rsid w:val="00ED65AA"/>
    <w:rsid w:val="00ED7592"/>
    <w:rsid w:val="00EE038D"/>
    <w:rsid w:val="00EE1DBD"/>
    <w:rsid w:val="00EE1EF6"/>
    <w:rsid w:val="00EE2E96"/>
    <w:rsid w:val="00EE2F38"/>
    <w:rsid w:val="00EE305E"/>
    <w:rsid w:val="00EE6BC6"/>
    <w:rsid w:val="00EE7235"/>
    <w:rsid w:val="00EE769A"/>
    <w:rsid w:val="00EF057D"/>
    <w:rsid w:val="00EF1D33"/>
    <w:rsid w:val="00EF21F5"/>
    <w:rsid w:val="00EF24DE"/>
    <w:rsid w:val="00EF3C06"/>
    <w:rsid w:val="00EF5AAD"/>
    <w:rsid w:val="00EF6992"/>
    <w:rsid w:val="00EF6C8E"/>
    <w:rsid w:val="00EF74BD"/>
    <w:rsid w:val="00F01707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5CC4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3E54"/>
    <w:rsid w:val="00F34320"/>
    <w:rsid w:val="00F3461C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34F"/>
    <w:rsid w:val="00F465B3"/>
    <w:rsid w:val="00F46BF0"/>
    <w:rsid w:val="00F47EEC"/>
    <w:rsid w:val="00F521C4"/>
    <w:rsid w:val="00F527F1"/>
    <w:rsid w:val="00F53289"/>
    <w:rsid w:val="00F541DD"/>
    <w:rsid w:val="00F560F7"/>
    <w:rsid w:val="00F56844"/>
    <w:rsid w:val="00F6036D"/>
    <w:rsid w:val="00F62091"/>
    <w:rsid w:val="00F62119"/>
    <w:rsid w:val="00F63592"/>
    <w:rsid w:val="00F635F4"/>
    <w:rsid w:val="00F64922"/>
    <w:rsid w:val="00F64E40"/>
    <w:rsid w:val="00F66272"/>
    <w:rsid w:val="00F6727C"/>
    <w:rsid w:val="00F67858"/>
    <w:rsid w:val="00F703D8"/>
    <w:rsid w:val="00F70D3C"/>
    <w:rsid w:val="00F717E7"/>
    <w:rsid w:val="00F7201D"/>
    <w:rsid w:val="00F72A4F"/>
    <w:rsid w:val="00F73FD6"/>
    <w:rsid w:val="00F75077"/>
    <w:rsid w:val="00F76C9B"/>
    <w:rsid w:val="00F7749C"/>
    <w:rsid w:val="00F80102"/>
    <w:rsid w:val="00F806EB"/>
    <w:rsid w:val="00F80A21"/>
    <w:rsid w:val="00F80E39"/>
    <w:rsid w:val="00F8106B"/>
    <w:rsid w:val="00F8379A"/>
    <w:rsid w:val="00F83F67"/>
    <w:rsid w:val="00F8652B"/>
    <w:rsid w:val="00F86A71"/>
    <w:rsid w:val="00F86AAE"/>
    <w:rsid w:val="00F90BAA"/>
    <w:rsid w:val="00F90CAD"/>
    <w:rsid w:val="00F913DE"/>
    <w:rsid w:val="00F940B7"/>
    <w:rsid w:val="00F94363"/>
    <w:rsid w:val="00F94FF8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802"/>
    <w:rsid w:val="00FB6924"/>
    <w:rsid w:val="00FB6CA2"/>
    <w:rsid w:val="00FB7744"/>
    <w:rsid w:val="00FC1B4C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5004"/>
    <w:rsid w:val="00FE5F56"/>
    <w:rsid w:val="00FE6842"/>
    <w:rsid w:val="00FE7228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C12FBB-53F7-4C63-84A9-209E1B6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52BC7"/>
    <w:rPr>
      <w:b/>
      <w:kern w:val="1"/>
      <w:sz w:val="40"/>
    </w:rPr>
  </w:style>
  <w:style w:type="character" w:customStyle="1" w:styleId="Heading2Char">
    <w:name w:val="Heading 2 Char"/>
    <w:link w:val="Heading2"/>
    <w:uiPriority w:val="99"/>
    <w:locked/>
    <w:rsid w:val="00952BC7"/>
    <w:rPr>
      <w:b/>
      <w:kern w:val="1"/>
      <w:sz w:val="32"/>
    </w:rPr>
  </w:style>
  <w:style w:type="character" w:customStyle="1" w:styleId="Heading3Char">
    <w:name w:val="Heading 3 Char"/>
    <w:link w:val="Heading3"/>
    <w:uiPriority w:val="99"/>
    <w:locked/>
    <w:rsid w:val="00952BC7"/>
    <w:rPr>
      <w:b/>
      <w:kern w:val="1"/>
      <w:sz w:val="32"/>
    </w:rPr>
  </w:style>
  <w:style w:type="character" w:customStyle="1" w:styleId="Heading4Char">
    <w:name w:val="Heading 4 Char"/>
    <w:link w:val="Heading4"/>
    <w:uiPriority w:val="99"/>
    <w:locked/>
    <w:rsid w:val="00952BC7"/>
    <w:rPr>
      <w:b/>
      <w:kern w:val="1"/>
      <w:sz w:val="24"/>
    </w:rPr>
  </w:style>
  <w:style w:type="character" w:customStyle="1" w:styleId="Heading5Char">
    <w:name w:val="Heading 5 Char"/>
    <w:link w:val="Heading5"/>
    <w:uiPriority w:val="99"/>
    <w:locked/>
    <w:rsid w:val="00952BC7"/>
    <w:rPr>
      <w:b/>
      <w:kern w:val="1"/>
      <w:sz w:val="24"/>
    </w:rPr>
  </w:style>
  <w:style w:type="character" w:customStyle="1" w:styleId="Heading6Char">
    <w:name w:val="Heading 6 Char"/>
    <w:link w:val="Heading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Header">
    <w:name w:val="header"/>
    <w:basedOn w:val="Normal"/>
    <w:link w:val="Head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932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536F7"/>
    <w:rPr>
      <w:rFonts w:cs="Times New Roman"/>
      <w:sz w:val="24"/>
      <w:szCs w:val="24"/>
    </w:rPr>
  </w:style>
  <w:style w:type="paragraph" w:styleId="ListParagraph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al"/>
    <w:link w:val="ListParagraph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al"/>
    <w:uiPriority w:val="99"/>
    <w:rsid w:val="00146C4F"/>
    <w:pPr>
      <w:jc w:val="center"/>
    </w:pPr>
    <w:rPr>
      <w:b/>
      <w:caps/>
    </w:rPr>
  </w:style>
  <w:style w:type="character" w:styleId="PageNumber">
    <w:name w:val="page number"/>
    <w:uiPriority w:val="99"/>
    <w:rsid w:val="007E6F4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C48E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BodyText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BodyText3">
    <w:name w:val="Body Text 3"/>
    <w:basedOn w:val="Normal"/>
    <w:link w:val="BodyText3Char"/>
    <w:uiPriority w:val="99"/>
    <w:rsid w:val="002E14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9322A"/>
    <w:rPr>
      <w:rFonts w:cs="Times New Roman"/>
      <w:sz w:val="16"/>
      <w:szCs w:val="16"/>
    </w:rPr>
  </w:style>
  <w:style w:type="character" w:styleId="Hyperlink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BodyText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BodyText">
    <w:name w:val="Body Text"/>
    <w:basedOn w:val="Normal"/>
    <w:link w:val="BodyText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52BC7"/>
    <w:rPr>
      <w:rFonts w:cs="Times New Roman"/>
      <w:kern w:val="1"/>
      <w:lang w:val="cs-CZ" w:eastAsia="en-GB" w:bidi="en-GB"/>
    </w:rPr>
  </w:style>
  <w:style w:type="paragraph" w:styleId="List">
    <w:name w:val="List"/>
    <w:basedOn w:val="Norma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BodyText"/>
    <w:uiPriority w:val="99"/>
    <w:rsid w:val="00952BC7"/>
  </w:style>
  <w:style w:type="paragraph" w:styleId="BalloonText">
    <w:name w:val="Balloon Text"/>
    <w:basedOn w:val="Normal"/>
    <w:link w:val="Balloon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CommentReference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52BC7"/>
    <w:rPr>
      <w:rFonts w:ascii="Times" w:hAnsi="Times" w:cs="Times New Roman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52BC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Revision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a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uiPriority w:val="99"/>
    <w:rsid w:val="001975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0F293F"/>
  </w:style>
  <w:style w:type="table" w:styleId="TableGrid">
    <w:name w:val="Table Grid"/>
    <w:basedOn w:val="TableNormal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cs-CZ" w:eastAsia="en-GB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07615"/>
    <w:rPr>
      <w:rFonts w:ascii="Calibri" w:eastAsia="Calibri" w:hAnsi="Calibri"/>
      <w:lang w:eastAsia="en-GB"/>
    </w:rPr>
  </w:style>
  <w:style w:type="character" w:styleId="FootnoteReference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a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</w:rPr>
  </w:style>
  <w:style w:type="paragraph" w:styleId="NoSpacing">
    <w:name w:val="No Spacing"/>
    <w:link w:val="NoSpacingChar"/>
    <w:uiPriority w:val="1"/>
    <w:qFormat/>
    <w:rsid w:val="00007615"/>
    <w:rPr>
      <w:rFonts w:ascii="Calibri" w:eastAsia="Calibri" w:hAnsi="Calibri"/>
      <w:sz w:val="22"/>
      <w:szCs w:val="22"/>
    </w:rPr>
  </w:style>
  <w:style w:type="paragraph" w:customStyle="1" w:styleId="Norml1">
    <w:name w:val="Normál1"/>
    <w:basedOn w:val="Normal"/>
    <w:rsid w:val="00007615"/>
    <w:pPr>
      <w:spacing w:before="120"/>
      <w:jc w:val="both"/>
    </w:pPr>
  </w:style>
  <w:style w:type="paragraph" w:customStyle="1" w:styleId="Norml11">
    <w:name w:val="Normál11"/>
    <w:basedOn w:val="Normal"/>
    <w:rsid w:val="004315B4"/>
    <w:pPr>
      <w:spacing w:before="120"/>
      <w:jc w:val="both"/>
    </w:pPr>
  </w:style>
  <w:style w:type="paragraph" w:customStyle="1" w:styleId="Pont">
    <w:name w:val="Pont"/>
    <w:basedOn w:val="Norma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a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Paragraph"/>
    <w:uiPriority w:val="34"/>
    <w:qFormat/>
    <w:locked/>
    <w:rsid w:val="00E3563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260F2B"/>
    <w:rPr>
      <w:rFonts w:ascii="Calibri" w:eastAsia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mas.andreka@am.gov.hu" TargetMode="External"/><Relationship Id="rId1" Type="http://schemas.openxmlformats.org/officeDocument/2006/relationships/hyperlink" Target="mailto:hunor.orban@a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9110-FD73-4CE1-ACC4-5743F1A7F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193A5-D389-442D-9727-AB447939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Liu, Lei</cp:lastModifiedBy>
  <cp:revision>7</cp:revision>
  <cp:lastPrinted>2019-06-12T12:18:00Z</cp:lastPrinted>
  <dcterms:created xsi:type="dcterms:W3CDTF">2019-06-25T07:45:00Z</dcterms:created>
  <dcterms:modified xsi:type="dcterms:W3CDTF">2019-07-03T13:24:00Z</dcterms:modified>
</cp:coreProperties>
</file>