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4" w:rsidRPr="00814C17" w:rsidRDefault="004A4164" w:rsidP="004A4164">
      <w:pPr>
        <w:jc w:val="center"/>
        <w:rPr>
          <w:rFonts w:ascii="Courier New" w:hAnsi="Courier New"/>
          <w:sz w:val="20"/>
          <w:szCs w:val="20"/>
        </w:rPr>
      </w:pPr>
      <w:r>
        <w:rPr>
          <w:rFonts w:ascii="Courier New" w:hAnsi="Courier New"/>
          <w:sz w:val="20"/>
        </w:rPr>
        <w:t>1. ------IND- 2019 0309</w:t>
      </w:r>
      <w:bookmarkStart w:id="0" w:name="_GoBack"/>
      <w:bookmarkEnd w:id="0"/>
      <w:r>
        <w:rPr>
          <w:rFonts w:ascii="Courier New" w:hAnsi="Courier New"/>
          <w:sz w:val="20"/>
        </w:rPr>
        <w:t xml:space="preserve"> HU- ET- ------ 20190703 --- --- PROJET</w:t>
      </w:r>
    </w:p>
    <w:p w:rsidR="00FC1B4C" w:rsidRPr="00D4046D" w:rsidRDefault="00FC1B4C" w:rsidP="004A4164">
      <w:pPr>
        <w:jc w:val="center"/>
        <w:rPr>
          <w:b/>
        </w:rPr>
      </w:pPr>
      <w:r>
        <w:rPr>
          <w:b/>
        </w:rPr>
        <w:t xml:space="preserve">Põllumajandusministri </w:t>
      </w:r>
    </w:p>
    <w:p w:rsidR="00FC1B4C" w:rsidRPr="00D4046D" w:rsidRDefault="00FC1B4C" w:rsidP="004A4164">
      <w:pPr>
        <w:jc w:val="center"/>
        <w:rPr>
          <w:b/>
        </w:rPr>
      </w:pPr>
    </w:p>
    <w:p w:rsidR="00FC1B4C" w:rsidRPr="00D4046D" w:rsidRDefault="00453591" w:rsidP="004A4164">
      <w:pPr>
        <w:jc w:val="center"/>
        <w:rPr>
          <w:b/>
        </w:rPr>
      </w:pPr>
      <w:r>
        <w:rPr>
          <w:b/>
        </w:rPr>
        <w:t>[kuupäev] 2019. aasta dekreet .../ 2019,</w:t>
      </w:r>
    </w:p>
    <w:p w:rsidR="00FC1B4C" w:rsidRPr="00D4046D" w:rsidRDefault="00FC1B4C" w:rsidP="004A4164">
      <w:pPr>
        <w:jc w:val="both"/>
        <w:rPr>
          <w:b/>
          <w:bCs/>
        </w:rPr>
      </w:pPr>
    </w:p>
    <w:p w:rsidR="00FC1B4C" w:rsidRPr="00D4046D" w:rsidRDefault="00FC1B4C" w:rsidP="004A4164">
      <w:pPr>
        <w:jc w:val="center"/>
        <w:rPr>
          <w:rFonts w:eastAsiaTheme="minorHAnsi"/>
          <w:b/>
          <w:bCs/>
        </w:rPr>
      </w:pPr>
      <w:r>
        <w:rPr>
          <w:b/>
        </w:rPr>
        <w:t>millega muudetakse põllumajandusministri 18. oktoobri 2017. aasta dekreeti 53/2017 alates 140 kW</w:t>
      </w:r>
      <w:r>
        <w:rPr>
          <w:b/>
          <w:vertAlign w:val="subscript"/>
        </w:rPr>
        <w:t>th</w:t>
      </w:r>
      <w:r>
        <w:rPr>
          <w:b/>
        </w:rPr>
        <w:t xml:space="preserve"> kuni 50 MW</w:t>
      </w:r>
      <w:r>
        <w:rPr>
          <w:b/>
          <w:vertAlign w:val="subscript"/>
        </w:rPr>
        <w:t>th</w:t>
      </w:r>
      <w:r>
        <w:rPr>
          <w:b/>
        </w:rPr>
        <w:t xml:space="preserve"> summaarse nimisoojusvõimsusega põletusseadmete käitamistingimuste ja neist eralduva õhusaaste piirnormide kohta</w:t>
      </w:r>
    </w:p>
    <w:p w:rsidR="00FC1B4C" w:rsidRPr="00D4046D" w:rsidRDefault="00FC1B4C" w:rsidP="004A4164">
      <w:pPr>
        <w:jc w:val="both"/>
        <w:rPr>
          <w:rFonts w:eastAsiaTheme="minorHAnsi"/>
          <w:b/>
          <w:bCs/>
        </w:rPr>
      </w:pPr>
    </w:p>
    <w:p w:rsidR="00FC1B4C" w:rsidRPr="00D4046D" w:rsidRDefault="00FC1B4C" w:rsidP="004A4164">
      <w:pPr>
        <w:jc w:val="both"/>
        <w:rPr>
          <w:i/>
          <w:iCs/>
          <w:u w:val="single"/>
        </w:rPr>
      </w:pPr>
    </w:p>
    <w:p w:rsidR="00FC1B4C" w:rsidRPr="00D4046D" w:rsidRDefault="00FC1B4C" w:rsidP="004A4164">
      <w:pPr>
        <w:jc w:val="both"/>
        <w:rPr>
          <w:bCs/>
          <w:iCs/>
        </w:rPr>
      </w:pPr>
      <w:r>
        <w:t>Vastavalt keskkonnakaitse üldeeskirju käsitleva 1995. aasta seaduse XLIII paragrahvi 110 lõike 8 punktis g antud volitusele ja oma pädevuste raames, mis on määratletud valitsuse 22. mai 2018. aasta dekreedi nr 94/2018 (valitsuse liikmete kohustuste ja pädevuste kohta) paragrahvi 79 lõikes 9, kehtestan käesolevaga alljärgneva.</w:t>
      </w:r>
    </w:p>
    <w:p w:rsidR="00FC1B4C" w:rsidRPr="00D4046D" w:rsidRDefault="00FC1B4C" w:rsidP="004A4164">
      <w:pPr>
        <w:jc w:val="both"/>
        <w:rPr>
          <w:i/>
        </w:rPr>
      </w:pPr>
    </w:p>
    <w:p w:rsidR="00287AE1" w:rsidRDefault="00D606F7" w:rsidP="004A4164">
      <w:pPr>
        <w:keepNext/>
        <w:keepLines/>
        <w:jc w:val="center"/>
        <w:rPr>
          <w:b/>
        </w:rPr>
      </w:pPr>
      <w:r>
        <w:rPr>
          <w:b/>
        </w:rPr>
        <w:t>§ 1</w:t>
      </w:r>
    </w:p>
    <w:p w:rsidR="00D606F7" w:rsidRDefault="00D606F7" w:rsidP="004A4164">
      <w:pPr>
        <w:keepNext/>
        <w:keepLines/>
        <w:jc w:val="center"/>
        <w:rPr>
          <w:b/>
        </w:rPr>
      </w:pPr>
    </w:p>
    <w:p w:rsidR="009F7DF7" w:rsidRPr="009F7DF7" w:rsidRDefault="004A4164" w:rsidP="004A4164">
      <w:pPr>
        <w:pStyle w:val="ListParagraph"/>
        <w:autoSpaceDE w:val="0"/>
        <w:autoSpaceDN w:val="0"/>
        <w:adjustRightInd w:val="0"/>
        <w:spacing w:before="60"/>
        <w:ind w:left="0"/>
        <w:jc w:val="both"/>
        <w:rPr>
          <w:bCs/>
          <w:iCs/>
        </w:rPr>
      </w:pPr>
      <w:r>
        <w:t>1) Põllumajandusministri 18. oktoobri 2017. aasta dekreedi 53/2017 (alates 140 kW</w:t>
      </w:r>
      <w:r>
        <w:rPr>
          <w:vertAlign w:val="subscript"/>
        </w:rPr>
        <w:t>th</w:t>
      </w:r>
      <w:r>
        <w:t xml:space="preserve"> kuni 50 MW</w:t>
      </w:r>
      <w:r>
        <w:rPr>
          <w:vertAlign w:val="subscript"/>
        </w:rPr>
        <w:t>th</w:t>
      </w:r>
      <w:r>
        <w:t xml:space="preserve"> summaarse nimisoojusvõimsusega põletusseadmete käitamistingimuste ja neist eralduva õhusaaste piirnormide kohta) (edaspidi „dekreet“) paragrahvi 2 lõikele 1 lisatakse järgmine punkt 1a:</w:t>
      </w:r>
    </w:p>
    <w:p w:rsidR="009F7DF7" w:rsidRPr="009F7DF7" w:rsidRDefault="009F7DF7" w:rsidP="004A4164">
      <w:pPr>
        <w:autoSpaceDE w:val="0"/>
        <w:autoSpaceDN w:val="0"/>
        <w:adjustRightInd w:val="0"/>
        <w:spacing w:before="60"/>
        <w:jc w:val="both"/>
        <w:rPr>
          <w:bCs/>
          <w:i/>
          <w:iCs/>
        </w:rPr>
      </w:pPr>
      <w:r>
        <w:rPr>
          <w:i/>
        </w:rPr>
        <w:t>(Käesoleva dekreedi tähenduses)</w:t>
      </w:r>
    </w:p>
    <w:p w:rsidR="009F7DF7" w:rsidRDefault="009F7DF7" w:rsidP="004A4164">
      <w:pPr>
        <w:autoSpaceDE w:val="0"/>
        <w:autoSpaceDN w:val="0"/>
        <w:adjustRightInd w:val="0"/>
        <w:spacing w:before="60"/>
        <w:jc w:val="both"/>
        <w:rPr>
          <w:bCs/>
          <w:iCs/>
        </w:rPr>
      </w:pPr>
      <w:r>
        <w:t>„1a. „</w:t>
      </w:r>
      <w:r>
        <w:rPr>
          <w:i/>
        </w:rPr>
        <w:t>gaasi ülekandesüsteem</w:t>
      </w:r>
      <w:r>
        <w:t>“ – koostööl põhinev maagaasisüsteem 2008. aasta maagaasiga varustamist käsitleva seaduse XL kohaselt;“.</w:t>
      </w:r>
    </w:p>
    <w:p w:rsidR="009F7DF7" w:rsidRDefault="009F7DF7" w:rsidP="004A4164">
      <w:pPr>
        <w:autoSpaceDE w:val="0"/>
        <w:autoSpaceDN w:val="0"/>
        <w:adjustRightInd w:val="0"/>
        <w:spacing w:before="60"/>
        <w:jc w:val="both"/>
        <w:rPr>
          <w:bCs/>
          <w:iCs/>
        </w:rPr>
      </w:pPr>
    </w:p>
    <w:p w:rsidR="00D606F7" w:rsidRDefault="009F7DF7" w:rsidP="004A4164">
      <w:pPr>
        <w:keepNext/>
        <w:keepLines/>
        <w:autoSpaceDE w:val="0"/>
        <w:autoSpaceDN w:val="0"/>
        <w:adjustRightInd w:val="0"/>
        <w:spacing w:before="60"/>
        <w:jc w:val="both"/>
        <w:rPr>
          <w:bCs/>
          <w:iCs/>
        </w:rPr>
      </w:pPr>
      <w:r>
        <w:t>2) Dekreedi paragrahvi 2 lõike 1 punkt 9 asendatakse järgmisega:</w:t>
      </w:r>
    </w:p>
    <w:p w:rsidR="00D606F7" w:rsidRDefault="00D606F7" w:rsidP="004A4164">
      <w:pPr>
        <w:autoSpaceDE w:val="0"/>
        <w:autoSpaceDN w:val="0"/>
        <w:adjustRightInd w:val="0"/>
        <w:spacing w:before="60"/>
        <w:jc w:val="both"/>
        <w:rPr>
          <w:bCs/>
          <w:iCs/>
        </w:rPr>
      </w:pPr>
      <w:r>
        <w:t>„9. „</w:t>
      </w:r>
      <w:r>
        <w:rPr>
          <w:i/>
        </w:rPr>
        <w:t>summaarne nimisoojusvõimsus</w:t>
      </w:r>
      <w:r>
        <w:t>“ – põletusseadmete nimisoojusvõimsuste summa, mis arvutatakse liitmiseeskirjadest lähtuvalt, mis põletusseadme puhul on võrdne selle nimisoojusvõimsusega;“.</w:t>
      </w:r>
    </w:p>
    <w:p w:rsidR="00D606F7" w:rsidRDefault="00D606F7" w:rsidP="004A4164">
      <w:pPr>
        <w:autoSpaceDE w:val="0"/>
        <w:autoSpaceDN w:val="0"/>
        <w:adjustRightInd w:val="0"/>
        <w:spacing w:before="60"/>
        <w:jc w:val="both"/>
        <w:rPr>
          <w:bCs/>
          <w:iCs/>
        </w:rPr>
      </w:pPr>
    </w:p>
    <w:p w:rsidR="00D606F7" w:rsidRPr="00D606F7" w:rsidRDefault="00D606F7" w:rsidP="004A4164">
      <w:pPr>
        <w:keepNext/>
        <w:keepLines/>
        <w:jc w:val="center"/>
        <w:rPr>
          <w:b/>
        </w:rPr>
      </w:pPr>
      <w:r>
        <w:rPr>
          <w:b/>
        </w:rPr>
        <w:t>§ 2</w:t>
      </w:r>
    </w:p>
    <w:p w:rsidR="00DE6CCA" w:rsidRPr="00D4046D" w:rsidRDefault="00DE6CCA" w:rsidP="004A4164">
      <w:pPr>
        <w:pStyle w:val="ListParagraph"/>
        <w:keepNext/>
        <w:keepLines/>
        <w:ind w:left="0"/>
        <w:jc w:val="center"/>
        <w:rPr>
          <w:i/>
        </w:rPr>
      </w:pPr>
    </w:p>
    <w:p w:rsidR="00F3461C" w:rsidRPr="004A4164" w:rsidRDefault="004A4164" w:rsidP="004A4164">
      <w:pPr>
        <w:keepNext/>
        <w:keepLines/>
        <w:autoSpaceDE w:val="0"/>
        <w:autoSpaceDN w:val="0"/>
        <w:adjustRightInd w:val="0"/>
        <w:spacing w:before="60"/>
        <w:jc w:val="both"/>
        <w:rPr>
          <w:bCs/>
          <w:iCs/>
        </w:rPr>
      </w:pPr>
      <w:r>
        <w:t>1) Dekreedi paragrahvi 4 lõiked 6 ja 7 jõustuvad järgmises sõnastuses:</w:t>
      </w:r>
    </w:p>
    <w:p w:rsidR="00287AE1" w:rsidRPr="00D4046D" w:rsidRDefault="00287AE1" w:rsidP="004A4164">
      <w:pPr>
        <w:autoSpaceDE w:val="0"/>
        <w:autoSpaceDN w:val="0"/>
        <w:adjustRightInd w:val="0"/>
        <w:spacing w:before="60"/>
        <w:jc w:val="both"/>
        <w:rPr>
          <w:bCs/>
          <w:iCs/>
        </w:rPr>
      </w:pPr>
      <w:r>
        <w:t>„6) 1. lisas sätestatud heite piirväärtused kehtivad I kategooria põletusseadmetele, mille summaarne nimisoojusvõimsus on vähemalt 1 MW</w:t>
      </w:r>
      <w:r>
        <w:rPr>
          <w:vertAlign w:val="subscript"/>
        </w:rPr>
        <w:t>th</w:t>
      </w:r>
      <w:r>
        <w:t xml:space="preserve"> ja mis töötavad viie aasta libiseva keskmisena aastas rohkem kui 500 töötundi. Erandiks on see, et tahketel biomasskütustel töötavate põletusseadmete tahkete materjalide heite piirväärtus on 200 mg/Nm</w:t>
      </w:r>
      <w:r>
        <w:rPr>
          <w:vertAlign w:val="superscript"/>
        </w:rPr>
        <w:t>3</w:t>
      </w:r>
      <w:r>
        <w:t xml:space="preserve"> ja süsinikmonooksiidi heite piirväärtus on 375 mg/Nm</w:t>
      </w:r>
      <w:r>
        <w:rPr>
          <w:vertAlign w:val="superscript"/>
        </w:rPr>
        <w:t>3</w:t>
      </w:r>
      <w:r>
        <w:t>.</w:t>
      </w:r>
    </w:p>
    <w:p w:rsidR="00287AE1" w:rsidRPr="00D4046D" w:rsidRDefault="00287AE1" w:rsidP="004A4164">
      <w:pPr>
        <w:jc w:val="both"/>
        <w:rPr>
          <w:i/>
        </w:rPr>
      </w:pPr>
      <w:r>
        <w:t>7) Kuni 1. jaanuarini 2030 kehtivad 1. lisas esitatud piirväärtused I kategooria põletusseadmetele, mille summaarne nimisoojusvõimsus on suurem kui 5 MW</w:t>
      </w:r>
      <w:r>
        <w:rPr>
          <w:vertAlign w:val="subscript"/>
        </w:rPr>
        <w:t>th</w:t>
      </w:r>
      <w:r>
        <w:t>, mille puhul 50 % selliste seadmete toodetavast kasulikust soojusest, mida arvutatakse viie aasta libiseva keskmisena, tarnitakse auru või kuuma veena üldkasutatavasse kaugküttevõrku. Erandiks on see, et tahke- ja vedelkütustel töötavate põletusseadmete vääveldioksiidi heite piirväärtus on 1100 mg/Nm</w:t>
      </w:r>
      <w:r>
        <w:rPr>
          <w:vertAlign w:val="superscript"/>
        </w:rPr>
        <w:t>3</w:t>
      </w:r>
      <w:r>
        <w:t xml:space="preserve"> ja tahkekütustel töötavate põletusseadmete tahkete materjalide heite piirväärtus on 150 mg/Nm</w:t>
      </w:r>
      <w:r>
        <w:rPr>
          <w:vertAlign w:val="superscript"/>
        </w:rPr>
        <w:t>3</w:t>
      </w:r>
      <w:r>
        <w:t>, samas kui tahkel biomasskütusel töötavate põletusseadmete süsinikmonooksiidi heite piirväärtus on 375 mg/Nm</w:t>
      </w:r>
      <w:r>
        <w:rPr>
          <w:vertAlign w:val="superscript"/>
        </w:rPr>
        <w:t>3</w:t>
      </w:r>
      <w:r>
        <w:t>.“</w:t>
      </w:r>
    </w:p>
    <w:p w:rsidR="00FE5F56" w:rsidRPr="00D4046D" w:rsidRDefault="00FE5F56" w:rsidP="004A4164">
      <w:pPr>
        <w:autoSpaceDE w:val="0"/>
        <w:autoSpaceDN w:val="0"/>
        <w:adjustRightInd w:val="0"/>
        <w:spacing w:before="60"/>
        <w:jc w:val="both"/>
        <w:rPr>
          <w:bCs/>
          <w:iCs/>
        </w:rPr>
      </w:pPr>
    </w:p>
    <w:p w:rsidR="004257C8" w:rsidRPr="00D4046D" w:rsidRDefault="00FC1B4C" w:rsidP="004A4164">
      <w:pPr>
        <w:keepNext/>
        <w:keepLines/>
        <w:autoSpaceDE w:val="0"/>
        <w:autoSpaceDN w:val="0"/>
        <w:adjustRightInd w:val="0"/>
        <w:spacing w:before="60"/>
        <w:jc w:val="both"/>
        <w:rPr>
          <w:bCs/>
          <w:iCs/>
        </w:rPr>
      </w:pPr>
      <w:r>
        <w:lastRenderedPageBreak/>
        <w:t>2) Dekreedi paragrahvi 4 lõige 9 jõustub järgmises sõnastuses:</w:t>
      </w:r>
    </w:p>
    <w:p w:rsidR="004257C8" w:rsidRDefault="004257C8" w:rsidP="004A4164">
      <w:pPr>
        <w:autoSpaceDE w:val="0"/>
        <w:autoSpaceDN w:val="0"/>
        <w:adjustRightInd w:val="0"/>
        <w:jc w:val="both"/>
        <w:rPr>
          <w:rFonts w:eastAsiaTheme="minorEastAsia"/>
        </w:rPr>
      </w:pPr>
      <w:r>
        <w:t>„9) Kuni 1. jaanuarini 2030 kehtivad 1. lisas sätestatud heite piirväärtused lämmastikoksiididele, mis pärinevad 1. kategooria mootoritest ja gaasiturbiinidest, mille summaarne nimisoojusvõimsus on suurem kui 5 MW</w:t>
      </w:r>
      <w:r>
        <w:rPr>
          <w:vertAlign w:val="subscript"/>
        </w:rPr>
        <w:t>th</w:t>
      </w:r>
      <w:r>
        <w:t xml:space="preserve"> ja millega varustatakse gaasi ülekandesüsteemi ohutuse ja turvalisuse tagamiseks vajalikke gaasikompressorjaamasid. Erandiks on see, et enne 1. jaanuari 1994 kasutusele võetud gaasimootorite puhul on lämmastikoksiidide heite piirväärtus 565 mg/Nm</w:t>
      </w:r>
      <w:r>
        <w:rPr>
          <w:vertAlign w:val="superscript"/>
        </w:rPr>
        <w:t>3</w:t>
      </w:r>
      <w:r>
        <w:t>.“</w:t>
      </w:r>
    </w:p>
    <w:p w:rsidR="00740D2A" w:rsidRPr="00D4046D" w:rsidRDefault="00740D2A" w:rsidP="004A4164">
      <w:pPr>
        <w:autoSpaceDE w:val="0"/>
        <w:autoSpaceDN w:val="0"/>
        <w:adjustRightInd w:val="0"/>
        <w:jc w:val="both"/>
        <w:rPr>
          <w:bCs/>
          <w:iCs/>
        </w:rPr>
      </w:pPr>
    </w:p>
    <w:p w:rsidR="00FC1B4C" w:rsidRPr="00D4046D" w:rsidRDefault="004257C8" w:rsidP="004A4164">
      <w:pPr>
        <w:keepNext/>
        <w:keepLines/>
        <w:autoSpaceDE w:val="0"/>
        <w:autoSpaceDN w:val="0"/>
        <w:adjustRightInd w:val="0"/>
        <w:spacing w:before="60"/>
        <w:jc w:val="both"/>
        <w:rPr>
          <w:bCs/>
          <w:iCs/>
        </w:rPr>
      </w:pPr>
      <w:r>
        <w:t>3) Dekreedi paragrahvi 4 lõige 10 asendatakse järgmiselt:</w:t>
      </w:r>
    </w:p>
    <w:p w:rsidR="00FC1B4C" w:rsidRPr="00D4046D" w:rsidRDefault="00FC1B4C" w:rsidP="004A4164">
      <w:pPr>
        <w:autoSpaceDE w:val="0"/>
        <w:autoSpaceDN w:val="0"/>
        <w:adjustRightInd w:val="0"/>
        <w:spacing w:before="60"/>
        <w:jc w:val="both"/>
        <w:rPr>
          <w:bCs/>
          <w:iCs/>
        </w:rPr>
      </w:pPr>
      <w:r>
        <w:t>„10) 1. lisas sätestatud heite piirväärtused kehtivad II kategooria põletusseadmetele, mis kolme aasta libiseva keskmisena töötavad aastas mitte rohkem kui 500 töötundi. Erandiks on see, et tahkekütustel töötavate põletusseadmete puhul on tahkete materjalide heite piirväärtus 100 mg/Nm</w:t>
      </w:r>
      <w:r>
        <w:rPr>
          <w:vertAlign w:val="superscript"/>
        </w:rPr>
        <w:t>3</w:t>
      </w:r>
      <w:r>
        <w:t xml:space="preserve"> ja tahkel biomasskütusel töötavate põletusseadmete puhul, mille summaarne nimisoojusvõimsus on vähemalt 1 MW</w:t>
      </w:r>
      <w:r>
        <w:rPr>
          <w:vertAlign w:val="subscript"/>
        </w:rPr>
        <w:t>th</w:t>
      </w:r>
      <w:r>
        <w:t>, on süsinikmonooksiidi heite piirväärtus 375 mg/Nm</w:t>
      </w:r>
      <w:r>
        <w:rPr>
          <w:vertAlign w:val="superscript"/>
        </w:rPr>
        <w:t>3</w:t>
      </w:r>
      <w:r>
        <w:t>.“</w:t>
      </w:r>
    </w:p>
    <w:p w:rsidR="00DE6CCA" w:rsidRPr="00D4046D" w:rsidRDefault="00DE6CCA" w:rsidP="004A4164">
      <w:pPr>
        <w:autoSpaceDE w:val="0"/>
        <w:autoSpaceDN w:val="0"/>
        <w:adjustRightInd w:val="0"/>
        <w:spacing w:before="60"/>
        <w:jc w:val="both"/>
        <w:rPr>
          <w:bCs/>
          <w:iCs/>
        </w:rPr>
      </w:pPr>
    </w:p>
    <w:p w:rsidR="00DE6CCA" w:rsidRPr="00D4046D" w:rsidRDefault="004916B6" w:rsidP="004A4164">
      <w:pPr>
        <w:pStyle w:val="ListParagraph"/>
        <w:keepNext/>
        <w:keepLines/>
        <w:autoSpaceDE w:val="0"/>
        <w:autoSpaceDN w:val="0"/>
        <w:adjustRightInd w:val="0"/>
        <w:spacing w:before="60"/>
        <w:ind w:left="0"/>
        <w:jc w:val="both"/>
        <w:rPr>
          <w:bCs/>
          <w:iCs/>
        </w:rPr>
      </w:pPr>
      <w:r>
        <w:t>4) Dekreedi paragrahvi 4 lõige 13 asendatakse järgmiselt:</w:t>
      </w:r>
    </w:p>
    <w:p w:rsidR="00DE6CCA" w:rsidRPr="00553495" w:rsidRDefault="00DE6CCA" w:rsidP="004A4164">
      <w:pPr>
        <w:keepNext/>
        <w:keepLines/>
        <w:autoSpaceDE w:val="0"/>
        <w:autoSpaceDN w:val="0"/>
        <w:adjustRightInd w:val="0"/>
        <w:jc w:val="both"/>
        <w:rPr>
          <w:bCs/>
          <w:iCs/>
        </w:rPr>
      </w:pPr>
      <w:r>
        <w:t>„13) Statsionaarsete mootorite puhul ei kehti heite piirväärtused</w:t>
      </w:r>
    </w:p>
    <w:p w:rsidR="00DE6CCA" w:rsidRPr="00D4046D" w:rsidRDefault="00DE6CCA" w:rsidP="004A4164">
      <w:pPr>
        <w:autoSpaceDE w:val="0"/>
        <w:autoSpaceDN w:val="0"/>
        <w:adjustRightInd w:val="0"/>
        <w:jc w:val="both"/>
      </w:pPr>
      <w:r>
        <w:rPr>
          <w:i/>
        </w:rPr>
        <w:t>a)</w:t>
      </w:r>
      <w:r>
        <w:t xml:space="preserve"> mootoritele, mille nimisoojusvõimsus on väiksem kui 1 MW</w:t>
      </w:r>
      <w:r>
        <w:rPr>
          <w:vertAlign w:val="subscript"/>
        </w:rPr>
        <w:t>th</w:t>
      </w:r>
      <w:r>
        <w:t xml:space="preserve"> ja mille kütusekasutus on väiksem kui 50 kg/h,</w:t>
      </w:r>
    </w:p>
    <w:p w:rsidR="00DE6CCA" w:rsidRPr="00D4046D" w:rsidRDefault="00DE6CCA" w:rsidP="004A4164">
      <w:pPr>
        <w:autoSpaceDE w:val="0"/>
        <w:autoSpaceDN w:val="0"/>
        <w:adjustRightInd w:val="0"/>
        <w:jc w:val="both"/>
      </w:pPr>
      <w:r>
        <w:rPr>
          <w:i/>
        </w:rPr>
        <w:t>b)</w:t>
      </w:r>
      <w:r>
        <w:t xml:space="preserve"> statsionaarsetele mootoritele, millel on elektriline avariitoide, mis töötavad aastas vähem kui 50 tundi.“</w:t>
      </w:r>
    </w:p>
    <w:p w:rsidR="00DE6CCA" w:rsidRPr="00D4046D" w:rsidRDefault="00DE6CCA" w:rsidP="004A4164">
      <w:pPr>
        <w:pStyle w:val="ListParagraph"/>
        <w:autoSpaceDE w:val="0"/>
        <w:autoSpaceDN w:val="0"/>
        <w:adjustRightInd w:val="0"/>
        <w:spacing w:before="60"/>
        <w:ind w:left="0"/>
        <w:jc w:val="both"/>
        <w:rPr>
          <w:bCs/>
          <w:iCs/>
        </w:rPr>
      </w:pPr>
    </w:p>
    <w:p w:rsidR="00FC1B4C" w:rsidRPr="00D4046D" w:rsidRDefault="00D606F7" w:rsidP="004A4164">
      <w:pPr>
        <w:keepNext/>
        <w:keepLines/>
        <w:autoSpaceDE w:val="0"/>
        <w:autoSpaceDN w:val="0"/>
        <w:adjustRightInd w:val="0"/>
        <w:jc w:val="center"/>
        <w:rPr>
          <w:b/>
          <w:bCs/>
          <w:iCs/>
        </w:rPr>
      </w:pPr>
      <w:r>
        <w:rPr>
          <w:b/>
        </w:rPr>
        <w:t>§ 3</w:t>
      </w:r>
    </w:p>
    <w:p w:rsidR="00D26C98" w:rsidRPr="00D4046D" w:rsidRDefault="00D26C98" w:rsidP="004A4164">
      <w:pPr>
        <w:keepNext/>
        <w:keepLines/>
        <w:autoSpaceDE w:val="0"/>
        <w:autoSpaceDN w:val="0"/>
        <w:adjustRightInd w:val="0"/>
        <w:jc w:val="center"/>
        <w:rPr>
          <w:bCs/>
          <w:iCs/>
        </w:rPr>
      </w:pPr>
    </w:p>
    <w:p w:rsidR="00FC1B4C" w:rsidRPr="00D4046D" w:rsidRDefault="00FC1B4C" w:rsidP="004A4164">
      <w:pPr>
        <w:keepNext/>
        <w:keepLines/>
        <w:autoSpaceDE w:val="0"/>
        <w:autoSpaceDN w:val="0"/>
        <w:adjustRightInd w:val="0"/>
        <w:jc w:val="both"/>
      </w:pPr>
      <w:r>
        <w:t>Dekreedi paragrahvi 12 lõiked 2 ja 3 asendatakse järgmisega:</w:t>
      </w:r>
    </w:p>
    <w:p w:rsidR="00D26C98" w:rsidRPr="00D4046D" w:rsidRDefault="00D26C98" w:rsidP="004A4164">
      <w:pPr>
        <w:keepNext/>
        <w:keepLines/>
        <w:autoSpaceDE w:val="0"/>
        <w:autoSpaceDN w:val="0"/>
        <w:adjustRightInd w:val="0"/>
        <w:jc w:val="both"/>
      </w:pPr>
    </w:p>
    <w:p w:rsidR="006B0CC9" w:rsidRPr="00D4046D" w:rsidRDefault="00FC1B4C" w:rsidP="004A4164">
      <w:pPr>
        <w:autoSpaceDE w:val="0"/>
        <w:autoSpaceDN w:val="0"/>
        <w:adjustRightInd w:val="0"/>
        <w:spacing w:before="60"/>
        <w:jc w:val="both"/>
      </w:pPr>
      <w:r>
        <w:t>„2) Kuni 31. detsembrini 2029 kehtivad 1. lisas sätestatud heite piirväärtused I kategooria põletusseadmetele, mille summaarne nimisoojusvõimsus on vähemalt 1 MW</w:t>
      </w:r>
      <w:r>
        <w:rPr>
          <w:vertAlign w:val="subscript"/>
        </w:rPr>
        <w:t>th</w:t>
      </w:r>
      <w:r>
        <w:t>, aga väiksem kui 5</w:t>
      </w:r>
      <w:r w:rsidR="007666B6">
        <w:t xml:space="preserve"> </w:t>
      </w:r>
      <w:r>
        <w:t>MW</w:t>
      </w:r>
      <w:r>
        <w:rPr>
          <w:vertAlign w:val="subscript"/>
        </w:rPr>
        <w:t>th</w:t>
      </w:r>
      <w:r>
        <w:t xml:space="preserve">, mille puhul kehtivad järgmised erandid: </w:t>
      </w:r>
    </w:p>
    <w:p w:rsidR="00FC1B4C" w:rsidRPr="00D4046D" w:rsidRDefault="00FC1B4C" w:rsidP="004A4164">
      <w:pPr>
        <w:pStyle w:val="ListParagraph"/>
        <w:numPr>
          <w:ilvl w:val="0"/>
          <w:numId w:val="50"/>
        </w:numPr>
        <w:autoSpaceDE w:val="0"/>
        <w:autoSpaceDN w:val="0"/>
        <w:adjustRightInd w:val="0"/>
        <w:spacing w:before="60"/>
        <w:ind w:left="426" w:hanging="426"/>
        <w:jc w:val="both"/>
      </w:pPr>
      <w:r>
        <w:t>tahke biomassi põletamise puhul on süsinikmonooksiidi heite piirväärtus 375 mg/Nm</w:t>
      </w:r>
      <w:r>
        <w:rPr>
          <w:vertAlign w:val="superscript"/>
        </w:rPr>
        <w:t>3</w:t>
      </w:r>
      <w:r>
        <w:t>;</w:t>
      </w:r>
    </w:p>
    <w:p w:rsidR="006B0CC9" w:rsidRPr="00D4046D" w:rsidRDefault="006B0CC9" w:rsidP="004A4164">
      <w:pPr>
        <w:pStyle w:val="ListParagraph"/>
        <w:numPr>
          <w:ilvl w:val="0"/>
          <w:numId w:val="50"/>
        </w:numPr>
        <w:autoSpaceDE w:val="0"/>
        <w:autoSpaceDN w:val="0"/>
        <w:adjustRightInd w:val="0"/>
        <w:spacing w:before="60"/>
        <w:ind w:left="426" w:hanging="426"/>
        <w:jc w:val="both"/>
      </w:pPr>
      <w:r>
        <w:t>enne 1. jaanuari 1994 kasutusele võetud gaasimootorite puhul, mille summaarne nimisoojusvõimsus on suurem kui 3 MW</w:t>
      </w:r>
      <w:r>
        <w:rPr>
          <w:vertAlign w:val="subscript"/>
        </w:rPr>
        <w:t>th</w:t>
      </w:r>
      <w:r>
        <w:t>, on lämmastikoksiidide heite piirväärtus 565 mg/Nm</w:t>
      </w:r>
      <w:r>
        <w:rPr>
          <w:vertAlign w:val="superscript"/>
        </w:rPr>
        <w:t>3</w:t>
      </w:r>
      <w:r>
        <w:t>, neljataktiliste mootorite puhul on CO-heite piirväärtus 375 mg/Nm</w:t>
      </w:r>
      <w:r>
        <w:rPr>
          <w:vertAlign w:val="superscript"/>
        </w:rPr>
        <w:t>3</w:t>
      </w:r>
      <w:r>
        <w:t>, kahetaktiliste mootorite puhul on see 320 mg/Nm</w:t>
      </w:r>
      <w:r>
        <w:rPr>
          <w:vertAlign w:val="superscript"/>
        </w:rPr>
        <w:t>3</w:t>
      </w:r>
      <w:r>
        <w:t xml:space="preserve"> ja orgaaniliste ühendite summaarse koguse puhul, mida väljendatakse kui C (süsinik), välja arvatud metaan, on heite piirväärtus 115 mg/Nm</w:t>
      </w:r>
      <w:r>
        <w:rPr>
          <w:vertAlign w:val="superscript"/>
        </w:rPr>
        <w:t>3</w:t>
      </w:r>
      <w:r>
        <w:t>.</w:t>
      </w:r>
    </w:p>
    <w:p w:rsidR="006B0CC9" w:rsidRPr="00D4046D" w:rsidRDefault="00115E21" w:rsidP="004A4164">
      <w:pPr>
        <w:autoSpaceDE w:val="0"/>
        <w:autoSpaceDN w:val="0"/>
        <w:adjustRightInd w:val="0"/>
        <w:jc w:val="both"/>
      </w:pPr>
      <w:r>
        <w:t>3) Kuni 31. detsembrini 2024 kehtivad 1. lisas sätestatud heite piirväärtused I kategooria põletusseadmetele, mille summaarne nimisoojusvõimsus on suurem kui 5 MW</w:t>
      </w:r>
      <w:r>
        <w:rPr>
          <w:vertAlign w:val="subscript"/>
        </w:rPr>
        <w:t>th</w:t>
      </w:r>
      <w:r>
        <w:t>, mille puhul kehtivad järgmised erandid:</w:t>
      </w:r>
    </w:p>
    <w:p w:rsidR="006B0CC9" w:rsidRPr="00D4046D" w:rsidRDefault="00FC1B4C" w:rsidP="004A4164">
      <w:pPr>
        <w:pStyle w:val="ListParagraph"/>
        <w:numPr>
          <w:ilvl w:val="0"/>
          <w:numId w:val="55"/>
        </w:numPr>
        <w:autoSpaceDE w:val="0"/>
        <w:autoSpaceDN w:val="0"/>
        <w:adjustRightInd w:val="0"/>
        <w:spacing w:before="60"/>
        <w:ind w:left="426" w:hanging="426"/>
        <w:jc w:val="both"/>
      </w:pPr>
      <w:r>
        <w:t>tahke biomassi põletamise puhul on süsinikmonooksiidi heite piirväärtus 375 mg/Nm</w:t>
      </w:r>
      <w:r>
        <w:rPr>
          <w:vertAlign w:val="superscript"/>
        </w:rPr>
        <w:t>3</w:t>
      </w:r>
      <w:r>
        <w:t>;</w:t>
      </w:r>
    </w:p>
    <w:p w:rsidR="00FC1B4C" w:rsidRPr="00D4046D" w:rsidRDefault="006B0CC9" w:rsidP="004A4164">
      <w:pPr>
        <w:pStyle w:val="ListParagraph"/>
        <w:numPr>
          <w:ilvl w:val="0"/>
          <w:numId w:val="55"/>
        </w:numPr>
        <w:autoSpaceDE w:val="0"/>
        <w:autoSpaceDN w:val="0"/>
        <w:adjustRightInd w:val="0"/>
        <w:spacing w:before="60"/>
        <w:ind w:left="426" w:hanging="426"/>
        <w:jc w:val="both"/>
      </w:pPr>
      <w:r>
        <w:t>enne 1. jaanuari 1994 kasutusele võetud gaasimootorite puhul on lämmastikoksiidide heite piirväärtus 565 mg/Nm</w:t>
      </w:r>
      <w:r>
        <w:rPr>
          <w:vertAlign w:val="superscript"/>
        </w:rPr>
        <w:t>3</w:t>
      </w:r>
      <w:r>
        <w:t>, neljataktiliste mootorite puhul on süsinikmonooksiidi heite piirväärtus 375 mg/Nm</w:t>
      </w:r>
      <w:r>
        <w:rPr>
          <w:vertAlign w:val="superscript"/>
        </w:rPr>
        <w:t>3</w:t>
      </w:r>
      <w:r>
        <w:t>, kahetaktiliste mootorite puhul on see 320 mg/Nm</w:t>
      </w:r>
      <w:r>
        <w:rPr>
          <w:vertAlign w:val="superscript"/>
        </w:rPr>
        <w:t>3</w:t>
      </w:r>
      <w:r>
        <w:t xml:space="preserve"> ja orgaaniliste ühendite summaarse koguse puhul, mida väljendatakse kui C (süsinik), välja arvatud metaan, on heite piirväärtus 115 mg/Nm</w:t>
      </w:r>
      <w:r>
        <w:rPr>
          <w:vertAlign w:val="superscript"/>
        </w:rPr>
        <w:t>3</w:t>
      </w:r>
      <w:r>
        <w:t>.“</w:t>
      </w:r>
    </w:p>
    <w:p w:rsidR="00115E21" w:rsidRPr="00D4046D" w:rsidRDefault="00115E21" w:rsidP="004A4164">
      <w:pPr>
        <w:autoSpaceDE w:val="0"/>
        <w:autoSpaceDN w:val="0"/>
        <w:adjustRightInd w:val="0"/>
        <w:jc w:val="both"/>
      </w:pPr>
    </w:p>
    <w:p w:rsidR="00115E21" w:rsidRPr="00D4046D" w:rsidRDefault="00D606F7" w:rsidP="004A4164">
      <w:pPr>
        <w:keepNext/>
        <w:keepLines/>
        <w:autoSpaceDE w:val="0"/>
        <w:autoSpaceDN w:val="0"/>
        <w:adjustRightInd w:val="0"/>
        <w:jc w:val="center"/>
        <w:rPr>
          <w:b/>
        </w:rPr>
      </w:pPr>
      <w:r>
        <w:rPr>
          <w:b/>
        </w:rPr>
        <w:t>§ 4</w:t>
      </w:r>
    </w:p>
    <w:p w:rsidR="00FC1B4C" w:rsidRPr="00D4046D" w:rsidRDefault="00FC1B4C" w:rsidP="004A4164">
      <w:pPr>
        <w:keepNext/>
        <w:keepLines/>
        <w:autoSpaceDE w:val="0"/>
        <w:autoSpaceDN w:val="0"/>
        <w:adjustRightInd w:val="0"/>
      </w:pPr>
    </w:p>
    <w:p w:rsidR="00C77639" w:rsidRPr="00D4046D" w:rsidRDefault="00C77639" w:rsidP="004A4164">
      <w:pPr>
        <w:autoSpaceDE w:val="0"/>
        <w:autoSpaceDN w:val="0"/>
        <w:adjustRightInd w:val="0"/>
      </w:pPr>
      <w:r>
        <w:t>1) Dekreedi 1. lisa muudetakse kooskõlas 1. lisaga.</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2) Dekreedi 2. lisa jõustub kooskõlas 2. lisaga.</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3) Dekreedi 3. lisa jõustub kooskõlas 3. lisaga.</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4) Dekreedi 4. lisa muudetakse kooskõlas 4. lisaga.</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5) Dekreedi 5. lisa muudetakse kooskõlas 5. lisaga.</w:t>
      </w:r>
    </w:p>
    <w:p w:rsidR="00C77639" w:rsidRDefault="00C77639" w:rsidP="004A4164">
      <w:pPr>
        <w:autoSpaceDE w:val="0"/>
        <w:autoSpaceDN w:val="0"/>
        <w:adjustRightInd w:val="0"/>
      </w:pPr>
    </w:p>
    <w:p w:rsidR="00052A46" w:rsidRPr="00D4046D" w:rsidRDefault="00D606F7" w:rsidP="004A4164">
      <w:pPr>
        <w:keepNext/>
        <w:keepLines/>
        <w:autoSpaceDE w:val="0"/>
        <w:autoSpaceDN w:val="0"/>
        <w:adjustRightInd w:val="0"/>
        <w:jc w:val="center"/>
        <w:rPr>
          <w:b/>
        </w:rPr>
      </w:pPr>
      <w:r>
        <w:rPr>
          <w:b/>
        </w:rPr>
        <w:t>§ 5</w:t>
      </w:r>
    </w:p>
    <w:p w:rsidR="00052A46" w:rsidRDefault="00052A46" w:rsidP="004A4164">
      <w:pPr>
        <w:keepNext/>
        <w:keepLines/>
        <w:autoSpaceDE w:val="0"/>
        <w:autoSpaceDN w:val="0"/>
        <w:adjustRightInd w:val="0"/>
      </w:pPr>
    </w:p>
    <w:p w:rsidR="00052A46" w:rsidRDefault="00052A46" w:rsidP="004A4164">
      <w:pPr>
        <w:autoSpaceDE w:val="0"/>
        <w:autoSpaceDN w:val="0"/>
        <w:adjustRightInd w:val="0"/>
      </w:pPr>
      <w:r>
        <w:t>Dekreedi 4. lisa punkti 3 alapunkt 3.4 tunnistatakse kehtetuks.</w:t>
      </w:r>
    </w:p>
    <w:p w:rsidR="00052A46" w:rsidRPr="00D4046D" w:rsidRDefault="00052A46" w:rsidP="004A4164">
      <w:pPr>
        <w:autoSpaceDE w:val="0"/>
        <w:autoSpaceDN w:val="0"/>
        <w:adjustRightInd w:val="0"/>
      </w:pPr>
    </w:p>
    <w:p w:rsidR="00C77639" w:rsidRPr="00D4046D" w:rsidRDefault="00D606F7" w:rsidP="004A4164">
      <w:pPr>
        <w:keepNext/>
        <w:keepLines/>
        <w:autoSpaceDE w:val="0"/>
        <w:autoSpaceDN w:val="0"/>
        <w:adjustRightInd w:val="0"/>
        <w:jc w:val="center"/>
        <w:rPr>
          <w:b/>
        </w:rPr>
      </w:pPr>
      <w:r>
        <w:rPr>
          <w:b/>
        </w:rPr>
        <w:t>§ 6</w:t>
      </w:r>
    </w:p>
    <w:p w:rsidR="00C77639" w:rsidRPr="00D4046D" w:rsidRDefault="00C77639" w:rsidP="004A4164">
      <w:pPr>
        <w:keepNext/>
        <w:keepLines/>
        <w:autoSpaceDE w:val="0"/>
        <w:autoSpaceDN w:val="0"/>
        <w:adjustRightInd w:val="0"/>
      </w:pPr>
    </w:p>
    <w:p w:rsidR="00FC1B4C" w:rsidRPr="00D4046D" w:rsidRDefault="00FC1B4C" w:rsidP="004A4164">
      <w:pPr>
        <w:autoSpaceDE w:val="0"/>
        <w:autoSpaceDN w:val="0"/>
        <w:adjustRightInd w:val="0"/>
        <w:jc w:val="both"/>
      </w:pPr>
      <w:r>
        <w:t>1) Käesolev dekreet jõustub selle avaldamisele järgneval 15. päeval, välja arvatud lõigetes 2 ja 3 määratletud erandid.</w:t>
      </w:r>
    </w:p>
    <w:p w:rsidR="004916B6" w:rsidRPr="00D4046D" w:rsidRDefault="004916B6" w:rsidP="004A4164">
      <w:pPr>
        <w:autoSpaceDE w:val="0"/>
        <w:autoSpaceDN w:val="0"/>
        <w:adjustRightInd w:val="0"/>
        <w:jc w:val="both"/>
      </w:pPr>
    </w:p>
    <w:p w:rsidR="004916B6" w:rsidRDefault="004A4164" w:rsidP="004A4164">
      <w:pPr>
        <w:pStyle w:val="ListParagraph"/>
        <w:autoSpaceDE w:val="0"/>
        <w:autoSpaceDN w:val="0"/>
        <w:adjustRightInd w:val="0"/>
        <w:ind w:left="0"/>
        <w:jc w:val="both"/>
      </w:pPr>
      <w:r>
        <w:t>2) Paragrahvi 2 lõiked 1 ja 2, paragrahvi 4 lõige 3 ning 3. lisa jõustuvad 1. jaanuaril 2025.</w:t>
      </w:r>
    </w:p>
    <w:p w:rsidR="00567A90" w:rsidRPr="00D4046D" w:rsidRDefault="00567A90" w:rsidP="004A4164">
      <w:pPr>
        <w:pStyle w:val="ListParagraph"/>
        <w:autoSpaceDE w:val="0"/>
        <w:autoSpaceDN w:val="0"/>
        <w:adjustRightInd w:val="0"/>
        <w:ind w:left="0"/>
        <w:jc w:val="both"/>
      </w:pPr>
    </w:p>
    <w:p w:rsidR="00767D9D" w:rsidRDefault="004A4164" w:rsidP="004A4164">
      <w:pPr>
        <w:pStyle w:val="ListParagraph"/>
        <w:autoSpaceDE w:val="0"/>
        <w:autoSpaceDN w:val="0"/>
        <w:adjustRightInd w:val="0"/>
        <w:ind w:left="0"/>
        <w:jc w:val="both"/>
      </w:pPr>
      <w:r>
        <w:t>3) Paragrahvi 4 lõige 2 ja 2. lisa jõustuvad 1. jaanuaril 2030.</w:t>
      </w:r>
    </w:p>
    <w:p w:rsidR="00567A90" w:rsidRPr="00567A90" w:rsidRDefault="00567A90" w:rsidP="004A4164">
      <w:pPr>
        <w:pStyle w:val="ListParagraph"/>
        <w:autoSpaceDE w:val="0"/>
        <w:autoSpaceDN w:val="0"/>
        <w:adjustRightInd w:val="0"/>
        <w:ind w:left="0"/>
        <w:jc w:val="both"/>
        <w:rPr>
          <w:rFonts w:eastAsiaTheme="minorHAnsi"/>
        </w:rPr>
      </w:pPr>
    </w:p>
    <w:p w:rsidR="00767D9D" w:rsidRPr="001E77B8" w:rsidRDefault="001F134F" w:rsidP="004A4164">
      <w:pPr>
        <w:keepNext/>
        <w:keepLines/>
        <w:jc w:val="center"/>
        <w:rPr>
          <w:b/>
        </w:rPr>
      </w:pPr>
      <w:r>
        <w:rPr>
          <w:b/>
        </w:rPr>
        <w:t>§ 7</w:t>
      </w:r>
    </w:p>
    <w:p w:rsidR="00716094" w:rsidRPr="00D4046D" w:rsidRDefault="00716094" w:rsidP="004A4164">
      <w:pPr>
        <w:keepNext/>
        <w:keepLines/>
      </w:pPr>
    </w:p>
    <w:p w:rsidR="00716094" w:rsidRPr="00D4046D" w:rsidRDefault="00716094" w:rsidP="004A4164">
      <w:pPr>
        <w:autoSpaceDE w:val="0"/>
        <w:autoSpaceDN w:val="0"/>
        <w:adjustRightInd w:val="0"/>
        <w:jc w:val="both"/>
        <w:rPr>
          <w:rFonts w:eastAsiaTheme="minorEastAsia"/>
        </w:rPr>
      </w:pPr>
      <w:r>
        <w:t>1) Käesoleva dekreedi eesmärk on järgida Euroopa Parlamendi ja nõukogu 25. novembri 2015. aasta direktiivi (EL) 2015/2193 keskmise võimsusega põletusseadmetest õhku eralduvate teatavate saasteainete heite piiramise kohta.</w:t>
      </w:r>
    </w:p>
    <w:p w:rsidR="00716094" w:rsidRPr="00D4046D" w:rsidRDefault="00716094" w:rsidP="004A4164">
      <w:pPr>
        <w:autoSpaceDE w:val="0"/>
        <w:autoSpaceDN w:val="0"/>
        <w:adjustRightInd w:val="0"/>
        <w:jc w:val="both"/>
        <w:rPr>
          <w:rFonts w:eastAsiaTheme="minorEastAsia"/>
        </w:rPr>
      </w:pPr>
    </w:p>
    <w:p w:rsidR="00716094" w:rsidRPr="00D4046D" w:rsidRDefault="00716094" w:rsidP="004A4164">
      <w:pPr>
        <w:autoSpaceDE w:val="0"/>
        <w:autoSpaceDN w:val="0"/>
        <w:adjustRightInd w:val="0"/>
        <w:jc w:val="both"/>
        <w:rPr>
          <w:rFonts w:eastAsiaTheme="minorEastAsia"/>
        </w:rPr>
      </w:pPr>
      <w:r>
        <w:t>2) Käesoleva dekreedi puhul on täidetud eelneva teavitamise nõue, mis on sätestatud Euroopa Parlamendi ja nõukogu 9. septembri 2015. aasta direktiivi (EL) 2015/1535 (millega nähakse ette tehnilistest eeskirjadest ning infoühiskonna teenuste eeskirjadest teatamise kord) artiklites 5–7.</w:t>
      </w:r>
    </w:p>
    <w:p w:rsidR="00716094" w:rsidRPr="00D4046D" w:rsidRDefault="00716094" w:rsidP="004A4164"/>
    <w:p w:rsidR="00115E21" w:rsidRPr="000B1A9E" w:rsidRDefault="00115E21" w:rsidP="004A4164">
      <w:r>
        <w:t>Budapest, [päev] juuni 2019.“</w:t>
      </w:r>
    </w:p>
    <w:p w:rsidR="00115E21" w:rsidRPr="00832B17" w:rsidRDefault="00115E21" w:rsidP="004A4164"/>
    <w:p w:rsidR="004A4164" w:rsidRDefault="002125C2" w:rsidP="004A4164">
      <w:pPr>
        <w:ind w:left="6379"/>
      </w:pPr>
      <w:r>
        <w:t>Dr István Nagy</w:t>
      </w:r>
    </w:p>
    <w:p w:rsidR="004A4164" w:rsidRPr="004A4164" w:rsidRDefault="004A4164" w:rsidP="004A4164">
      <w:pPr>
        <w:ind w:left="6379"/>
      </w:pPr>
      <w:r>
        <w:rPr>
          <w:i/>
        </w:rPr>
        <w:t>Põllumajandusminister</w:t>
      </w:r>
    </w:p>
    <w:p w:rsidR="00FC1B4C" w:rsidRPr="00D4046D" w:rsidRDefault="00FC1B4C" w:rsidP="004A4164">
      <w:pPr>
        <w:keepNext/>
        <w:keepLines/>
        <w:pageBreakBefore/>
        <w:autoSpaceDE w:val="0"/>
        <w:autoSpaceDN w:val="0"/>
        <w:adjustRightInd w:val="0"/>
        <w:jc w:val="right"/>
        <w:rPr>
          <w:i/>
        </w:rPr>
      </w:pPr>
      <w:r>
        <w:rPr>
          <w:i/>
        </w:rPr>
        <w:t>Põllumajandusministri [kuupäev] 2019. aasta dekreedi nr .../ 2019 1. lisa</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keepNext/>
        <w:keepLines/>
        <w:autoSpaceDE w:val="0"/>
        <w:autoSpaceDN w:val="0"/>
        <w:adjustRightInd w:val="0"/>
      </w:pPr>
      <w:r>
        <w:t>1. Dekreedi 1. lisa punkti 2 alapunkt 2.3 asendatakse järgmisega:</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„2.3 Pruunsöe põletamise puhul on NOx heite piirväärtus 320 mg/m</w:t>
      </w:r>
      <w:r>
        <w:rPr>
          <w:vertAlign w:val="superscript"/>
        </w:rPr>
        <w:t>3</w:t>
      </w:r>
      <w:r>
        <w:t>, tahkeid biomasskütuseid kasutavate vedeliku põlemise teel töötavate katelde puhul 300 mg/m</w:t>
      </w:r>
      <w:r>
        <w:rPr>
          <w:vertAlign w:val="superscript"/>
        </w:rPr>
        <w:t>3</w:t>
      </w:r>
      <w:r>
        <w:t xml:space="preserve"> ja muid tahkekütuseid kasutavate vedeliku põlemise teel töötavate katelde puhul 210 mg/m</w:t>
      </w:r>
      <w:r>
        <w:rPr>
          <w:vertAlign w:val="superscript"/>
        </w:rPr>
        <w:t>3</w:t>
      </w:r>
      <w:r>
        <w:t>.“</w:t>
      </w:r>
    </w:p>
    <w:p w:rsidR="00FC1B4C" w:rsidRPr="00D4046D" w:rsidRDefault="00FC1B4C" w:rsidP="004A4164">
      <w:pPr>
        <w:autoSpaceDE w:val="0"/>
        <w:autoSpaceDN w:val="0"/>
        <w:adjustRightInd w:val="0"/>
        <w:jc w:val="both"/>
      </w:pPr>
    </w:p>
    <w:p w:rsidR="00462608" w:rsidRPr="00D4046D" w:rsidRDefault="00462608" w:rsidP="004A4164">
      <w:pPr>
        <w:autoSpaceDE w:val="0"/>
        <w:autoSpaceDN w:val="0"/>
        <w:adjustRightInd w:val="0"/>
        <w:jc w:val="both"/>
      </w:pPr>
    </w:p>
    <w:p w:rsidR="00462608" w:rsidRPr="00D4046D" w:rsidRDefault="00462608" w:rsidP="004A4164">
      <w:pPr>
        <w:keepNext/>
        <w:keepLines/>
        <w:autoSpaceDE w:val="0"/>
        <w:autoSpaceDN w:val="0"/>
        <w:adjustRightInd w:val="0"/>
        <w:jc w:val="both"/>
      </w:pPr>
      <w:r>
        <w:t>2. Dekreedi 1. lisa punkti 3 alapunkt 3.1 asendatakse järgmisega:</w:t>
      </w:r>
    </w:p>
    <w:p w:rsidR="00462608" w:rsidRPr="00D4046D" w:rsidRDefault="00462608" w:rsidP="004A4164">
      <w:pPr>
        <w:keepNext/>
        <w:keepLines/>
        <w:autoSpaceDE w:val="0"/>
        <w:autoSpaceDN w:val="0"/>
        <w:adjustRightInd w:val="0"/>
        <w:jc w:val="both"/>
      </w:pPr>
    </w:p>
    <w:p w:rsidR="00462608" w:rsidRPr="00D4046D" w:rsidRDefault="00462608" w:rsidP="004A4164">
      <w:pPr>
        <w:autoSpaceDE w:val="0"/>
        <w:autoSpaceDN w:val="0"/>
        <w:adjustRightInd w:val="0"/>
        <w:jc w:val="both"/>
      </w:pPr>
      <w:r>
        <w:t>„3.1 Kahetaktiliste mootorite puhul on NOx heite piirväärtus 300 mg/m</w:t>
      </w:r>
      <w:r>
        <w:rPr>
          <w:vertAlign w:val="superscript"/>
        </w:rPr>
        <w:t>3</w:t>
      </w:r>
      <w:r>
        <w:t>, biogaasil ja prügilagaasil töötavate neljataktiliste mootorite puhul 225 mg/m</w:t>
      </w:r>
      <w:r>
        <w:rPr>
          <w:vertAlign w:val="superscript"/>
        </w:rPr>
        <w:t>3</w:t>
      </w:r>
      <w:r>
        <w:t xml:space="preserve"> ja ainuüksi uurimise eesmärgil tehtavatel puurimistöödel kasutatavate diiselmootorite puhul 1650 mg/m</w:t>
      </w:r>
      <w:r>
        <w:rPr>
          <w:vertAlign w:val="superscript"/>
        </w:rPr>
        <w:t>3</w:t>
      </w:r>
      <w:r>
        <w:t xml:space="preserve"> ning muude diiselmootorite puhul 1500 mg/m</w:t>
      </w:r>
      <w:r>
        <w:rPr>
          <w:vertAlign w:val="superscript"/>
        </w:rPr>
        <w:t>3</w:t>
      </w:r>
      <w:r>
        <w:t>.“</w:t>
      </w:r>
    </w:p>
    <w:p w:rsidR="00C060D9" w:rsidRDefault="00C060D9" w:rsidP="004A4164">
      <w:pPr>
        <w:autoSpaceDE w:val="0"/>
        <w:autoSpaceDN w:val="0"/>
        <w:adjustRightInd w:val="0"/>
        <w:jc w:val="both"/>
      </w:pPr>
    </w:p>
    <w:p w:rsidR="004A4164" w:rsidRPr="00D4046D" w:rsidRDefault="004A4164" w:rsidP="004A4164">
      <w:pPr>
        <w:autoSpaceDE w:val="0"/>
        <w:autoSpaceDN w:val="0"/>
        <w:adjustRightInd w:val="0"/>
        <w:jc w:val="both"/>
      </w:pPr>
    </w:p>
    <w:p w:rsidR="00C060D9" w:rsidRPr="00D4046D" w:rsidRDefault="00C060D9" w:rsidP="004A4164">
      <w:pPr>
        <w:keepNext/>
        <w:keepLines/>
        <w:autoSpaceDE w:val="0"/>
        <w:autoSpaceDN w:val="0"/>
        <w:adjustRightInd w:val="0"/>
        <w:jc w:val="both"/>
      </w:pPr>
      <w:r>
        <w:t xml:space="preserve">3. Dekreedi 1. lisa punktile 3 lisatakse järgmine alapunkt 3.4: </w:t>
      </w:r>
    </w:p>
    <w:p w:rsidR="00C060D9" w:rsidRPr="00D4046D" w:rsidRDefault="00C060D9" w:rsidP="004A4164">
      <w:pPr>
        <w:keepNext/>
        <w:keepLines/>
        <w:autoSpaceDE w:val="0"/>
        <w:autoSpaceDN w:val="0"/>
        <w:adjustRightInd w:val="0"/>
        <w:jc w:val="both"/>
      </w:pPr>
    </w:p>
    <w:p w:rsidR="00C060D9" w:rsidRPr="00D4046D" w:rsidRDefault="00C060D9" w:rsidP="004A4164">
      <w:pPr>
        <w:autoSpaceDE w:val="0"/>
        <w:autoSpaceDN w:val="0"/>
        <w:adjustRightInd w:val="0"/>
        <w:jc w:val="both"/>
      </w:pPr>
      <w:r>
        <w:t>„3.4 Gaasimootorite puhul, milles kasutatakse maagaasi, mille etaanisisaldus on suurem kui 5 %, on orgaanilise süsiniku kogusisalduse heite piirväärtus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t>Põllumajandusministri [kuupäev] 2019. aasta dekreedi nr .../ 2019 2. lisa</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autoSpaceDE w:val="0"/>
        <w:autoSpaceDN w:val="0"/>
        <w:adjustRightInd w:val="0"/>
        <w:jc w:val="both"/>
      </w:pPr>
      <w:r>
        <w:t>1. Dekreedi 2. lisa punkti 2 tabeli lahtris B:5 asendatakse arv „1500“ arvuga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pPr>
      <w:r>
        <w:t>2. Dekreedi 2. lisa punkti 2 alapunkt 2.5 jõustub järgmises sõnastuses:</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„2.5 Pruunsöe põletamise puhul on NOx heite piirväärtus 320 mg/Nm</w:t>
      </w:r>
      <w:r>
        <w:rPr>
          <w:vertAlign w:val="superscript"/>
        </w:rPr>
        <w:t>3</w:t>
      </w:r>
      <w:r>
        <w:t>, tahkeid biomasskütuseid kasutavate vedeliku põlemise teel töötavate katelde puhul 300 mg/Nm</w:t>
      </w:r>
      <w:r>
        <w:rPr>
          <w:vertAlign w:val="superscript"/>
        </w:rPr>
        <w:t>3</w:t>
      </w:r>
      <w:r>
        <w:t xml:space="preserve"> ja muid tahkekütuseid kasutavate vedeliku põlemise teel töötavate katelde puhul 210 mg/Nm</w:t>
      </w:r>
      <w:r>
        <w:rPr>
          <w:vertAlign w:val="superscript"/>
        </w:rPr>
        <w:t>3</w:t>
      </w:r>
      <w:r>
        <w:t>.“</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DD14C1" w:rsidRPr="00D4046D" w:rsidRDefault="00C060D9" w:rsidP="004A4164">
      <w:pPr>
        <w:keepNext/>
        <w:keepLines/>
        <w:autoSpaceDE w:val="0"/>
        <w:autoSpaceDN w:val="0"/>
        <w:adjustRightInd w:val="0"/>
        <w:jc w:val="both"/>
      </w:pPr>
      <w:r>
        <w:t>3. Dekreedi 2. lisa punkti 3 alapunkt 3.3 jõustub järgmises sõnastuses:</w:t>
      </w:r>
    </w:p>
    <w:p w:rsidR="00DD14C1" w:rsidRPr="00D4046D" w:rsidRDefault="00DD14C1" w:rsidP="004A4164">
      <w:pPr>
        <w:keepNext/>
        <w:keepLines/>
        <w:autoSpaceDE w:val="0"/>
        <w:autoSpaceDN w:val="0"/>
        <w:adjustRightInd w:val="0"/>
        <w:jc w:val="both"/>
      </w:pPr>
    </w:p>
    <w:p w:rsidR="00DD14C1" w:rsidRPr="00D4046D" w:rsidRDefault="00DD14C1" w:rsidP="004A4164">
      <w:pPr>
        <w:autoSpaceDE w:val="0"/>
        <w:autoSpaceDN w:val="0"/>
        <w:adjustRightInd w:val="0"/>
        <w:jc w:val="both"/>
      </w:pPr>
      <w:r>
        <w:t>„3.3 NOx heite piirväärtus on 1500 mg/Nm</w:t>
      </w:r>
      <w:r>
        <w:rPr>
          <w:vertAlign w:val="superscript"/>
        </w:rPr>
        <w:t>3</w:t>
      </w:r>
      <w:r>
        <w:t xml:space="preserve"> järgmistel juhtudel:</w:t>
      </w:r>
    </w:p>
    <w:p w:rsidR="00DD14C1" w:rsidRPr="00D4046D" w:rsidRDefault="00DD14C1" w:rsidP="004A4164">
      <w:pPr>
        <w:autoSpaceDE w:val="0"/>
        <w:autoSpaceDN w:val="0"/>
        <w:adjustRightInd w:val="0"/>
        <w:jc w:val="both"/>
      </w:pPr>
      <w:r>
        <w:t>a)</w:t>
      </w:r>
      <w:r>
        <w:tab/>
        <w:t>diiselmootorite puhul, mille ehitus algas enne 18. maid 2006;</w:t>
      </w:r>
    </w:p>
    <w:p w:rsidR="00FC1B4C" w:rsidRPr="00D4046D" w:rsidRDefault="00DD14C1" w:rsidP="004A4164">
      <w:pPr>
        <w:autoSpaceDE w:val="0"/>
        <w:autoSpaceDN w:val="0"/>
        <w:adjustRightInd w:val="0"/>
        <w:jc w:val="both"/>
      </w:pPr>
      <w:r>
        <w:t>b)</w:t>
      </w:r>
      <w:r>
        <w:tab/>
        <w:t>kahekütusemootorite puhul vedelkütuse režiimis.“</w:t>
      </w:r>
    </w:p>
    <w:p w:rsidR="00400308" w:rsidRDefault="00400308" w:rsidP="004A4164"/>
    <w:p w:rsidR="004A4164" w:rsidRPr="00D4046D" w:rsidRDefault="004A4164" w:rsidP="004A4164"/>
    <w:p w:rsidR="00400308" w:rsidRPr="00D4046D" w:rsidRDefault="00400308" w:rsidP="004A4164">
      <w:pPr>
        <w:keepNext/>
        <w:keepLines/>
        <w:autoSpaceDE w:val="0"/>
        <w:autoSpaceDN w:val="0"/>
        <w:adjustRightInd w:val="0"/>
        <w:jc w:val="both"/>
      </w:pPr>
      <w:r>
        <w:t xml:space="preserve">4. Dekreedi 2. lisa punktile 3 lisatakse järgmine alapunkt 3.8: </w:t>
      </w:r>
    </w:p>
    <w:p w:rsidR="00400308" w:rsidRPr="00D4046D" w:rsidRDefault="00400308" w:rsidP="004A4164">
      <w:pPr>
        <w:keepNext/>
        <w:keepLines/>
        <w:autoSpaceDE w:val="0"/>
        <w:autoSpaceDN w:val="0"/>
        <w:adjustRightInd w:val="0"/>
        <w:jc w:val="both"/>
      </w:pPr>
    </w:p>
    <w:p w:rsidR="00400308" w:rsidRPr="00D4046D" w:rsidRDefault="00400308" w:rsidP="004A4164">
      <w:pPr>
        <w:autoSpaceDE w:val="0"/>
        <w:autoSpaceDN w:val="0"/>
        <w:adjustRightInd w:val="0"/>
        <w:jc w:val="both"/>
      </w:pPr>
      <w:r>
        <w:t>„3.8 Gaasimootorite puhul, milles kasutatakse maagaasi, mille etaanisisaldus on suurem kui 5 %, on orgaanilise süsiniku kogusisalduse heite piirväärtus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t>Põllumajandusministri [kuupäev] 2019. aasta dekreedi nr .../ 2019 3. lisa</w:t>
      </w:r>
    </w:p>
    <w:p w:rsidR="00FC1B4C" w:rsidRDefault="00FC1B4C" w:rsidP="004A4164">
      <w:pPr>
        <w:keepNext/>
        <w:keepLines/>
        <w:autoSpaceDE w:val="0"/>
        <w:autoSpaceDN w:val="0"/>
        <w:adjustRightInd w:val="0"/>
        <w:jc w:val="both"/>
      </w:pPr>
    </w:p>
    <w:p w:rsidR="004A4164" w:rsidRPr="00D4046D" w:rsidRDefault="004A4164"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1. Dekreedi 3. lisa punkti 2 tabeli lahtris B:5 asendatakse arv „1500“ arvuga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jc w:val="both"/>
      </w:pPr>
      <w:r>
        <w:t>2. Dekreedi 3. lisa punkti 2 alapunkt 2.6 jõustub järgmises sõnastuses:</w:t>
      </w:r>
    </w:p>
    <w:p w:rsidR="00FC1B4C" w:rsidRPr="00D4046D" w:rsidRDefault="00FC1B4C"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„2.6 Pruunsöe põletamise puhul on NOx heite piirväärtus 320 mg/m</w:t>
      </w:r>
      <w:r>
        <w:rPr>
          <w:vertAlign w:val="superscript"/>
        </w:rPr>
        <w:t>3</w:t>
      </w:r>
      <w:r>
        <w:t>, tahkeid biomasskütuseid kasutavate vedeliku põlemise teel töötavate katelde puhul 300 mg/m</w:t>
      </w:r>
      <w:r>
        <w:rPr>
          <w:vertAlign w:val="superscript"/>
        </w:rPr>
        <w:t>3</w:t>
      </w:r>
      <w:r>
        <w:t xml:space="preserve"> ja muid tahkekütuseid kasutavate vedeliku põlemise teel töötavate katelde puhul 210 mg/m</w:t>
      </w:r>
      <w:r>
        <w:rPr>
          <w:vertAlign w:val="superscript"/>
        </w:rPr>
        <w:t>3</w:t>
      </w:r>
      <w:r>
        <w:t>.“</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A00383" w:rsidP="004A4164">
      <w:pPr>
        <w:keepNext/>
        <w:keepLines/>
        <w:autoSpaceDE w:val="0"/>
        <w:autoSpaceDN w:val="0"/>
        <w:adjustRightInd w:val="0"/>
        <w:jc w:val="both"/>
      </w:pPr>
      <w:r>
        <w:t>3. Dekreedi 3. lisa punkti 3 alapunkt 3.2 jõustub järgmises sõnastuses:</w:t>
      </w:r>
    </w:p>
    <w:p w:rsidR="00F86AAE" w:rsidRPr="00D4046D" w:rsidRDefault="00F86AAE" w:rsidP="004A4164">
      <w:pPr>
        <w:keepNext/>
        <w:keepLines/>
      </w:pPr>
    </w:p>
    <w:p w:rsidR="00F86AAE" w:rsidRPr="00D4046D" w:rsidRDefault="00F86AAE" w:rsidP="004A4164">
      <w:r>
        <w:t>„3.2 NOx heite piirväärtus on 1500 mg/Nm</w:t>
      </w:r>
      <w:r>
        <w:rPr>
          <w:vertAlign w:val="superscript"/>
        </w:rPr>
        <w:t>3</w:t>
      </w:r>
      <w:r>
        <w:t xml:space="preserve"> järgmistel juhtudel:</w:t>
      </w:r>
    </w:p>
    <w:p w:rsidR="00F86AAE" w:rsidRPr="00D4046D" w:rsidRDefault="00F86AAE" w:rsidP="004A4164">
      <w:r>
        <w:t>a)</w:t>
      </w:r>
      <w:r>
        <w:tab/>
        <w:t>diiselmootorite puhul, mille ehitus algas enne 18. maid 2006;</w:t>
      </w:r>
    </w:p>
    <w:p w:rsidR="00A00383" w:rsidRPr="00D4046D" w:rsidRDefault="00F86AAE" w:rsidP="004A4164">
      <w:r>
        <w:t>b)</w:t>
      </w:r>
      <w:r>
        <w:tab/>
        <w:t>kahekütusemootorite puhul vedelkütuse režiimis.“</w:t>
      </w:r>
    </w:p>
    <w:p w:rsidR="00A00383" w:rsidRDefault="00A00383" w:rsidP="004A4164"/>
    <w:p w:rsidR="004A4164" w:rsidRPr="00D4046D" w:rsidRDefault="004A4164" w:rsidP="004A4164"/>
    <w:p w:rsidR="00A00383" w:rsidRPr="00D4046D" w:rsidRDefault="00A00383" w:rsidP="004A4164">
      <w:pPr>
        <w:keepNext/>
        <w:keepLines/>
        <w:autoSpaceDE w:val="0"/>
        <w:autoSpaceDN w:val="0"/>
        <w:adjustRightInd w:val="0"/>
        <w:jc w:val="both"/>
      </w:pPr>
      <w:r>
        <w:t xml:space="preserve">4. Dekreedi 3. lisa punkt 3 jõustub koos järgmiste alapunktidega 3.9 ja 3.10: </w:t>
      </w:r>
    </w:p>
    <w:p w:rsidR="00A00383" w:rsidRPr="00D4046D" w:rsidRDefault="00A00383" w:rsidP="004A4164">
      <w:pPr>
        <w:keepNext/>
        <w:keepLines/>
        <w:autoSpaceDE w:val="0"/>
        <w:autoSpaceDN w:val="0"/>
        <w:adjustRightInd w:val="0"/>
        <w:jc w:val="both"/>
      </w:pPr>
    </w:p>
    <w:p w:rsidR="00D4046D" w:rsidRPr="00D4046D" w:rsidRDefault="00A00383" w:rsidP="004A4164">
      <w:pPr>
        <w:autoSpaceDE w:val="0"/>
        <w:autoSpaceDN w:val="0"/>
        <w:adjustRightInd w:val="0"/>
        <w:jc w:val="both"/>
      </w:pPr>
      <w:r>
        <w:t>„3.9 Gaasimootorite puhul, milles kasutatakse maagaasi, mille etaanisisaldus on suurem kui 5 %, on orgaanilise süsiniku kogusisalduse heite piirväärtus 95 mg/m</w:t>
      </w:r>
      <w:r>
        <w:rPr>
          <w:vertAlign w:val="superscript"/>
        </w:rPr>
        <w:t>3</w:t>
      </w:r>
      <w:r>
        <w:t>.</w:t>
      </w:r>
    </w:p>
    <w:p w:rsidR="00380F30" w:rsidRPr="00D4046D" w:rsidRDefault="00380F30" w:rsidP="004A4164">
      <w:pPr>
        <w:autoSpaceDE w:val="0"/>
        <w:autoSpaceDN w:val="0"/>
        <w:adjustRightInd w:val="0"/>
        <w:jc w:val="both"/>
        <w:rPr>
          <w:rFonts w:eastAsiaTheme="minorEastAsia"/>
        </w:rPr>
      </w:pPr>
      <w:r>
        <w:t>3.10 Gaasimootorite puhul, mis võeti kasutusele enne 1. jaanuari 1994, millega varustatakse gaasi ülekandesüsteemi ohutuse ja turvalisuse tagamiseks vajalikke gaasikompressorjaamasid, on kuni 1. jaanuarini 2030 CO heite piirväärtus neljataktiliste mootorite puhul 375 mg/m</w:t>
      </w:r>
      <w:r>
        <w:rPr>
          <w:vertAlign w:val="superscript"/>
        </w:rPr>
        <w:t>3</w:t>
      </w:r>
      <w:r>
        <w:t>, kahetaktiliste mootorite puhul 320 mg/m</w:t>
      </w:r>
      <w:r>
        <w:rPr>
          <w:vertAlign w:val="superscript"/>
        </w:rPr>
        <w:t>3</w:t>
      </w:r>
      <w:r>
        <w:t xml:space="preserve"> ning orgaanilise süsiniku kogusisalduse heite piirväärtus on 115 mg/m</w:t>
      </w:r>
      <w:r>
        <w:rPr>
          <w:vertAlign w:val="superscript"/>
        </w:rPr>
        <w:t>3</w:t>
      </w:r>
      <w:r>
        <w:t>.“</w:t>
      </w:r>
    </w:p>
    <w:p w:rsidR="00F94FF8" w:rsidRPr="00D4046D" w:rsidRDefault="00F94FF8" w:rsidP="004A4164">
      <w:pPr>
        <w:keepNext/>
        <w:keepLines/>
        <w:pageBreakBefore/>
        <w:autoSpaceDE w:val="0"/>
        <w:autoSpaceDN w:val="0"/>
        <w:adjustRightInd w:val="0"/>
        <w:jc w:val="right"/>
        <w:rPr>
          <w:i/>
        </w:rPr>
      </w:pPr>
      <w:r>
        <w:rPr>
          <w:i/>
        </w:rPr>
        <w:t>Põllumajandusministri [kuupäev] 2019. aasta dekreedi nr .../ 2019 4. lisa</w:t>
      </w:r>
    </w:p>
    <w:p w:rsidR="00846AD7" w:rsidRPr="00D4046D" w:rsidRDefault="00846AD7" w:rsidP="004A4164">
      <w:pPr>
        <w:keepNext/>
        <w:keepLines/>
      </w:pPr>
    </w:p>
    <w:p w:rsidR="00F94FF8" w:rsidRPr="00D4046D" w:rsidRDefault="00F94FF8" w:rsidP="004A4164">
      <w:pPr>
        <w:keepNext/>
        <w:keepLines/>
      </w:pPr>
    </w:p>
    <w:p w:rsidR="00F94FF8" w:rsidRPr="00D4046D" w:rsidRDefault="00F94FF8" w:rsidP="004A4164">
      <w:pPr>
        <w:keepNext/>
        <w:keepLines/>
        <w:autoSpaceDE w:val="0"/>
        <w:autoSpaceDN w:val="0"/>
        <w:adjustRightInd w:val="0"/>
      </w:pPr>
      <w:r>
        <w:t>1. Dekreedi 4. lisa punkti 2 alapunkt 2.5 asendatakse järgmisega:</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„2.5 Pruunsöe põletamise puhul on NOx heite piirväärtus 320 mg/m</w:t>
      </w:r>
      <w:r>
        <w:rPr>
          <w:vertAlign w:val="superscript"/>
        </w:rPr>
        <w:t>3</w:t>
      </w:r>
      <w:r>
        <w:t>, tahkeid biomasskütuseid kasutavate vedeliku põlemise teel töötavate katelde puhul 300 mg/m</w:t>
      </w:r>
      <w:r>
        <w:rPr>
          <w:vertAlign w:val="superscript"/>
        </w:rPr>
        <w:t>3</w:t>
      </w:r>
      <w:r>
        <w:t xml:space="preserve"> ja muid tahkekütuseid kasutavate vedeliku põlemise teel töötavate katelde puhul 210 mg/m</w:t>
      </w:r>
      <w:r>
        <w:rPr>
          <w:vertAlign w:val="superscript"/>
        </w:rPr>
        <w:t>3</w:t>
      </w:r>
      <w:r>
        <w:t>.“</w:t>
      </w:r>
    </w:p>
    <w:p w:rsidR="00F94FF8" w:rsidRDefault="00F94FF8" w:rsidP="004A4164">
      <w:pPr>
        <w:autoSpaceDE w:val="0"/>
        <w:autoSpaceDN w:val="0"/>
        <w:adjustRightInd w:val="0"/>
        <w:jc w:val="both"/>
      </w:pPr>
    </w:p>
    <w:p w:rsidR="004A4164" w:rsidRPr="00D4046D" w:rsidRDefault="004A4164" w:rsidP="004A4164">
      <w:pPr>
        <w:autoSpaceDE w:val="0"/>
        <w:autoSpaceDN w:val="0"/>
        <w:adjustRightInd w:val="0"/>
        <w:jc w:val="both"/>
      </w:pPr>
    </w:p>
    <w:p w:rsidR="00F94FF8" w:rsidRPr="00D4046D" w:rsidRDefault="00F94FF8" w:rsidP="004A4164">
      <w:pPr>
        <w:keepNext/>
        <w:keepLines/>
        <w:autoSpaceDE w:val="0"/>
        <w:autoSpaceDN w:val="0"/>
        <w:adjustRightInd w:val="0"/>
        <w:jc w:val="both"/>
      </w:pPr>
      <w:r>
        <w:t>2. Dekreedi 4. lisa punkti 3 alapunkt 3.3 asendatakse järgmiselt:</w:t>
      </w:r>
    </w:p>
    <w:p w:rsidR="00F94FF8" w:rsidRPr="00D4046D" w:rsidRDefault="00F94FF8" w:rsidP="004A4164">
      <w:pPr>
        <w:keepNext/>
        <w:keepLines/>
        <w:autoSpaceDE w:val="0"/>
        <w:autoSpaceDN w:val="0"/>
        <w:adjustRightInd w:val="0"/>
        <w:jc w:val="both"/>
      </w:pPr>
    </w:p>
    <w:p w:rsidR="00D92A3F" w:rsidRPr="00EF21F5" w:rsidRDefault="00FE7228" w:rsidP="004A4164">
      <w:pPr>
        <w:autoSpaceDE w:val="0"/>
        <w:autoSpaceDN w:val="0"/>
        <w:adjustRightInd w:val="0"/>
        <w:jc w:val="both"/>
      </w:pPr>
      <w:r>
        <w:t>„3.3 NOx heite piirväärtus diiselmootoritel puhul, kui nende NOx heide on piiratud esmaste meetmetega, on 1650 mg/m</w:t>
      </w:r>
      <w:r>
        <w:rPr>
          <w:vertAlign w:val="superscript"/>
        </w:rPr>
        <w:t>3</w:t>
      </w:r>
      <w:r>
        <w:t xml:space="preserve"> diiselkütuste puhul, mida kasutatakse ainuüksi uurimise eesmärgil tehtavatel puurimistöödel ja 1500 mg/m</w:t>
      </w:r>
      <w:r>
        <w:rPr>
          <w:vertAlign w:val="superscript"/>
        </w:rPr>
        <w:t>3</w:t>
      </w:r>
      <w:r>
        <w:t xml:space="preserve"> muude diiselmootorite puhul.“</w:t>
      </w:r>
    </w:p>
    <w:p w:rsidR="00D92A3F" w:rsidRDefault="00D92A3F" w:rsidP="004A4164">
      <w:pPr>
        <w:autoSpaceDE w:val="0"/>
        <w:autoSpaceDN w:val="0"/>
        <w:adjustRightInd w:val="0"/>
        <w:jc w:val="both"/>
      </w:pPr>
    </w:p>
    <w:p w:rsidR="004A4164" w:rsidRPr="00EF21F5" w:rsidRDefault="004A4164" w:rsidP="004A4164">
      <w:pPr>
        <w:autoSpaceDE w:val="0"/>
        <w:autoSpaceDN w:val="0"/>
        <w:adjustRightInd w:val="0"/>
        <w:jc w:val="both"/>
      </w:pPr>
    </w:p>
    <w:p w:rsidR="003758D5" w:rsidRPr="00EF21F5" w:rsidRDefault="003758D5" w:rsidP="004A4164">
      <w:pPr>
        <w:keepNext/>
        <w:keepLines/>
        <w:autoSpaceDE w:val="0"/>
        <w:autoSpaceDN w:val="0"/>
        <w:adjustRightInd w:val="0"/>
        <w:jc w:val="both"/>
      </w:pPr>
      <w:r>
        <w:t>3. Dekreedi 4. lisa punktile 3 lisatakse järgmine alapunkt 3.8:</w:t>
      </w:r>
    </w:p>
    <w:p w:rsidR="003758D5" w:rsidRPr="00EF21F5" w:rsidRDefault="003758D5" w:rsidP="004A4164">
      <w:pPr>
        <w:keepNext/>
        <w:keepLines/>
        <w:autoSpaceDE w:val="0"/>
        <w:autoSpaceDN w:val="0"/>
        <w:adjustRightInd w:val="0"/>
        <w:jc w:val="both"/>
      </w:pPr>
    </w:p>
    <w:p w:rsidR="00D92A3F" w:rsidRPr="00D4046D" w:rsidRDefault="003758D5" w:rsidP="004A4164">
      <w:pPr>
        <w:autoSpaceDE w:val="0"/>
        <w:autoSpaceDN w:val="0"/>
        <w:adjustRightInd w:val="0"/>
        <w:jc w:val="both"/>
      </w:pPr>
      <w:r>
        <w:t>„3.8 Gaasimootorite puhul, milles kasutatakse maagaasi, mille etaanisisaldus on suurem kui 5 %, on orgaanilise süsiniku kogusisalduse heite piirväärtus 95 mg/m</w:t>
      </w:r>
      <w:r>
        <w:rPr>
          <w:vertAlign w:val="superscript"/>
        </w:rPr>
        <w:t>3</w:t>
      </w:r>
      <w:r>
        <w:t>.“</w:t>
      </w:r>
    </w:p>
    <w:p w:rsidR="001733D0" w:rsidRPr="00D4046D" w:rsidRDefault="001733D0" w:rsidP="004A4164">
      <w:pPr>
        <w:keepNext/>
        <w:keepLines/>
        <w:pageBreakBefore/>
        <w:jc w:val="right"/>
        <w:rPr>
          <w:i/>
        </w:rPr>
      </w:pPr>
      <w:r>
        <w:rPr>
          <w:i/>
        </w:rPr>
        <w:t>Põllumajandusministri [kuupäev] 2019. aasta dekreedi nr .../ 2019 5. lisa</w:t>
      </w:r>
    </w:p>
    <w:p w:rsidR="001733D0" w:rsidRPr="00D4046D" w:rsidRDefault="001733D0" w:rsidP="004A4164">
      <w:pPr>
        <w:keepNext/>
        <w:keepLines/>
        <w:autoSpaceDE w:val="0"/>
        <w:autoSpaceDN w:val="0"/>
        <w:adjustRightInd w:val="0"/>
        <w:jc w:val="both"/>
      </w:pPr>
    </w:p>
    <w:p w:rsidR="001733D0" w:rsidRPr="00D4046D" w:rsidRDefault="001733D0" w:rsidP="004A4164">
      <w:pPr>
        <w:keepNext/>
        <w:keepLines/>
        <w:autoSpaceDE w:val="0"/>
        <w:autoSpaceDN w:val="0"/>
        <w:adjustRightInd w:val="0"/>
        <w:jc w:val="both"/>
      </w:pPr>
    </w:p>
    <w:p w:rsidR="00F94FF8" w:rsidRPr="00D4046D" w:rsidRDefault="001733D0" w:rsidP="004A4164">
      <w:pPr>
        <w:autoSpaceDE w:val="0"/>
        <w:autoSpaceDN w:val="0"/>
        <w:adjustRightInd w:val="0"/>
        <w:jc w:val="both"/>
      </w:pPr>
      <w:r>
        <w:t xml:space="preserve">1. Dekreedi 5. lisa punkti 2 tabeli lahtris B:5 asendatakse arv „1500“ arvuga „375“. </w:t>
      </w:r>
    </w:p>
    <w:p w:rsidR="00F94FF8" w:rsidRDefault="00F94FF8" w:rsidP="004A4164">
      <w:pPr>
        <w:autoSpaceDE w:val="0"/>
        <w:autoSpaceDN w:val="0"/>
        <w:adjustRightInd w:val="0"/>
      </w:pPr>
    </w:p>
    <w:p w:rsidR="004A4164" w:rsidRPr="00D4046D" w:rsidRDefault="004A4164" w:rsidP="004A4164">
      <w:pPr>
        <w:autoSpaceDE w:val="0"/>
        <w:autoSpaceDN w:val="0"/>
        <w:adjustRightInd w:val="0"/>
      </w:pPr>
    </w:p>
    <w:p w:rsidR="00F94FF8" w:rsidRPr="00D4046D" w:rsidRDefault="001733D0" w:rsidP="004A4164">
      <w:pPr>
        <w:keepNext/>
        <w:keepLines/>
        <w:autoSpaceDE w:val="0"/>
        <w:autoSpaceDN w:val="0"/>
        <w:adjustRightInd w:val="0"/>
      </w:pPr>
      <w:r>
        <w:t>2. Dekreedi 5. lisa punkti 2 alapunktid 2.3 ja 2.4 asendatakse järgmisega:</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„2.3 NOx heite piirväärtus tahkekütustel töötavate põletusseadmete puhul, mille summaarne nimisoojusvõimsus on vähemalt 1 MW</w:t>
      </w:r>
      <w:r>
        <w:rPr>
          <w:vertAlign w:val="subscript"/>
        </w:rPr>
        <w:t>th</w:t>
      </w:r>
      <w:r>
        <w:t>, aga väiksem kui 5 MW</w:t>
      </w:r>
      <w:r>
        <w:rPr>
          <w:vertAlign w:val="subscript"/>
        </w:rPr>
        <w:t>th</w:t>
      </w:r>
      <w:r>
        <w:t>, on 500 mg/Nm</w:t>
      </w:r>
      <w:r>
        <w:rPr>
          <w:vertAlign w:val="superscript"/>
        </w:rPr>
        <w:t>3</w:t>
      </w:r>
      <w:r>
        <w:t>. Erandiks on, et pruunsöe põlemise puhul on see 320 mg/Nm</w:t>
      </w:r>
      <w:r>
        <w:rPr>
          <w:vertAlign w:val="superscript"/>
        </w:rPr>
        <w:t>3</w:t>
      </w:r>
      <w:r>
        <w:t xml:space="preserve"> ja tahkeid biomasskütuseid kasutavate vedeliku põlemise teel töötavate katelde puhul on see 300 mg/Nm</w:t>
      </w:r>
      <w:r>
        <w:rPr>
          <w:vertAlign w:val="superscript"/>
        </w:rPr>
        <w:t>3</w:t>
      </w:r>
      <w:r>
        <w:t>.</w:t>
      </w:r>
    </w:p>
    <w:p w:rsidR="00F94FF8" w:rsidRPr="00D4046D" w:rsidRDefault="00F94FF8" w:rsidP="004A4164">
      <w:pPr>
        <w:autoSpaceDE w:val="0"/>
        <w:autoSpaceDN w:val="0"/>
        <w:adjustRightInd w:val="0"/>
        <w:jc w:val="both"/>
      </w:pPr>
      <w:r>
        <w:t>2.4 Muid tahkekütuseid kasutavate vedeliku põlemise teel töötavate katelde puhul on NOx heite piirväärtus 210 mg/Nm</w:t>
      </w:r>
      <w:r>
        <w:rPr>
          <w:vertAlign w:val="superscript"/>
        </w:rPr>
        <w:t>3</w:t>
      </w:r>
      <w:r>
        <w:t>.“</w:t>
      </w:r>
    </w:p>
    <w:p w:rsidR="001733D0" w:rsidRDefault="001733D0" w:rsidP="004A4164"/>
    <w:p w:rsidR="004A4164" w:rsidRPr="00D4046D" w:rsidRDefault="004A4164" w:rsidP="004A4164"/>
    <w:p w:rsidR="001733D0" w:rsidRPr="00D4046D" w:rsidRDefault="001733D0" w:rsidP="004A4164">
      <w:pPr>
        <w:keepNext/>
        <w:keepLines/>
        <w:autoSpaceDE w:val="0"/>
        <w:autoSpaceDN w:val="0"/>
        <w:adjustRightInd w:val="0"/>
      </w:pPr>
      <w:r>
        <w:t>3. Dekreedi 5. lisa punkti 3 alapunkt 3.2 asendatakse järgmisega:</w:t>
      </w:r>
    </w:p>
    <w:p w:rsidR="001733D0" w:rsidRPr="00D4046D" w:rsidRDefault="001733D0" w:rsidP="004A4164">
      <w:pPr>
        <w:keepNext/>
        <w:keepLines/>
      </w:pPr>
    </w:p>
    <w:p w:rsidR="001733D0" w:rsidRPr="00D4046D" w:rsidRDefault="001733D0" w:rsidP="004A4164">
      <w:pPr>
        <w:jc w:val="both"/>
      </w:pPr>
      <w:r>
        <w:t>„3.2 Mootorite puhul, mis töötavad aastas 500–1500 tundi, kui nende NOx heide on piiratud esmaste meetmete tõttu, kehtivad järgmised NOx heite piirväärtused:</w:t>
      </w:r>
    </w:p>
    <w:p w:rsidR="001733D0" w:rsidRPr="00D4046D" w:rsidRDefault="001733D0" w:rsidP="004A4164">
      <w:pPr>
        <w:jc w:val="both"/>
      </w:pPr>
      <w:r>
        <w:t>a) 1300 mg/Nm</w:t>
      </w:r>
      <w:r>
        <w:rPr>
          <w:vertAlign w:val="superscript"/>
        </w:rPr>
        <w:t xml:space="preserve">3 </w:t>
      </w:r>
      <w:r>
        <w:t>diiselmootorite puhul, mille summaarne nimisoojusvõimsus ei ole suurem kui 20 MW</w:t>
      </w:r>
      <w:r>
        <w:rPr>
          <w:vertAlign w:val="subscript"/>
        </w:rPr>
        <w:t>th</w:t>
      </w:r>
      <w:r>
        <w:t xml:space="preserve"> koos ≤ 1 200 r/min;</w:t>
      </w:r>
    </w:p>
    <w:p w:rsidR="001733D0" w:rsidRPr="00EF21F5" w:rsidRDefault="001733D0" w:rsidP="004A4164">
      <w:pPr>
        <w:jc w:val="both"/>
      </w:pPr>
      <w:r>
        <w:t>b) 1500 mg/Nm</w:t>
      </w:r>
      <w:r>
        <w:rPr>
          <w:vertAlign w:val="superscript"/>
        </w:rPr>
        <w:t xml:space="preserve">3 </w:t>
      </w:r>
      <w:r>
        <w:t>diiselmootorite puhul, mille summaarne nimisoojusvõimsus ei ole suurem kui 20 MW</w:t>
      </w:r>
      <w:r>
        <w:rPr>
          <w:vertAlign w:val="subscript"/>
        </w:rPr>
        <w:t>th</w:t>
      </w:r>
      <w:r>
        <w:t xml:space="preserve"> ja kahekütusemootorite puhul vedelkütuse režiimis;</w:t>
      </w:r>
    </w:p>
    <w:p w:rsidR="007A2FAA" w:rsidRPr="00EF21F5" w:rsidRDefault="001733D0" w:rsidP="004A4164">
      <w:pPr>
        <w:jc w:val="both"/>
      </w:pPr>
      <w:r>
        <w:t>c) 750 mg/Nm</w:t>
      </w:r>
      <w:r>
        <w:rPr>
          <w:vertAlign w:val="superscript"/>
        </w:rPr>
        <w:t>3</w:t>
      </w:r>
      <w:r>
        <w:t xml:space="preserve"> diiselmootorite puhul, mille puhul &gt; 1 200 r/min;</w:t>
      </w:r>
    </w:p>
    <w:p w:rsidR="00F94FF8" w:rsidRPr="00EF21F5" w:rsidRDefault="007A2FAA" w:rsidP="004A4164">
      <w:pPr>
        <w:jc w:val="both"/>
      </w:pPr>
      <w:r>
        <w:t>d) 380 mg/Nm</w:t>
      </w:r>
      <w:r>
        <w:rPr>
          <w:vertAlign w:val="superscript"/>
        </w:rPr>
        <w:t>3</w:t>
      </w:r>
      <w:r>
        <w:t xml:space="preserve"> kahekütusemootorite puhul gaaskütuse režiimis.“</w:t>
      </w:r>
    </w:p>
    <w:p w:rsidR="00C828A5" w:rsidRDefault="00C828A5" w:rsidP="004A4164">
      <w:pPr>
        <w:jc w:val="both"/>
      </w:pPr>
    </w:p>
    <w:p w:rsidR="004A4164" w:rsidRPr="00EF21F5" w:rsidRDefault="004A4164" w:rsidP="004A4164">
      <w:pPr>
        <w:jc w:val="both"/>
      </w:pPr>
    </w:p>
    <w:p w:rsidR="003758D5" w:rsidRPr="00EF21F5" w:rsidRDefault="003758D5" w:rsidP="004A4164">
      <w:pPr>
        <w:keepNext/>
        <w:keepLines/>
      </w:pPr>
      <w:r>
        <w:t>4. Dekreedi 5. lisa punktile 3 lisatakse järgmine alapunkt 3.9:</w:t>
      </w:r>
    </w:p>
    <w:p w:rsidR="003758D5" w:rsidRPr="00EF21F5" w:rsidRDefault="003758D5" w:rsidP="004A4164">
      <w:pPr>
        <w:keepNext/>
        <w:keepLines/>
      </w:pPr>
    </w:p>
    <w:p w:rsidR="00C828A5" w:rsidRPr="00C828A5" w:rsidRDefault="003758D5" w:rsidP="004A4164">
      <w:pPr>
        <w:rPr>
          <w:rFonts w:eastAsiaTheme="minorHAnsi"/>
        </w:rPr>
      </w:pPr>
      <w:r>
        <w:t>„3.9 Gaasimootorite puhul, milles kasutatakse maagaasi, mille etaanisisaldus on suurem kui 5 %, on orgaanilise süsiniku kogusisalduse heite piirväärtus 95 mg/m</w:t>
      </w:r>
      <w:r>
        <w:rPr>
          <w:vertAlign w:val="superscript"/>
        </w:rPr>
        <w:t>3</w:t>
      </w:r>
      <w:r>
        <w:t>.“</w:t>
      </w:r>
    </w:p>
    <w:sectPr w:rsidR="00C828A5" w:rsidRPr="00C828A5"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B7" w:rsidRDefault="00A959B7">
      <w:r>
        <w:separator/>
      </w:r>
    </w:p>
  </w:endnote>
  <w:endnote w:type="continuationSeparator" w:id="0">
    <w:p w:rsidR="00A959B7" w:rsidRDefault="00A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2988"/>
      <w:gridCol w:w="4235"/>
      <w:gridCol w:w="2685"/>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rPr>
            <w:t>Koostanud:</w:t>
          </w:r>
        </w:p>
        <w:p w:rsidR="00F80E39" w:rsidRPr="008430F8" w:rsidRDefault="00F80E39" w:rsidP="00A00383">
          <w:pPr>
            <w:pStyle w:val="Footer"/>
            <w:jc w:val="center"/>
            <w:rPr>
              <w:sz w:val="16"/>
              <w:szCs w:val="16"/>
            </w:rPr>
          </w:pPr>
          <w:r>
            <w:rPr>
              <w:sz w:val="16"/>
            </w:rPr>
            <w:t>Dr Hunor Orban</w:t>
          </w:r>
        </w:p>
        <w:p w:rsidR="00F80E39" w:rsidRPr="008430F8" w:rsidRDefault="00F80E39" w:rsidP="00A00383">
          <w:pPr>
            <w:pStyle w:val="Footer"/>
            <w:jc w:val="center"/>
            <w:rPr>
              <w:i/>
              <w:sz w:val="16"/>
              <w:szCs w:val="16"/>
            </w:rPr>
          </w:pPr>
          <w:r>
            <w:rPr>
              <w:i/>
              <w:sz w:val="16"/>
            </w:rPr>
            <w:t>Osakonna juhataja</w:t>
          </w:r>
        </w:p>
        <w:p w:rsidR="00F80E39" w:rsidRPr="008430F8" w:rsidRDefault="00F80E39" w:rsidP="00A00383">
          <w:pPr>
            <w:pStyle w:val="Footer"/>
            <w:jc w:val="center"/>
            <w:rPr>
              <w:sz w:val="16"/>
              <w:szCs w:val="16"/>
            </w:rPr>
          </w:pPr>
          <w:r>
            <w:rPr>
              <w:sz w:val="16"/>
            </w:rPr>
            <w:t>+36 (1) 795 5859</w:t>
          </w:r>
        </w:p>
        <w:p w:rsidR="00F80E39" w:rsidRPr="008430F8" w:rsidRDefault="00A959B7" w:rsidP="00A00383">
          <w:pPr>
            <w:pStyle w:val="Footer"/>
            <w:jc w:val="center"/>
            <w:rPr>
              <w:i/>
              <w:sz w:val="16"/>
              <w:szCs w:val="16"/>
            </w:rPr>
          </w:pPr>
          <w:hyperlink r:id="rId1">
            <w:r w:rsidR="002125C2">
              <w:rPr>
                <w:rStyle w:val="Hyperlink"/>
                <w:i/>
                <w:sz w:val="16"/>
              </w:rPr>
              <w:t>hunor.orban@am.gov.hu</w:t>
            </w:r>
          </w:hyperlink>
        </w:p>
        <w:p w:rsidR="00F80E39" w:rsidRDefault="00F80E39" w:rsidP="00A00383">
          <w:pPr>
            <w:pStyle w:val="Footer"/>
            <w:jc w:val="center"/>
            <w:rPr>
              <w:sz w:val="16"/>
              <w:szCs w:val="16"/>
            </w:rPr>
          </w:pPr>
        </w:p>
        <w:p w:rsidR="00F80E39" w:rsidRPr="008430F8" w:rsidRDefault="00F80E39" w:rsidP="00A00383">
          <w:pPr>
            <w:tabs>
              <w:tab w:val="center" w:pos="4536"/>
              <w:tab w:val="right" w:pos="9072"/>
            </w:tabs>
            <w:jc w:val="center"/>
            <w:rPr>
              <w:sz w:val="16"/>
              <w:szCs w:val="16"/>
            </w:rPr>
          </w:pPr>
          <w:r>
            <w:rPr>
              <w:sz w:val="16"/>
            </w:rPr>
            <w:t>Dr Tamás Andréka</w:t>
          </w:r>
        </w:p>
        <w:p w:rsidR="00F80E39" w:rsidRPr="008430F8" w:rsidRDefault="00F80E39" w:rsidP="00A00383">
          <w:pPr>
            <w:tabs>
              <w:tab w:val="center" w:pos="4536"/>
              <w:tab w:val="right" w:pos="9072"/>
            </w:tabs>
            <w:jc w:val="center"/>
            <w:rPr>
              <w:i/>
              <w:sz w:val="16"/>
              <w:szCs w:val="16"/>
            </w:rPr>
          </w:pPr>
          <w:r>
            <w:rPr>
              <w:i/>
              <w:sz w:val="16"/>
            </w:rPr>
            <w:t>Osakonna juhataja</w:t>
          </w:r>
        </w:p>
        <w:p w:rsidR="00F80E39" w:rsidRPr="008430F8" w:rsidRDefault="00F80E39" w:rsidP="00A00383">
          <w:pPr>
            <w:tabs>
              <w:tab w:val="center" w:pos="4536"/>
              <w:tab w:val="right" w:pos="9072"/>
            </w:tabs>
            <w:jc w:val="center"/>
            <w:rPr>
              <w:i/>
              <w:sz w:val="16"/>
              <w:szCs w:val="16"/>
            </w:rPr>
          </w:pPr>
          <w:r>
            <w:rPr>
              <w:i/>
              <w:sz w:val="16"/>
            </w:rPr>
            <w:t>+36 (1) 795 3801</w:t>
          </w:r>
        </w:p>
        <w:p w:rsidR="00F80E39" w:rsidRPr="008430F8" w:rsidRDefault="00A959B7" w:rsidP="00A00383">
          <w:pPr>
            <w:tabs>
              <w:tab w:val="center" w:pos="4536"/>
              <w:tab w:val="right" w:pos="9072"/>
            </w:tabs>
            <w:jc w:val="center"/>
            <w:rPr>
              <w:i/>
              <w:sz w:val="16"/>
              <w:szCs w:val="16"/>
            </w:rPr>
          </w:pPr>
          <w:hyperlink r:id="rId2">
            <w:r w:rsidR="002125C2">
              <w:rPr>
                <w:rStyle w:val="Hyperlink"/>
                <w:i/>
                <w:sz w:val="16"/>
              </w:rPr>
              <w:t>tamas.andreka@am.gov.hu</w:t>
            </w:r>
          </w:hyperlink>
        </w:p>
      </w:tc>
      <w:tc>
        <w:tcPr>
          <w:tcW w:w="2137" w:type="pct"/>
          <w:hideMark/>
        </w:tcPr>
        <w:p w:rsidR="00F80E39" w:rsidRPr="008430F8" w:rsidRDefault="00F80E39" w:rsidP="00A00383">
          <w:pPr>
            <w:pStyle w:val="Footer"/>
            <w:jc w:val="center"/>
            <w:rPr>
              <w:sz w:val="16"/>
              <w:szCs w:val="16"/>
            </w:rPr>
          </w:pPr>
          <w:r>
            <w:rPr>
              <w:sz w:val="16"/>
            </w:rPr>
            <w:t>Läbi vaadanud:</w:t>
          </w:r>
        </w:p>
        <w:p w:rsidR="00F80E39" w:rsidRPr="008430F8" w:rsidRDefault="00F80E39" w:rsidP="00A00383">
          <w:pPr>
            <w:pStyle w:val="Footer"/>
            <w:jc w:val="center"/>
            <w:rPr>
              <w:sz w:val="16"/>
              <w:szCs w:val="16"/>
            </w:rPr>
          </w:pPr>
          <w:r>
            <w:rPr>
              <w:sz w:val="16"/>
            </w:rPr>
            <w:t>Tibor Zoltán László</w:t>
          </w:r>
        </w:p>
        <w:p w:rsidR="00F80E39" w:rsidRPr="008430F8" w:rsidRDefault="00F80E39" w:rsidP="00A00383">
          <w:pPr>
            <w:pStyle w:val="Footer"/>
            <w:jc w:val="center"/>
            <w:rPr>
              <w:i/>
              <w:sz w:val="16"/>
              <w:szCs w:val="16"/>
            </w:rPr>
          </w:pPr>
          <w:r>
            <w:rPr>
              <w:i/>
              <w:sz w:val="16"/>
            </w:rPr>
            <w:t xml:space="preserve">Riigiministri asetäitja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Dr András Rácz</w:t>
          </w:r>
        </w:p>
        <w:p w:rsidR="00F80E39" w:rsidRPr="008430F8" w:rsidRDefault="00F80E39" w:rsidP="00A00383">
          <w:pPr>
            <w:pStyle w:val="Footer"/>
            <w:jc w:val="center"/>
            <w:rPr>
              <w:i/>
              <w:sz w:val="16"/>
              <w:szCs w:val="16"/>
            </w:rPr>
          </w:pPr>
          <w:r>
            <w:rPr>
              <w:i/>
              <w:sz w:val="16"/>
            </w:rPr>
            <w:t xml:space="preserve">Riigiminister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Dr István Tomasitz</w:t>
          </w:r>
        </w:p>
        <w:p w:rsidR="00F80E39" w:rsidRPr="008430F8" w:rsidRDefault="00F80E39" w:rsidP="00A00383">
          <w:pPr>
            <w:pStyle w:val="Footer"/>
            <w:jc w:val="center"/>
            <w:rPr>
              <w:i/>
              <w:sz w:val="16"/>
              <w:szCs w:val="16"/>
              <w:highlight w:val="yellow"/>
            </w:rPr>
          </w:pPr>
          <w:r>
            <w:rPr>
              <w:i/>
              <w:sz w:val="16"/>
            </w:rPr>
            <w:t>Riigiminister</w:t>
          </w:r>
        </w:p>
      </w:tc>
      <w:tc>
        <w:tcPr>
          <w:tcW w:w="1355" w:type="pct"/>
          <w:hideMark/>
        </w:tcPr>
        <w:p w:rsidR="00F80E39" w:rsidRPr="001F2F45" w:rsidRDefault="00F80E39" w:rsidP="00A00383">
          <w:pPr>
            <w:pStyle w:val="Footer"/>
            <w:jc w:val="center"/>
            <w:rPr>
              <w:sz w:val="16"/>
              <w:szCs w:val="16"/>
            </w:rPr>
          </w:pPr>
          <w:r>
            <w:rPr>
              <w:sz w:val="16"/>
            </w:rPr>
            <w:t>Kinnitanud:</w:t>
          </w: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Pr="008430F8" w:rsidRDefault="00F80E39" w:rsidP="00A00383">
          <w:pPr>
            <w:pStyle w:val="Footer"/>
            <w:jc w:val="center"/>
            <w:rPr>
              <w:sz w:val="16"/>
              <w:szCs w:val="16"/>
            </w:rPr>
          </w:pPr>
          <w:r>
            <w:rPr>
              <w:sz w:val="16"/>
            </w:rPr>
            <w:t>Dr István Nagy</w:t>
          </w:r>
        </w:p>
        <w:p w:rsidR="00F80E39" w:rsidRPr="008430F8" w:rsidRDefault="00F80E39" w:rsidP="004A4164">
          <w:pPr>
            <w:pStyle w:val="Footer"/>
            <w:jc w:val="center"/>
            <w:rPr>
              <w:sz w:val="16"/>
              <w:szCs w:val="16"/>
              <w:highlight w:val="yellow"/>
            </w:rPr>
          </w:pPr>
          <w:r>
            <w:rPr>
              <w:i/>
              <w:sz w:val="16"/>
            </w:rPr>
            <w:t>Minister</w:t>
          </w:r>
        </w:p>
      </w:tc>
    </w:tr>
  </w:tbl>
  <w:p w:rsidR="00F80E39" w:rsidRPr="00BE1C91" w:rsidRDefault="00F80E39" w:rsidP="00BE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B7" w:rsidRDefault="00A959B7">
      <w:r>
        <w:separator/>
      </w:r>
    </w:p>
  </w:footnote>
  <w:footnote w:type="continuationSeparator" w:id="0">
    <w:p w:rsidR="00A959B7" w:rsidRDefault="00A95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39" w:rsidRDefault="00F80E39">
    <w:pPr>
      <w:pStyle w:val="Header"/>
      <w:jc w:val="center"/>
    </w:pPr>
    <w:r>
      <w:fldChar w:fldCharType="begin"/>
    </w:r>
    <w:r>
      <w:instrText>PAGE   \* MERGEFORMAT</w:instrText>
    </w:r>
    <w:r>
      <w:fldChar w:fldCharType="separate"/>
    </w:r>
    <w:r w:rsidR="00A959B7">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15:restartNumberingAfterBreak="0">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15:restartNumberingAfterBreak="0">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15:restartNumberingAfterBreak="0">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15:restartNumberingAfterBreak="0">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15:restartNumberingAfterBreak="0">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15:restartNumberingAfterBreak="0">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15:restartNumberingAfterBreak="0">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15:restartNumberingAfterBreak="0">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6B6"/>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59B7"/>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C12FBB-53F7-4C63-84A9-209E1B68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F"/>
    <w:rPr>
      <w:sz w:val="24"/>
      <w:szCs w:val="24"/>
    </w:rPr>
  </w:style>
  <w:style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2BC7"/>
    <w:rPr>
      <w:b/>
      <w:kern w:val="1"/>
      <w:sz w:val="40"/>
    </w:rPr>
  </w:style>
  <w:style w:type="character" w:customStyle="1" w:styleId="Heading2Char">
    <w:name w:val="Heading 2 Char"/>
    <w:link w:val="Heading2"/>
    <w:uiPriority w:val="99"/>
    <w:locked/>
    <w:rsid w:val="00952BC7"/>
    <w:rPr>
      <w:b/>
      <w:kern w:val="1"/>
      <w:sz w:val="32"/>
    </w:rPr>
  </w:style>
  <w:style w:type="character" w:customStyle="1" w:styleId="Heading3Char">
    <w:name w:val="Heading 3 Char"/>
    <w:link w:val="Heading3"/>
    <w:uiPriority w:val="99"/>
    <w:locked/>
    <w:rsid w:val="00952BC7"/>
    <w:rPr>
      <w:b/>
      <w:kern w:val="1"/>
      <w:sz w:val="32"/>
    </w:rPr>
  </w:style>
  <w:style w:type="character" w:customStyle="1" w:styleId="Heading4Char">
    <w:name w:val="Heading 4 Char"/>
    <w:link w:val="Heading4"/>
    <w:uiPriority w:val="99"/>
    <w:locked/>
    <w:rsid w:val="00952BC7"/>
    <w:rPr>
      <w:b/>
      <w:kern w:val="1"/>
      <w:sz w:val="24"/>
    </w:rPr>
  </w:style>
  <w:style w:type="character" w:customStyle="1" w:styleId="Heading5Char">
    <w:name w:val="Heading 5 Char"/>
    <w:link w:val="Heading5"/>
    <w:uiPriority w:val="99"/>
    <w:locked/>
    <w:rsid w:val="00952BC7"/>
    <w:rPr>
      <w:b/>
      <w:kern w:val="1"/>
      <w:sz w:val="24"/>
    </w:rPr>
  </w:style>
  <w:style w:type="character" w:customStyle="1" w:styleId="Heading6Char">
    <w:name w:val="Heading 6 Char"/>
    <w:link w:val="Heading6"/>
    <w:uiPriority w:val="99"/>
    <w:locked/>
    <w:rsid w:val="00952BC7"/>
    <w:rPr>
      <w:b/>
      <w:kern w:val="1"/>
      <w:sz w:val="24"/>
    </w:rPr>
  </w:style>
  <w:style w:type="character" w:customStyle="1" w:styleId="Bekezdsalapbettpusa1">
    <w:name w:val="Bekezdés alapbetűtípusa1"/>
    <w:uiPriority w:val="99"/>
    <w:rsid w:val="00952BC7"/>
  </w:style>
  <w:style w:type="paragraph" w:styleId="Header">
    <w:name w:val="header"/>
    <w:basedOn w:val="Normal"/>
    <w:link w:val="HeaderChar"/>
    <w:uiPriority w:val="99"/>
    <w:rsid w:val="00146C4F"/>
    <w:pPr>
      <w:tabs>
        <w:tab w:val="center" w:pos="4536"/>
        <w:tab w:val="right" w:pos="9072"/>
      </w:tabs>
    </w:pPr>
  </w:style>
  <w:style w:type="character" w:customStyle="1" w:styleId="HeaderChar">
    <w:name w:val="Header Char"/>
    <w:link w:val="Header"/>
    <w:uiPriority w:val="99"/>
    <w:locked/>
    <w:rsid w:val="0039322A"/>
    <w:rPr>
      <w:rFonts w:cs="Times New Roman"/>
      <w:sz w:val="24"/>
      <w:szCs w:val="24"/>
    </w:rPr>
  </w:style>
  <w:style w:type="paragraph" w:styleId="Footer">
    <w:name w:val="footer"/>
    <w:basedOn w:val="Normal"/>
    <w:link w:val="FooterChar"/>
    <w:uiPriority w:val="99"/>
    <w:rsid w:val="00146C4F"/>
    <w:pPr>
      <w:tabs>
        <w:tab w:val="center" w:pos="4536"/>
        <w:tab w:val="right" w:pos="9072"/>
      </w:tabs>
    </w:pPr>
  </w:style>
  <w:style w:type="character" w:customStyle="1" w:styleId="FooterChar">
    <w:name w:val="Footer Char"/>
    <w:link w:val="Footer"/>
    <w:uiPriority w:val="99"/>
    <w:locked/>
    <w:rsid w:val="006536F7"/>
    <w:rPr>
      <w:rFonts w:cs="Times New Roman"/>
      <w:sz w:val="24"/>
      <w:szCs w:val="24"/>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w:type="paragraph" w:customStyle="1" w:styleId="Iktatszm">
    <w:name w:val="Iktatószám"/>
    <w:basedOn w:val="Normal"/>
    <w:uiPriority w:val="99"/>
    <w:rsid w:val="00146C4F"/>
    <w:pPr>
      <w:jc w:val="center"/>
    </w:pPr>
    <w:rPr>
      <w:b/>
      <w:caps/>
    </w:rPr>
  </w:style>
  <w:style w:type="character" w:styleId="PageNumber">
    <w:name w:val="page number"/>
    <w:uiPriority w:val="99"/>
    <w:rsid w:val="007E6F4D"/>
    <w:rPr>
      <w:rFonts w:cs="Times New Roman"/>
    </w:rPr>
  </w:style>
  <w:style w:type="paragraph" w:styleId="BodyText2">
    <w:name w:val="Body Text 2"/>
    <w:basedOn w:val="Normal"/>
    <w:link w:val="BodyText2Char"/>
    <w:uiPriority w:val="99"/>
    <w:rsid w:val="005C48EC"/>
    <w:pPr>
      <w:spacing w:after="120" w:line="480" w:lineRule="auto"/>
    </w:pPr>
  </w:style>
  <w:style w:type="character" w:customStyle="1" w:styleId="BodyText2Char">
    <w:name w:val="Body Text 2 Char"/>
    <w:link w:val="BodyText2"/>
    <w:uiPriority w:val="99"/>
    <w:semiHidden/>
    <w:locked/>
    <w:rsid w:val="0039322A"/>
    <w:rPr>
      <w:rFonts w:cs="Times New Roman"/>
      <w:sz w:val="24"/>
      <w:szCs w:val="24"/>
    </w:rPr>
  </w:style>
  <w:style w:type="paragraph" w:customStyle="1" w:styleId="Fszveg">
    <w:name w:val="Főszöveg"/>
    <w:basedOn w:val="BodyText3"/>
    <w:rsid w:val="002E14B8"/>
    <w:pPr>
      <w:autoSpaceDE w:val="0"/>
      <w:autoSpaceDN w:val="0"/>
      <w:spacing w:after="0" w:line="360" w:lineRule="auto"/>
      <w:jc w:val="both"/>
    </w:pPr>
    <w:rPr>
      <w:sz w:val="28"/>
      <w:szCs w:val="26"/>
    </w:rPr>
  </w:style>
  <w:style w:type="paragraph" w:styleId="BodyText3">
    <w:name w:val="Body Text 3"/>
    <w:basedOn w:val="Normal"/>
    <w:link w:val="BodyText3Char"/>
    <w:uiPriority w:val="99"/>
    <w:rsid w:val="002E14B8"/>
    <w:pPr>
      <w:spacing w:after="120"/>
    </w:pPr>
    <w:rPr>
      <w:sz w:val="16"/>
      <w:szCs w:val="16"/>
    </w:rPr>
  </w:style>
  <w:style w:type="character" w:customStyle="1" w:styleId="BodyText3Char">
    <w:name w:val="Body Text 3 Char"/>
    <w:link w:val="BodyText3"/>
    <w:uiPriority w:val="99"/>
    <w:semiHidden/>
    <w:locked/>
    <w:rsid w:val="0039322A"/>
    <w:rPr>
      <w:rFonts w:cs="Times New Roman"/>
      <w:sz w:val="16"/>
      <w:szCs w:val="16"/>
    </w:rPr>
  </w:style>
  <w:style w:type="character" w:styleId="Hyperlink">
    <w:name w:val="Hyperlink"/>
    <w:uiPriority w:val="99"/>
    <w:rsid w:val="00DC0B69"/>
    <w:rPr>
      <w:rFonts w:cs="Times New Roman"/>
      <w:color w:val="0000FF"/>
      <w:u w:val="single"/>
    </w:rPr>
  </w:style>
  <w:style w:type="paragraph" w:styleId="NormalWeb">
    <w:name w:val="Normal (Web)"/>
    <w:basedOn w:val="Normal"/>
    <w:uiPriority w:val="99"/>
    <w:rsid w:val="00DC0B69"/>
    <w:pPr>
      <w:spacing w:before="150" w:after="150"/>
      <w:ind w:left="675" w:right="525"/>
    </w:pPr>
    <w:rPr>
      <w:sz w:val="19"/>
      <w:szCs w:val="19"/>
    </w:rPr>
  </w:style>
  <w:style w:type="character" w:customStyle="1" w:styleId="Cmsor1Char1">
    <w:name w:val="Címsor 1 Char1"/>
    <w:uiPriority w:val="99"/>
    <w:rsid w:val="00952BC7"/>
    <w:rPr>
      <w:rFonts w:ascii="Cambria" w:hAnsi="Cambria"/>
      <w:b/>
      <w:kern w:val="1"/>
      <w:sz w:val="32"/>
    </w:rPr>
  </w:style>
  <w:style w:type="character" w:customStyle="1" w:styleId="Cmsor2Char1">
    <w:name w:val="Címsor 2 Char1"/>
    <w:uiPriority w:val="99"/>
    <w:rsid w:val="00952BC7"/>
    <w:rPr>
      <w:rFonts w:ascii="Cambria" w:hAnsi="Cambria"/>
      <w:b/>
      <w:i/>
      <w:sz w:val="28"/>
    </w:rPr>
  </w:style>
  <w:style w:type="character" w:customStyle="1" w:styleId="Cmsor3Char1">
    <w:name w:val="Címsor 3 Char1"/>
    <w:uiPriority w:val="99"/>
    <w:rsid w:val="00952BC7"/>
    <w:rPr>
      <w:rFonts w:ascii="Cambria" w:hAnsi="Cambria"/>
      <w:b/>
      <w:sz w:val="26"/>
    </w:rPr>
  </w:style>
  <w:style w:type="character" w:customStyle="1" w:styleId="Cmsor4Char1">
    <w:name w:val="Címsor 4 Char1"/>
    <w:uiPriority w:val="99"/>
    <w:rsid w:val="00952BC7"/>
    <w:rPr>
      <w:rFonts w:ascii="Calibri" w:hAnsi="Calibri"/>
      <w:b/>
      <w:sz w:val="28"/>
    </w:rPr>
  </w:style>
  <w:style w:type="character" w:customStyle="1" w:styleId="Cmsor5Char1">
    <w:name w:val="Címsor 5 Char1"/>
    <w:uiPriority w:val="99"/>
    <w:rsid w:val="00952BC7"/>
    <w:rPr>
      <w:rFonts w:ascii="Calibri" w:hAnsi="Calibri"/>
      <w:b/>
      <w:i/>
      <w:sz w:val="26"/>
    </w:rPr>
  </w:style>
  <w:style w:type="character" w:customStyle="1" w:styleId="Cmsor6Char1">
    <w:name w:val="Címsor 6 Char1"/>
    <w:uiPriority w:val="99"/>
    <w:rsid w:val="00952BC7"/>
    <w:rPr>
      <w:rFonts w:ascii="Calibri" w:hAnsi="Calibri"/>
      <w:b/>
    </w:rPr>
  </w:style>
  <w:style w:type="character" w:customStyle="1" w:styleId="Oldalszm1">
    <w:name w:val="Oldalszám1"/>
    <w:uiPriority w:val="99"/>
    <w:rsid w:val="00952BC7"/>
  </w:style>
  <w:style w:type="character" w:customStyle="1" w:styleId="Bekezdsalapbettpusa3">
    <w:name w:val="Bekezdés alapbet?típusa3"/>
    <w:uiPriority w:val="99"/>
    <w:rsid w:val="00952BC7"/>
  </w:style>
  <w:style w:type="character" w:customStyle="1" w:styleId="Absatz-Standardschriftart">
    <w:name w:val="Absatz-Standardschriftart"/>
    <w:uiPriority w:val="99"/>
    <w:rsid w:val="00952BC7"/>
  </w:style>
  <w:style w:type="character" w:customStyle="1" w:styleId="Bekezdsalapbettpusa2">
    <w:name w:val="Bekezdés alapbet?típusa2"/>
    <w:uiPriority w:val="99"/>
    <w:rsid w:val="00952BC7"/>
  </w:style>
  <w:style w:type="character" w:customStyle="1" w:styleId="Bekezdsalapbettpusa10">
    <w:name w:val="Bekezdés alapbet?típusa1"/>
    <w:uiPriority w:val="99"/>
    <w:rsid w:val="00952BC7"/>
  </w:style>
  <w:style w:type="character" w:customStyle="1" w:styleId="WW-Absatz-Standardschriftart">
    <w:name w:val="WW-Absatz-Standardschriftart"/>
    <w:uiPriority w:val="99"/>
    <w:rsid w:val="00952BC7"/>
  </w:style>
  <w:style w:type="character" w:customStyle="1" w:styleId="Bekezdsalap-bettpusa">
    <w:name w:val="Bekezdés alap-bet?típusa"/>
    <w:uiPriority w:val="99"/>
    <w:rsid w:val="00952BC7"/>
  </w:style>
  <w:style w:type="character" w:customStyle="1" w:styleId="Jegyzethivatkozs1">
    <w:name w:val="Jegyzethivatkozás1"/>
    <w:uiPriority w:val="99"/>
    <w:rsid w:val="00952BC7"/>
    <w:rPr>
      <w:sz w:val="16"/>
    </w:rPr>
  </w:style>
  <w:style w:type="character" w:customStyle="1" w:styleId="JegyzetszvegChar">
    <w:name w:val="Jegyzetszöveg Char"/>
    <w:uiPriority w:val="99"/>
    <w:rsid w:val="00952BC7"/>
    <w:rPr>
      <w:rFonts w:ascii="Times" w:hAnsi="Times"/>
    </w:rPr>
  </w:style>
  <w:style w:type="character" w:customStyle="1" w:styleId="MegjegyzstrgyaChar">
    <w:name w:val="Megjegyzés tárgya Char"/>
    <w:uiPriority w:val="99"/>
    <w:rsid w:val="00952BC7"/>
    <w:rPr>
      <w:b/>
    </w:rPr>
  </w:style>
  <w:style w:type="character" w:customStyle="1" w:styleId="BuborkszvegChar">
    <w:name w:val="Buborékszöveg Char"/>
    <w:uiPriority w:val="99"/>
    <w:rsid w:val="00952BC7"/>
    <w:rPr>
      <w:rFonts w:ascii="Tahoma" w:hAnsi="Tahoma"/>
      <w:sz w:val="16"/>
    </w:rPr>
  </w:style>
  <w:style w:type="character" w:customStyle="1" w:styleId="Jegyzethivatkozs2">
    <w:name w:val="Jegyzethivatkozás2"/>
    <w:uiPriority w:val="99"/>
    <w:rsid w:val="00952BC7"/>
    <w:rPr>
      <w:sz w:val="16"/>
    </w:rPr>
  </w:style>
  <w:style w:type="character" w:customStyle="1" w:styleId="Szmozsjelek">
    <w:name w:val="Számozásjelek"/>
    <w:uiPriority w:val="99"/>
    <w:rsid w:val="00952BC7"/>
  </w:style>
  <w:style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w:type="character" w:customStyle="1" w:styleId="BodyTextChar">
    <w:name w:val="Body Text Char"/>
    <w:link w:val="BodyText"/>
    <w:uiPriority w:val="99"/>
    <w:locked/>
    <w:rsid w:val="00952BC7"/>
    <w:rPr>
      <w:rFonts w:cs="Times New Roman"/>
      <w:kern w:val="1"/>
      <w:lang w:val="et-EE" w:eastAsia="en-GB" w:bidi="en-GB"/>
    </w:rPr>
  </w:style>
  <w:style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w:type="paragraph" w:customStyle="1" w:styleId="Kerettartalom">
    <w:name w:val="Kerettartalom"/>
    <w:basedOn w:val="BodyText"/>
    <w:uiPriority w:val="99"/>
    <w:rsid w:val="00952BC7"/>
  </w:style>
  <w:style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w:type="character" w:customStyle="1" w:styleId="BalloonTextChar">
    <w:name w:val="Balloon Text Char"/>
    <w:link w:val="BalloonText"/>
    <w:uiPriority w:val="99"/>
    <w:locked/>
    <w:rsid w:val="00952BC7"/>
    <w:rPr>
      <w:rFonts w:ascii="Tahoma" w:hAnsi="Tahoma" w:cs="Tahoma"/>
      <w:kern w:val="1"/>
      <w:sz w:val="16"/>
      <w:szCs w:val="16"/>
    </w:rPr>
  </w:style>
  <w:style w:type="character" w:styleId="CommentReference">
    <w:name w:val="annotation reference"/>
    <w:uiPriority w:val="99"/>
    <w:rsid w:val="00952BC7"/>
    <w:rPr>
      <w:rFonts w:cs="Times New Roman"/>
      <w:sz w:val="16"/>
      <w:szCs w:val="16"/>
    </w:rPr>
  </w:style>
  <w:style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w:type="character" w:customStyle="1" w:styleId="CommentTextChar">
    <w:name w:val="Comment Text Char"/>
    <w:link w:val="CommentText"/>
    <w:uiPriority w:val="99"/>
    <w:locked/>
    <w:rsid w:val="00952BC7"/>
    <w:rPr>
      <w:rFonts w:ascii="Times" w:hAnsi="Times" w:cs="Times New Roman"/>
      <w:kern w:val="1"/>
    </w:rPr>
  </w:style>
  <w:style w:type="paragraph" w:styleId="CommentSubject">
    <w:name w:val="annotation subject"/>
    <w:basedOn w:val="CommentText"/>
    <w:next w:val="CommentText"/>
    <w:link w:val="CommentSubjectChar"/>
    <w:uiPriority w:val="99"/>
    <w:rsid w:val="00952BC7"/>
    <w:rPr>
      <w:b/>
      <w:bCs/>
    </w:rPr>
  </w:style>
  <w:style w:type="character" w:customStyle="1" w:styleId="CommentSubjectChar">
    <w:name w:val="Comment Subject Char"/>
    <w:link w:val="CommentSubject"/>
    <w:uiPriority w:val="99"/>
    <w:locked/>
    <w:rsid w:val="00952BC7"/>
    <w:rPr>
      <w:rFonts w:ascii="Times" w:hAnsi="Times" w:cs="Times New Roman"/>
      <w:b/>
      <w:bCs/>
      <w:kern w:val="1"/>
    </w:rPr>
  </w:style>
  <w:style w:type="paragraph" w:styleId="Revision">
    <w:name w:val="Revision"/>
    <w:hidden/>
    <w:uiPriority w:val="99"/>
    <w:semiHidden/>
    <w:rsid w:val="00952BC7"/>
    <w:rPr>
      <w:rFonts w:ascii="Times" w:hAnsi="Times"/>
      <w:kern w:val="1"/>
    </w:rPr>
  </w:style>
  <w:style w:type="paragraph" w:customStyle="1" w:styleId="np">
    <w:name w:val="np"/>
    <w:basedOn w:val="Normal"/>
    <w:uiPriority w:val="99"/>
    <w:rsid w:val="00C030FC"/>
    <w:pPr>
      <w:spacing w:before="100" w:beforeAutospacing="1" w:after="100" w:afterAutospacing="1"/>
    </w:p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w:type="character" w:customStyle="1" w:styleId="apple-converted-space">
    <w:name w:val="apple-converted-space"/>
    <w:basedOn w:val="DefaultParagraphFont"/>
    <w:rsid w:val="000F293F"/>
  </w:style>
  <w:style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1">
    <w:name w:val="Élőláb Char1"/>
    <w:uiPriority w:val="99"/>
    <w:rsid w:val="00EB07AE"/>
    <w:rPr>
      <w:sz w:val="24"/>
      <w:szCs w:val="24"/>
      <w:lang w:val="et-EE" w:eastAsia="en-GB"/>
    </w:rPr>
  </w:style>
  <w:style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007615"/>
    <w:rPr>
      <w:rFonts w:ascii="Calibri" w:eastAsia="Calibri" w:hAnsi="Calibri"/>
      <w:lang w:eastAsia="en-GB"/>
    </w:rPr>
  </w:style>
  <w:style w:type="character" w:styleId="FootnoteReference">
    <w:name w:val="footnote reference"/>
    <w:uiPriority w:val="99"/>
    <w:unhideWhenUsed/>
    <w:locked/>
    <w:rsid w:val="00007615"/>
    <w:rPr>
      <w:vertAlign w:val="superscript"/>
    </w:rPr>
  </w:style>
  <w:style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w:type="paragraph" w:styleId="NoSpacing">
    <w:name w:val="No Spacing"/>
    <w:link w:val="NoSpacingChar"/>
    <w:uiPriority w:val="1"/>
    <w:qFormat/>
    <w:rsid w:val="00007615"/>
    <w:rPr>
      <w:rFonts w:ascii="Calibri" w:eastAsia="Calibri" w:hAnsi="Calibri"/>
      <w:sz w:val="22"/>
      <w:szCs w:val="22"/>
    </w:rPr>
  </w:style>
  <w:style w:type="paragraph" w:customStyle="1" w:styleId="Norml1">
    <w:name w:val="Normál1"/>
    <w:basedOn w:val="Normal"/>
    <w:rsid w:val="00007615"/>
    <w:pPr>
      <w:spacing w:before="120"/>
      <w:jc w:val="both"/>
    </w:pPr>
  </w:style>
  <w:style w:type="paragraph" w:customStyle="1" w:styleId="Norml11">
    <w:name w:val="Normál11"/>
    <w:basedOn w:val="Normal"/>
    <w:rsid w:val="004315B4"/>
    <w:pPr>
      <w:spacing w:before="120"/>
      <w:jc w:val="both"/>
    </w:pPr>
  </w:style>
  <w:style w:type="paragraph" w:customStyle="1" w:styleId="Pont">
    <w:name w:val="Pont"/>
    <w:basedOn w:val="Normal"/>
    <w:qFormat/>
    <w:rsid w:val="005B4A47"/>
    <w:pPr>
      <w:numPr>
        <w:numId w:val="7"/>
      </w:numPr>
      <w:spacing w:before="200" w:after="200"/>
      <w:jc w:val="both"/>
    </w:pPr>
    <w:rPr>
      <w:rFonts w:eastAsia="Calibri"/>
      <w:szCs w:val="22"/>
    </w:rPr>
  </w:style>
  <w:style w:type="numbering" w:customStyle="1" w:styleId="Hatrozat">
    <w:name w:val="Határozat"/>
    <w:uiPriority w:val="99"/>
    <w:rsid w:val="005B4A47"/>
    <w:pPr>
      <w:numPr>
        <w:numId w:val="7"/>
      </w:numPr>
    </w:pPr>
  </w:style>
  <w:style w:type="paragraph" w:customStyle="1" w:styleId="Szveg">
    <w:name w:val="Szöveg"/>
    <w:basedOn w:val="Normal"/>
    <w:qFormat/>
    <w:rsid w:val="005B4A47"/>
    <w:pPr>
      <w:spacing w:before="200" w:after="200"/>
      <w:jc w:val="both"/>
    </w:pPr>
    <w:rPr>
      <w:rFonts w:eastAsia="Calibri"/>
      <w:sz w:val="22"/>
      <w:szCs w:val="2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w:type="character" w:customStyle="1" w:styleId="NoSpacingChar">
    <w:name w:val="No Spacing Char"/>
    <w:link w:val="NoSpacing"/>
    <w:uiPriority w:val="1"/>
    <w:rsid w:val="00260F2B"/>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amas.andreka@am.gov.hu" TargetMode="External"/><Relationship Id="rId1" Type="http://schemas.openxmlformats.org/officeDocument/2006/relationships/hyperlink" Target="mailto:hunor.orban@a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4E1F-B1F5-47E9-B0F3-8155C660627E}">
  <ds:schemaRefs>
    <ds:schemaRef ds:uri="http://schemas.openxmlformats.org/officeDocument/2006/bibliography"/>
  </ds:schemaRefs>
</ds:datastoreItem>
</file>

<file path=customXml/itemProps2.xml><?xml version="1.0" encoding="utf-8"?>
<ds:datastoreItem xmlns:ds="http://schemas.openxmlformats.org/officeDocument/2006/customXml" ds:itemID="{69A180EC-B362-49C0-9BFB-01431E18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1855</Words>
  <Characters>10579</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Liu, Lei</cp:lastModifiedBy>
  <cp:revision>6</cp:revision>
  <cp:lastPrinted>2019-06-12T12:18:00Z</cp:lastPrinted>
  <dcterms:created xsi:type="dcterms:W3CDTF">2019-06-25T07:45:00Z</dcterms:created>
  <dcterms:modified xsi:type="dcterms:W3CDTF">2019-07-03T10:29:00Z</dcterms:modified>
</cp:coreProperties>
</file>