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1E35" w:rsidRPr="00A92569" w:rsidRDefault="00971E35" w:rsidP="00971E35">
      <w:pPr>
        <w:jc w:val="center"/>
        <w:rPr>
          <w:rFonts w:ascii="Courier New" w:hAnsi="Courier New"/>
          <w:sz w:val="20"/>
        </w:rPr>
      </w:pPr>
      <w:bookmarkStart w:id="0" w:name="_GoBack"/>
      <w:bookmarkEnd w:id="0"/>
      <w:r>
        <w:rPr>
          <w:rFonts w:ascii="Courier New" w:hAnsi="Courier New"/>
          <w:sz w:val="20"/>
        </w:rPr>
        <w:t>1. ------IND- 2020 0791 F-- ET- ------ 20201221 --- --- PROJET</w:t>
      </w:r>
    </w:p>
    <w:tbl>
      <w:tblPr>
        <w:tblW w:w="0" w:type="auto"/>
        <w:tblInd w:w="1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REPUBLIQUE"/>
              <w:snapToGrid w:val="0"/>
            </w:pPr>
            <w:r>
              <w:t>PRANTSUSE VABARIIK</w:t>
            </w:r>
          </w:p>
        </w:tc>
      </w:tr>
      <w:tr w:rsidR="00D85F5D" w:rsidRPr="006C397D" w:rsidTr="00A73D1D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</w:pPr>
            <w:r>
              <w:t xml:space="preserve">ÖKOLOOGILISE ÜLEMINEKU MINISTEERIUM 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304F7E">
            <w:pPr>
              <w:pStyle w:val="SNTimbre"/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129540</wp:posOffset>
                      </wp:positionV>
                      <wp:extent cx="613410" cy="635"/>
                      <wp:effectExtent l="7620" t="12065" r="7620" b="635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D6C169" id="Connecteur droit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0.2pt" to="12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  <w:spacing w:before="0" w:after="160"/>
            </w:pPr>
            <w:r>
              <w:t>Elamispind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  <w:jc w:val="left"/>
              <w:rPr>
                <w:highlight w:val="yellow"/>
              </w:rPr>
            </w:pPr>
          </w:p>
        </w:tc>
      </w:tr>
    </w:tbl>
    <w:p w:rsidR="00121B80" w:rsidRPr="006C397D" w:rsidRDefault="00121B80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Määrus</w:t>
      </w:r>
    </w:p>
    <w:p w:rsidR="00121B80" w:rsidRPr="006C397D" w:rsidRDefault="00371CC6" w:rsidP="00D125B4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ehitus- ja elamuseadustiku artiklis R. 111-20-5 ettenähtud arvutusmeetodi heakskiitmise kohta</w:t>
      </w:r>
    </w:p>
    <w:p w:rsidR="00121B80" w:rsidRPr="006C397D" w:rsidRDefault="00121B80">
      <w:pPr>
        <w:pStyle w:val="SNNORCentr"/>
      </w:pPr>
      <w:r>
        <w:t xml:space="preserve">NOR: </w:t>
      </w:r>
    </w:p>
    <w:p w:rsidR="00121B80" w:rsidRPr="006C397D" w:rsidRDefault="00121B80">
      <w:pPr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</w:pPr>
    </w:p>
    <w:p w:rsidR="00121B80" w:rsidRPr="006C397D" w:rsidRDefault="00121B80" w:rsidP="00371CC6">
      <w:pPr>
        <w:jc w:val="both"/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Sihtrühmad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>ehitusprojekti omanikud, töödejuhatajad, ehitajad ja arendajad, arhitektid, termiliste protsesside uuringute ja keskkonnauuringute bürood, ehitusprojekti juhid, tehnilise järelevalve teostajad, ehitusettevõtted, ehitusmaterjalide ja hoone tehnosüsteemide tootjad, energiatarnijad Prantsuse emamaal.</w:t>
      </w:r>
    </w:p>
    <w:p w:rsidR="00121B80" w:rsidRPr="006C397D" w:rsidRDefault="00121B80">
      <w:pPr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</w:rPr>
        <w:t>Eesmärk</w:t>
      </w:r>
      <w:r>
        <w:rPr>
          <w:rFonts w:ascii="Times New Roman" w:hAnsi="Times New Roman"/>
          <w:i/>
          <w:iCs/>
          <w:sz w:val="24"/>
          <w:szCs w:val="24"/>
        </w:rPr>
        <w:t xml:space="preserve">: määrata kindlaks elamute, kontorihoonete või põhi- ja keskharidushoonete ehituse energia- ja keskkonnatõhususe arvutusmeetod Prantsuse emamaal, et rakendada määrust </w:t>
      </w:r>
      <w:r>
        <w:rPr>
          <w:rFonts w:ascii="Times New Roman" w:hAnsi="Times New Roman"/>
          <w:i/>
          <w:iCs/>
          <w:sz w:val="24"/>
          <w:szCs w:val="24"/>
          <w:highlight w:val="yellow"/>
        </w:rPr>
        <w:t>XXX</w:t>
      </w:r>
      <w:r>
        <w:rPr>
          <w:rFonts w:ascii="Times New Roman" w:hAnsi="Times New Roman"/>
          <w:i/>
          <w:iCs/>
          <w:sz w:val="24"/>
          <w:szCs w:val="24"/>
        </w:rPr>
        <w:t xml:space="preserve"> seoses elamute, kontorihoonete või põhi- ja keskharidushoonete ehituse energia- ja keskkonnatõhususe nõuetega Prantsuse emamaal.</w:t>
      </w:r>
    </w:p>
    <w:p w:rsidR="00371CC6" w:rsidRPr="006C397D" w:rsidRDefault="00121B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Jõustumine</w:t>
      </w:r>
      <w:r>
        <w:rPr>
          <w:rFonts w:ascii="Times New Roman" w:hAnsi="Times New Roman"/>
          <w:i/>
          <w:iCs/>
          <w:sz w:val="24"/>
          <w:szCs w:val="24"/>
        </w:rPr>
        <w:t>: käesolev määrus jõustub 1. juulil 2021.</w:t>
      </w:r>
    </w:p>
    <w:p w:rsidR="00371CC6" w:rsidRPr="006C397D" w:rsidRDefault="00371C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</w:pPr>
    </w:p>
    <w:p w:rsidR="00371CC6" w:rsidRPr="006C397D" w:rsidRDefault="00121B80" w:rsidP="006C397D">
      <w:pPr>
        <w:keepNext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Märkus</w:t>
      </w:r>
      <w:r>
        <w:rPr>
          <w:rFonts w:ascii="Times New Roman" w:hAnsi="Times New Roman"/>
          <w:i/>
          <w:iCs/>
          <w:sz w:val="24"/>
          <w:szCs w:val="24"/>
        </w:rPr>
        <w:t>. Määrusega määratakse kindlaks arvutusmeetod elamute, kontorihoonete või põhi- või keskharidushoonete ehituse energia- ja keskkonnatõhususe arvutamiseks Prantsusmaa emamaal kolmes järgmises lisas: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 lisa. Üldeeskirjad energia- ja keskkonnatõhususe arvutamiseks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II lisa. Arvutusmeetod „Th-BCE 2020“, millega täpsustatakse energiatõhususe arvutamise eeskirjad, mis on seotud ehitus- ja elamuseadustiku artiklis L.111-9-1-A ettenähtud arvutusvahendiga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III lisa. „Th-Bat 2020“ eeskirjad, millega saab kindlaks määrata hoone energiatõhususe arvutamiseks vajalikud sisestusandmed nõuetekohasuse väljaarvutamiseks</w:t>
      </w:r>
    </w:p>
    <w:p w:rsidR="00121B80" w:rsidRPr="006C397D" w:rsidRDefault="00121B80" w:rsidP="00371CC6">
      <w:pPr>
        <w:spacing w:after="0" w:line="240" w:lineRule="auto"/>
        <w:jc w:val="both"/>
      </w:pPr>
    </w:p>
    <w:p w:rsidR="00121B80" w:rsidRPr="006C397D" w:rsidRDefault="00121B80">
      <w:pPr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</w:rPr>
        <w:t>Viiteid </w:t>
      </w:r>
      <w:r>
        <w:rPr>
          <w:rFonts w:ascii="Times New Roman" w:hAnsi="Times New Roman"/>
          <w:i/>
          <w:iCs/>
          <w:sz w:val="24"/>
          <w:szCs w:val="24"/>
        </w:rPr>
        <w:t xml:space="preserve">käesoleva määrusega </w:t>
      </w:r>
      <w:r>
        <w:rPr>
          <w:rFonts w:ascii="Times New Roman" w:hAnsi="Times New Roman"/>
          <w:i/>
          <w:iCs/>
          <w:sz w:val="24"/>
          <w:szCs w:val="24"/>
          <w:highlight w:val="yellow"/>
        </w:rPr>
        <w:t>muudetud</w:t>
      </w:r>
      <w:r>
        <w:rPr>
          <w:rFonts w:ascii="Times New Roman" w:hAnsi="Times New Roman"/>
          <w:i/>
          <w:iCs/>
          <w:sz w:val="24"/>
          <w:szCs w:val="24"/>
        </w:rPr>
        <w:t xml:space="preserve"> tektsile võib näha muudetud kujul, Legifrance’i kodulehel (</w:t>
      </w:r>
      <w:hyperlink r:id="rId7" w:history="1">
        <w:r>
          <w:rPr>
            <w:rStyle w:val="Hyperlink"/>
            <w:rFonts w:ascii="Times New Roman" w:hAnsi="Times New Roman"/>
            <w:i/>
            <w:iCs/>
            <w:sz w:val="24"/>
            <w:szCs w:val="24"/>
          </w:rPr>
          <w:t>www.legifrance.gouv.fr</w:t>
        </w:r>
      </w:hyperlink>
      <w:r>
        <w:rPr>
          <w:rFonts w:ascii="Times New Roman" w:hAnsi="Times New Roman"/>
          <w:i/>
          <w:iCs/>
          <w:sz w:val="24"/>
          <w:szCs w:val="24"/>
        </w:rPr>
        <w:t>).</w:t>
      </w:r>
    </w:p>
    <w:p w:rsidR="00121B80" w:rsidRPr="006C397D" w:rsidRDefault="00121B80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71CC6" w:rsidRPr="006C397D" w:rsidRDefault="00121B80" w:rsidP="00371CC6">
      <w:pPr>
        <w:pStyle w:val="SNAutorit"/>
        <w:pageBreakBefore/>
        <w:suppressAutoHyphens w:val="0"/>
        <w:ind w:firstLine="0"/>
        <w:jc w:val="both"/>
        <w:rPr>
          <w:b w:val="0"/>
        </w:rPr>
      </w:pPr>
      <w:r>
        <w:rPr>
          <w:b w:val="0"/>
          <w:highlight w:val="yellow"/>
        </w:rPr>
        <w:lastRenderedPageBreak/>
        <w:t>Ökoloogilise ülemineku minister, ökoloogilise ülemineku ministrit esindav minister, eluasemevaldkonna eest vastutaja,</w:t>
      </w:r>
    </w:p>
    <w:p w:rsidR="000A64C4" w:rsidRPr="006C397D" w:rsidRDefault="00972FD1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võttes arvesse Euroopa Parlamendi ja nõukogu 9. septembri 2015. aasta direktiivi (EL) 2015/1535, millega nähakse ette tehnilistest eeskirjadest ning infoühiskonna teenuste eeskirjadest teatamise kord (kodifitseeritud tekst), ja eelkõige teatist nr ... </w:t>
      </w:r>
      <w:r>
        <w:rPr>
          <w:rFonts w:ascii="Times New Roman" w:hAnsi="Times New Roman"/>
          <w:sz w:val="24"/>
          <w:szCs w:val="24"/>
          <w:highlight w:val="yellow"/>
        </w:rPr>
        <w:t>aasta/XXX/F</w:t>
      </w:r>
      <w:r>
        <w:rPr>
          <w:rFonts w:ascii="Times New Roman" w:hAnsi="Times New Roman"/>
          <w:sz w:val="24"/>
          <w:szCs w:val="24"/>
        </w:rPr>
        <w:t>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võttes arvesse Euroopa Parlamendi ja nõukogu 19. mai 2010. aasta direktiivi 2010/31/EL hoonete energiatõhususe kohta, mida on muudetud Euroopa Parlamendi ja nõukogu 30. mai 2018. aasta direktiiviga 2018/844, eelkõige selle artikleid 3, 4 ja 6,</w:t>
      </w:r>
    </w:p>
    <w:p w:rsidR="00837B47" w:rsidRPr="006C397D" w:rsidRDefault="00837B47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võttes arvesse ehitus- ja elamuseadustikku ja eelkõige selle artiklit R. 111-20-5,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võttes arvesse määrust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elamute, kontorihoonete või põhi- või keskharidushoonete ehituse energia- ja keskkonnatõhususe nõuete kohta Prantsuse emamaal,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võttes arvesse </w:t>
      </w:r>
      <w:r>
        <w:rPr>
          <w:rFonts w:ascii="Times New Roman" w:hAnsi="Times New Roman"/>
          <w:sz w:val="24"/>
          <w:szCs w:val="24"/>
          <w:highlight w:val="yellow"/>
        </w:rPr>
        <w:t xml:space="preserve">XXX </w:t>
      </w:r>
      <w:r>
        <w:rPr>
          <w:rFonts w:ascii="Times New Roman" w:hAnsi="Times New Roman"/>
          <w:sz w:val="24"/>
          <w:szCs w:val="24"/>
        </w:rPr>
        <w:t xml:space="preserve">kuni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koos laiema üldsusega läbi viidud konsultatsioonidest saadud tähelepanekuid, keskkonnaseadustiku artikli L. 120-1 rakendamise kohta,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võttes arvesse </w:t>
      </w:r>
      <w:r>
        <w:rPr>
          <w:rFonts w:ascii="Times New Roman" w:hAnsi="Times New Roman"/>
          <w:sz w:val="24"/>
          <w:szCs w:val="24"/>
          <w:highlight w:val="yellow"/>
        </w:rPr>
        <w:t>riikliku standardite hindamise nõukogu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arvamust,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võttes arvesse </w:t>
      </w:r>
      <w:r>
        <w:rPr>
          <w:rFonts w:ascii="Times New Roman" w:hAnsi="Times New Roman"/>
          <w:sz w:val="24"/>
          <w:szCs w:val="24"/>
          <w:highlight w:val="yellow"/>
        </w:rPr>
        <w:t>riikliku energianõukogu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arvamust,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võttes arvesse ehituse ja energiatõhususe kõrgema nõukogu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arvamust,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võttes arvesse Prantsuse Guajaana assamblee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ametlikku pöördumist,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võttes arvesse Martinique’i assamblee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ametlikku pöördumist,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võttes arvesse Guadeloupe’i departemangu nõukogu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ametlikku pöördumist,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võttes arvesse La Réunioni departemangu nõukogu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ametlikku pöördumist,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võttes arvesse Guadeloupe’i piirkondliku nõukogu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ametlikku pöördumist,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võttes arvesse La Réunioni piirkondliku nõukogu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ametlikku pöördumist,</w:t>
      </w:r>
    </w:p>
    <w:p w:rsidR="00121B80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võttes arvesse Mayotte’i departemangu nõukogu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ametlikku pöördumist,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võtavad vastu järgmise määruse.</w:t>
      </w:r>
    </w:p>
    <w:p w:rsidR="00121B80" w:rsidRPr="006C397D" w:rsidRDefault="00121B80" w:rsidP="006C397D">
      <w:pPr>
        <w:keepNext/>
        <w:widowControl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121B80" w:rsidRPr="006C397D" w:rsidRDefault="00121B80" w:rsidP="006C397D">
      <w:pPr>
        <w:keepNext/>
        <w:widowControl w:val="0"/>
        <w:tabs>
          <w:tab w:val="left" w:pos="303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121B80" w:rsidRPr="006C397D" w:rsidRDefault="00121B80" w:rsidP="006C397D">
      <w:pPr>
        <w:pStyle w:val="SNArticle"/>
        <w:keepNext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Artikkel 1</w:t>
      </w:r>
    </w:p>
    <w:p w:rsidR="00121B80" w:rsidRPr="006C397D" w:rsidRDefault="00371CC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Käesoleva määruse lisaga kaasa pandud ning ehitus- ja elamuseadustiku artiklis R. 111-20-5 ettenähtud arvutusmeetod on heaks kiidetud.</w:t>
      </w:r>
    </w:p>
    <w:p w:rsidR="001776C9" w:rsidRPr="006C397D" w:rsidRDefault="001776C9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397D" w:rsidRPr="006C397D" w:rsidRDefault="006C397D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Artikkel 2</w:t>
      </w: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371CC6" w:rsidP="006C397D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Elupaikade, linnapiirkonna ja maastike direktor ning energia ja kliima peadirektoraadi peadirektor vastutavad igaüks oma pädevusalas selle määruse jõustamise eest, mis avaldatakse ökoloogilise ja solidaarse ülemineku ministeeriumi ametlikus väljaandes.</w:t>
      </w:r>
    </w:p>
    <w:p w:rsidR="00121B80" w:rsidRPr="006C397D" w:rsidRDefault="00121B80">
      <w:pPr>
        <w:widowControl w:val="0"/>
        <w:spacing w:after="0" w:line="240" w:lineRule="auto"/>
        <w:jc w:val="both"/>
      </w:pPr>
    </w:p>
    <w:p w:rsidR="00121B80" w:rsidRPr="006C397D" w:rsidRDefault="00121B80">
      <w:pPr>
        <w:widowControl w:val="0"/>
        <w:spacing w:after="0" w:line="240" w:lineRule="auto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widowControl w:val="0"/>
        <w:spacing w:after="0" w:line="240" w:lineRule="auto"/>
      </w:pPr>
    </w:p>
    <w:p w:rsidR="00121B80" w:rsidRPr="006C397D" w:rsidRDefault="00121B80">
      <w:pPr>
        <w:pStyle w:val="SNSignatureDroite"/>
        <w:jc w:val="left"/>
      </w:pPr>
      <w:r>
        <w:t xml:space="preserve">Ökoloogilise ülemineku minister </w:t>
      </w:r>
    </w:p>
    <w:p w:rsidR="00121B80" w:rsidRPr="006C397D" w:rsidRDefault="00121B80">
      <w:pPr>
        <w:pStyle w:val="SNSignatureDroite"/>
        <w:jc w:val="left"/>
      </w:pPr>
      <w:r>
        <w:rPr>
          <w:color w:val="000000"/>
        </w:rPr>
        <w:t>ministri</w:t>
      </w:r>
      <w:r>
        <w:t xml:space="preserve"> nimel ja volitusel:</w:t>
      </w:r>
    </w:p>
    <w:p w:rsidR="00371CC6" w:rsidRPr="006C397D" w:rsidRDefault="00121B80">
      <w:pPr>
        <w:pStyle w:val="SNSignatureDroite"/>
        <w:jc w:val="left"/>
      </w:pPr>
      <w:r>
        <w:t>elupaikade, linnapiirkonna ja maastike direktor</w:t>
      </w: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"/>
        <w:ind w:firstLine="0"/>
        <w:jc w:val="right"/>
      </w:pPr>
      <w:r>
        <w:t>Ökoloogilise ülemineku minister</w:t>
      </w:r>
    </w:p>
    <w:p w:rsidR="00121B80" w:rsidRPr="006C397D" w:rsidRDefault="00121B80">
      <w:pPr>
        <w:pStyle w:val="SNSignature"/>
        <w:ind w:firstLine="0"/>
        <w:jc w:val="right"/>
      </w:pPr>
      <w:r>
        <w:t>ministri nimel ja volitusel:</w:t>
      </w:r>
    </w:p>
    <w:p w:rsidR="00121B80" w:rsidRPr="006C397D" w:rsidRDefault="00121B80">
      <w:pPr>
        <w:pStyle w:val="SNSignature"/>
        <w:ind w:firstLine="0"/>
        <w:jc w:val="right"/>
      </w:pPr>
      <w:r>
        <w:rPr>
          <w:color w:val="000000"/>
        </w:rPr>
        <w:t>energia ja kliima peadirektoraadi</w:t>
      </w:r>
      <w:r>
        <w:t xml:space="preserve"> peadirektor</w:t>
      </w: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Droite"/>
        <w:jc w:val="left"/>
      </w:pPr>
      <w:r>
        <w:t xml:space="preserve">Ökoloogilise ülemineku ministrit esindav minister </w:t>
      </w:r>
    </w:p>
    <w:p w:rsidR="00121B80" w:rsidRPr="006C397D" w:rsidRDefault="00121B80">
      <w:pPr>
        <w:pStyle w:val="SNSignatureDroite"/>
        <w:jc w:val="left"/>
      </w:pPr>
      <w:r>
        <w:t>eluasemevaldkonna eest vastutaja</w:t>
      </w:r>
    </w:p>
    <w:p w:rsidR="00121B80" w:rsidRPr="006C397D" w:rsidRDefault="00121B80">
      <w:pPr>
        <w:pStyle w:val="SNSignatureDroite"/>
        <w:jc w:val="left"/>
      </w:pPr>
      <w:r>
        <w:t>ministri nimel ja volitusel:</w:t>
      </w:r>
    </w:p>
    <w:p w:rsidR="00121B80" w:rsidRPr="006C397D" w:rsidRDefault="00121B80">
      <w:pPr>
        <w:pStyle w:val="SNSignatureDroite"/>
        <w:jc w:val="left"/>
      </w:pPr>
      <w:r>
        <w:t>elupaikade, linnapiirkonna ja maastike direktor</w:t>
      </w:r>
    </w:p>
    <w:sectPr w:rsidR="00121B80" w:rsidRPr="006C397D">
      <w:pgSz w:w="11906" w:h="16838"/>
      <w:pgMar w:top="1133" w:right="1133" w:bottom="1133" w:left="1133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A1" w:rsidRDefault="00D269A1" w:rsidP="0079276F">
      <w:pPr>
        <w:spacing w:after="0" w:line="240" w:lineRule="auto"/>
      </w:pPr>
      <w:r>
        <w:separator/>
      </w:r>
    </w:p>
  </w:endnote>
  <w:end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4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A1" w:rsidRDefault="00D269A1" w:rsidP="0079276F">
      <w:pPr>
        <w:spacing w:after="0" w:line="240" w:lineRule="auto"/>
      </w:pPr>
      <w:r>
        <w:separator/>
      </w:r>
    </w:p>
  </w:footnote>
  <w:foot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8612A"/>
    <w:multiLevelType w:val="hybridMultilevel"/>
    <w:tmpl w:val="596E649E"/>
    <w:lvl w:ilvl="0" w:tplc="DC8EE016">
      <w:start w:val="2"/>
      <w:numFmt w:val="bullet"/>
      <w:lvlText w:val="-"/>
      <w:lvlJc w:val="left"/>
      <w:pPr>
        <w:ind w:left="720" w:hanging="360"/>
      </w:pPr>
      <w:rPr>
        <w:rFonts w:ascii="Times New Roman" w:eastAsia="font44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7E"/>
    <w:rsid w:val="000370CB"/>
    <w:rsid w:val="000A5F6D"/>
    <w:rsid w:val="000A64C4"/>
    <w:rsid w:val="00121B80"/>
    <w:rsid w:val="001776C9"/>
    <w:rsid w:val="002B5C7E"/>
    <w:rsid w:val="00304F7E"/>
    <w:rsid w:val="003305DB"/>
    <w:rsid w:val="00371CC6"/>
    <w:rsid w:val="0049409A"/>
    <w:rsid w:val="006C397D"/>
    <w:rsid w:val="0078501D"/>
    <w:rsid w:val="0079276F"/>
    <w:rsid w:val="00837B47"/>
    <w:rsid w:val="00890FE9"/>
    <w:rsid w:val="008F5F95"/>
    <w:rsid w:val="00971E35"/>
    <w:rsid w:val="00972FD1"/>
    <w:rsid w:val="00A73D1D"/>
    <w:rsid w:val="00A92569"/>
    <w:rsid w:val="00AA1C12"/>
    <w:rsid w:val="00D125B4"/>
    <w:rsid w:val="00D269A1"/>
    <w:rsid w:val="00D85F5D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chartTrackingRefBased/>
  <w15:docId w15:val="{43D3994F-6DA6-47FF-AAD0-60A77FD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font443" w:hAnsi="Calibri" w:cs="font44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ev1">
    <w:name w:val="Élevé1"/>
    <w:rPr>
      <w:b/>
      <w:bCs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NArticleCar">
    <w:name w:val="SNArticle Car"/>
    <w:rPr>
      <w:b/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font443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font44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Times New Roman" w:hAnsi="Times New Roman" w:cs="Times New Roman"/>
      <w:i/>
      <w:iCs/>
      <w:sz w:val="24"/>
      <w:szCs w:val="24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NNORCentr">
    <w:name w:val="SNNOR+Centré"/>
    <w:next w:val="Normal"/>
    <w:pPr>
      <w:suppressAutoHyphens/>
      <w:jc w:val="center"/>
    </w:pPr>
    <w:rPr>
      <w:bCs/>
      <w:kern w:val="2"/>
      <w:sz w:val="24"/>
      <w:lang w:eastAsia="zh-CN"/>
    </w:rPr>
  </w:style>
  <w:style w:type="paragraph" w:customStyle="1" w:styleId="Corpsdetexte21">
    <w:name w:val="Corps de texte 21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100" w:after="119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">
    <w:name w:val="SNSignature"/>
    <w:basedOn w:val="Normal"/>
    <w:pPr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Droite">
    <w:name w:val="SNSignature Droite"/>
    <w:basedOn w:val="Normal"/>
    <w:pPr>
      <w:spacing w:after="0" w:line="240" w:lineRule="auto"/>
      <w:jc w:val="righ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Autorit">
    <w:name w:val="SNAutorité"/>
    <w:basedOn w:val="Normal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SNVisa">
    <w:name w:val="SNVisa"/>
    <w:basedOn w:val="Normal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rticle">
    <w:name w:val="SNArticle"/>
    <w:basedOn w:val="Normal"/>
    <w:next w:val="BodyText"/>
    <w:pPr>
      <w:spacing w:before="240" w:after="240" w:line="240" w:lineRule="auto"/>
      <w:jc w:val="center"/>
    </w:pPr>
    <w:rPr>
      <w:b/>
      <w:sz w:val="24"/>
      <w:szCs w:val="24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SNREPUBLIQUE">
    <w:name w:val="SNREPUBLIQ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SNTimbre">
    <w:name w:val="SNTimbre"/>
    <w:basedOn w:val="Normal"/>
    <w:pPr>
      <w:widowControl w:val="0"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vision1">
    <w:name w:val="Révision1"/>
    <w:pPr>
      <w:suppressAutoHyphens/>
    </w:pPr>
    <w:rPr>
      <w:rFonts w:ascii="Calibri" w:eastAsia="font443" w:hAnsi="Calibri" w:cs="font443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1CC6"/>
    <w:rPr>
      <w:rFonts w:ascii="Calibri" w:eastAsia="font443" w:hAnsi="Calibri" w:cs="font44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CC6"/>
    <w:rPr>
      <w:rFonts w:ascii="Calibri" w:eastAsia="font443" w:hAnsi="Calibri" w:cs="font443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CC6"/>
    <w:rPr>
      <w:rFonts w:ascii="Segoe UI" w:eastAsia="font443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4265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 V0.10</dc:creator>
  <cp:keywords/>
  <cp:lastModifiedBy>METNIECE, Lasma</cp:lastModifiedBy>
  <cp:revision>6</cp:revision>
  <cp:lastPrinted>1899-12-31T23:00:00Z</cp:lastPrinted>
  <dcterms:created xsi:type="dcterms:W3CDTF">2020-12-11T13:33:00Z</dcterms:created>
  <dcterms:modified xsi:type="dcterms:W3CDTF">2020-12-21T13:21:00Z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jforCreatedThisOn">
    <vt:lpwstr>Wed Jan 15 14:01:39 CET 2020</vt:lpwstr>
  </property>
  <property fmtid="{D5CDD505-2E9C-101B-9397-08002B2CF9AE}" pid="9" name="jforVersion">
    <vt:lpwstr>jfor V0.7.2rc1 - see http://www.jfor.org</vt:lpwstr>
  </property>
</Properties>
</file>