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71E35" w:rsidRPr="00A92569" w:rsidRDefault="00971E35" w:rsidP="00971E35">
      <w:pPr>
        <w:jc w:val="center"/>
        <w:rPr>
          <w:rFonts w:ascii="Courier New" w:hAnsi="Courier New"/>
          <w:sz w:val="20"/>
        </w:rPr>
      </w:pPr>
      <w:r>
        <w:rPr>
          <w:rFonts w:ascii="Courier New" w:hAnsi="Courier New"/>
          <w:sz w:val="20"/>
        </w:rPr>
        <w:t>1. ------IND- 2020 0791 F-- FI- ------ 20201221 --- --- PROJET</w:t>
      </w:r>
    </w:p>
    <w:tbl>
      <w:tblPr>
        <w:tblW w:w="0" w:type="auto"/>
        <w:tblInd w:w="114"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121B80" w:rsidRPr="006C397D">
        <w:trPr>
          <w:cantSplit/>
        </w:trPr>
        <w:tc>
          <w:tcPr>
            <w:tcW w:w="3982" w:type="dxa"/>
            <w:gridSpan w:val="3"/>
            <w:shd w:val="clear" w:color="auto" w:fill="auto"/>
          </w:tcPr>
          <w:p w:rsidR="00121B80" w:rsidRPr="006C397D" w:rsidRDefault="00121B80">
            <w:pPr>
              <w:pStyle w:val="SNREPUBLIQUE"/>
              <w:snapToGrid w:val="0"/>
            </w:pPr>
            <w:r>
              <w:t>RANSKAN TASAVALTA</w:t>
            </w:r>
          </w:p>
        </w:tc>
      </w:tr>
      <w:tr w:rsidR="00D85F5D" w:rsidRPr="006C397D" w:rsidTr="00A73D1D">
        <w:trPr>
          <w:cantSplit/>
          <w:trHeight w:hRule="exact" w:val="113"/>
        </w:trPr>
        <w:tc>
          <w:tcPr>
            <w:tcW w:w="1527" w:type="dxa"/>
            <w:shd w:val="clear" w:color="auto" w:fill="auto"/>
          </w:tcPr>
          <w:p w:rsidR="00121B80" w:rsidRPr="006C397D" w:rsidRDefault="00121B80">
            <w:pPr>
              <w:snapToGrid w:val="0"/>
            </w:pPr>
          </w:p>
        </w:tc>
        <w:tc>
          <w:tcPr>
            <w:tcW w:w="968" w:type="dxa"/>
            <w:tcBorders>
              <w:bottom w:val="single" w:sz="4" w:space="0" w:color="auto"/>
            </w:tcBorders>
            <w:shd w:val="clear" w:color="auto" w:fill="auto"/>
          </w:tcPr>
          <w:p w:rsidR="00121B80" w:rsidRPr="006C397D" w:rsidRDefault="00121B80">
            <w:pPr>
              <w:snapToGrid w:val="0"/>
            </w:pPr>
          </w:p>
        </w:tc>
        <w:tc>
          <w:tcPr>
            <w:tcW w:w="1487" w:type="dxa"/>
            <w:shd w:val="clear" w:color="auto" w:fill="auto"/>
          </w:tcPr>
          <w:p w:rsidR="00121B80" w:rsidRPr="006C397D" w:rsidRDefault="00121B80">
            <w:pPr>
              <w:snapToGrid w:val="0"/>
            </w:pPr>
          </w:p>
        </w:tc>
      </w:tr>
      <w:tr w:rsidR="00121B80" w:rsidRPr="006C397D">
        <w:trPr>
          <w:cantSplit/>
        </w:trPr>
        <w:tc>
          <w:tcPr>
            <w:tcW w:w="3982" w:type="dxa"/>
            <w:gridSpan w:val="3"/>
            <w:shd w:val="clear" w:color="auto" w:fill="auto"/>
          </w:tcPr>
          <w:p w:rsidR="00121B80" w:rsidRPr="006C397D" w:rsidRDefault="00121B80">
            <w:pPr>
              <w:pStyle w:val="SNTimbre"/>
            </w:pPr>
            <w:r>
              <w:t xml:space="preserve">Ekologisen siirtymän ministeriö </w:t>
            </w:r>
          </w:p>
        </w:tc>
      </w:tr>
      <w:tr w:rsidR="00121B80" w:rsidRPr="006C397D">
        <w:trPr>
          <w:cantSplit/>
        </w:trPr>
        <w:tc>
          <w:tcPr>
            <w:tcW w:w="3982" w:type="dxa"/>
            <w:gridSpan w:val="3"/>
            <w:shd w:val="clear" w:color="auto" w:fill="auto"/>
          </w:tcPr>
          <w:p w:rsidR="00121B80" w:rsidRPr="006C397D" w:rsidRDefault="00304F7E">
            <w:pPr>
              <w:pStyle w:val="SNTimbre"/>
              <w:jc w:val="left"/>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977900</wp:posOffset>
                      </wp:positionH>
                      <wp:positionV relativeFrom="paragraph">
                        <wp:posOffset>129540</wp:posOffset>
                      </wp:positionV>
                      <wp:extent cx="613410" cy="635"/>
                      <wp:effectExtent l="7620" t="12065" r="7620" b="63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D6C169" id="Connecteur droit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0.2pt" to="125.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" strokeweight=".18mm">
                      <v:stroke joinstyle="miter"/>
                    </v:line>
                  </w:pict>
                </mc:Fallback>
              </mc:AlternateContent>
            </w:r>
          </w:p>
        </w:tc>
      </w:tr>
      <w:tr w:rsidR="00121B80" w:rsidRPr="006C397D">
        <w:trPr>
          <w:cantSplit/>
        </w:trPr>
        <w:tc>
          <w:tcPr>
            <w:tcW w:w="3982" w:type="dxa"/>
            <w:gridSpan w:val="3"/>
            <w:shd w:val="clear" w:color="auto" w:fill="auto"/>
          </w:tcPr>
          <w:p w:rsidR="00121B80" w:rsidRPr="006C397D" w:rsidRDefault="00121B80">
            <w:pPr>
              <w:pStyle w:val="SNTimbre"/>
              <w:spacing w:before="0" w:after="160"/>
            </w:pPr>
            <w:r>
              <w:t>Asuntoasiat</w:t>
            </w:r>
          </w:p>
        </w:tc>
      </w:tr>
      <w:tr w:rsidR="00121B80" w:rsidRPr="006C397D">
        <w:trPr>
          <w:cantSplit/>
        </w:trPr>
        <w:tc>
          <w:tcPr>
            <w:tcW w:w="3982" w:type="dxa"/>
            <w:gridSpan w:val="3"/>
            <w:shd w:val="clear" w:color="auto" w:fill="auto"/>
          </w:tcPr>
          <w:p w:rsidR="00121B80" w:rsidRPr="006C397D" w:rsidRDefault="00121B80">
            <w:pPr>
              <w:pStyle w:val="SNTimbre"/>
              <w:jc w:val="left"/>
              <w:rPr>
                <w:highlight w:val="yellow"/>
              </w:rPr>
            </w:pPr>
          </w:p>
        </w:tc>
      </w:tr>
    </w:tbl>
    <w:p w:rsidR="00121B80" w:rsidRPr="006C397D" w:rsidRDefault="00121B80">
      <w:pPr>
        <w:widowControl w:val="0"/>
        <w:spacing w:after="0" w:line="240" w:lineRule="auto"/>
        <w:jc w:val="center"/>
      </w:pPr>
      <w:r>
        <w:rPr>
          <w:rFonts w:ascii="Times New Roman" w:hAnsi="Times New Roman"/>
          <w:b/>
          <w:bCs/>
          <w:sz w:val="24"/>
          <w:szCs w:val="24"/>
        </w:rPr>
        <w:t>Määräys, annettu [päivämäärä],</w:t>
      </w:r>
    </w:p>
    <w:p w:rsidR="00121B80" w:rsidRPr="006C397D" w:rsidRDefault="00371CC6" w:rsidP="00D125B4">
      <w:pPr>
        <w:widowControl w:val="0"/>
        <w:spacing w:after="0" w:line="240" w:lineRule="auto"/>
        <w:jc w:val="center"/>
      </w:pPr>
      <w:r>
        <w:rPr>
          <w:rFonts w:ascii="Times New Roman" w:hAnsi="Times New Roman"/>
          <w:b/>
          <w:bCs/>
          <w:sz w:val="24"/>
          <w:szCs w:val="24"/>
        </w:rPr>
        <w:t>rakennus- ja asuntolain R. 111-20-5 §:ssä tarkoitetun laskentamenetelmän hyväksymisestä</w:t>
      </w:r>
    </w:p>
    <w:p w:rsidR="00121B80" w:rsidRPr="006C397D" w:rsidRDefault="00121B80">
      <w:pPr>
        <w:pStyle w:val="SNNORCentr"/>
      </w:pPr>
      <w:r>
        <w:t xml:space="preserve">NOR: </w:t>
      </w:r>
    </w:p>
    <w:p w:rsidR="00121B80" w:rsidRPr="006C397D" w:rsidRDefault="00121B80">
      <w:pPr>
        <w:jc w:val="both"/>
        <w:rPr>
          <w:rFonts w:ascii="Times New Roman" w:eastAsia="Arial" w:hAnsi="Times New Roman" w:cs="Times New Roman"/>
          <w:bCs/>
          <w:i/>
          <w:iCs/>
          <w:sz w:val="24"/>
          <w:szCs w:val="24"/>
          <w:u w:val="single"/>
        </w:rPr>
      </w:pPr>
    </w:p>
    <w:p w:rsidR="00121B80" w:rsidRPr="006C397D" w:rsidRDefault="00121B80" w:rsidP="00371CC6">
      <w:pPr>
        <w:jc w:val="both"/>
      </w:pPr>
      <w:r>
        <w:rPr>
          <w:rFonts w:ascii="Times New Roman" w:hAnsi="Times New Roman"/>
          <w:b/>
          <w:bCs/>
          <w:i/>
          <w:iCs/>
          <w:sz w:val="24"/>
          <w:szCs w:val="24"/>
        </w:rPr>
        <w:t>Asianosaiset</w:t>
      </w:r>
      <w:r>
        <w:rPr>
          <w:rFonts w:ascii="Times New Roman" w:hAnsi="Times New Roman"/>
          <w:bCs/>
          <w:i/>
          <w:iCs/>
          <w:sz w:val="24"/>
          <w:szCs w:val="24"/>
        </w:rPr>
        <w:t xml:space="preserve">: </w:t>
      </w:r>
      <w:r>
        <w:rPr>
          <w:rFonts w:ascii="Times New Roman" w:hAnsi="Times New Roman"/>
          <w:i/>
          <w:iCs/>
          <w:sz w:val="24"/>
          <w:szCs w:val="24"/>
        </w:rPr>
        <w:t>Manner-Ranskassa toimivat rakennushankkeen toteuttajat, rakennushankkeen valvojat, rakentajat ja rakennuttajat, arkkitehdit, lämpöominaisuuksia ja ympäristövaikutuksia tutkivat tutkimuslaitokset, rakennusalan ekonomistit, tekniset tarkastajat, rakennusalalla toimivat yritykset, rakennusaineita ja rakentamisessa käytettäviä teknisiä järjestelmiä tuottavat teollisuusyrittäjät ja energiantoimittajat.</w:t>
      </w:r>
    </w:p>
    <w:p w:rsidR="00121B80" w:rsidRPr="006C397D" w:rsidRDefault="00121B80">
      <w:pPr>
        <w:jc w:val="both"/>
      </w:pPr>
      <w:r>
        <w:rPr>
          <w:rFonts w:ascii="Times New Roman" w:hAnsi="Times New Roman"/>
          <w:i/>
          <w:iCs/>
          <w:sz w:val="24"/>
          <w:szCs w:val="24"/>
          <w:u w:val="single"/>
        </w:rPr>
        <w:t>Aihe</w:t>
      </w:r>
      <w:r>
        <w:rPr>
          <w:rFonts w:ascii="Times New Roman" w:hAnsi="Times New Roman"/>
          <w:i/>
          <w:iCs/>
          <w:sz w:val="24"/>
          <w:szCs w:val="24"/>
        </w:rPr>
        <w:t>: Manner-Ranskassa sijaitsevien asuin- ja toimistorakennusten sekä alemman ja ylemmän perusasteen oppilaitosten rakennusten energia- ja ympäristötehokkuutta koskevan laskentamenetelmän vahvistaminen Manner-Ranskassa sijaitsevien asuin- ja toimistorakennusten sekä alemman ja ylemmän perusasteen oppilaitosten rakennusten energia- ja ympäristötehokkuutta koskevista vaatimuksista [</w:t>
      </w:r>
      <w:r w:rsidRPr="00817B99">
        <w:rPr>
          <w:rFonts w:ascii="Times New Roman" w:hAnsi="Times New Roman"/>
          <w:i/>
          <w:iCs/>
          <w:sz w:val="24"/>
          <w:szCs w:val="24"/>
          <w:highlight w:val="yellow"/>
        </w:rPr>
        <w:t>päivämäärä</w:t>
      </w:r>
      <w:r>
        <w:rPr>
          <w:rFonts w:ascii="Times New Roman" w:hAnsi="Times New Roman"/>
          <w:i/>
          <w:iCs/>
          <w:sz w:val="24"/>
          <w:szCs w:val="24"/>
        </w:rPr>
        <w:t>] annetun määräyksen soveltamiseksi</w:t>
      </w:r>
    </w:p>
    <w:p w:rsidR="00371CC6" w:rsidRPr="006C397D" w:rsidRDefault="00121B80">
      <w:pPr>
        <w:spacing w:after="0" w:line="240" w:lineRule="auto"/>
        <w:jc w:val="both"/>
        <w:rPr>
          <w:rFonts w:ascii="Times New Roman" w:eastAsia="Times New Roman" w:hAnsi="Times New Roman" w:cs="Times New Roman"/>
          <w:i/>
          <w:iCs/>
          <w:kern w:val="2"/>
          <w:sz w:val="24"/>
          <w:szCs w:val="24"/>
        </w:rPr>
      </w:pPr>
      <w:r>
        <w:rPr>
          <w:rFonts w:ascii="Times New Roman" w:hAnsi="Times New Roman"/>
          <w:b/>
          <w:bCs/>
          <w:i/>
          <w:iCs/>
          <w:sz w:val="24"/>
          <w:szCs w:val="24"/>
        </w:rPr>
        <w:t>Voimaantulo</w:t>
      </w:r>
      <w:r>
        <w:rPr>
          <w:rFonts w:ascii="Times New Roman" w:hAnsi="Times New Roman"/>
          <w:i/>
          <w:iCs/>
          <w:sz w:val="24"/>
          <w:szCs w:val="24"/>
        </w:rPr>
        <w:t>: Tämä määräys tulee voimaan 1 päivänä heinäkuuta 2021.</w:t>
      </w:r>
    </w:p>
    <w:p w:rsidR="00371CC6" w:rsidRPr="006C397D" w:rsidRDefault="00371CC6">
      <w:pPr>
        <w:spacing w:after="0" w:line="240" w:lineRule="auto"/>
        <w:jc w:val="both"/>
        <w:rPr>
          <w:rFonts w:ascii="Times New Roman" w:eastAsia="Times New Roman" w:hAnsi="Times New Roman" w:cs="Times New Roman"/>
          <w:i/>
          <w:iCs/>
          <w:kern w:val="2"/>
          <w:sz w:val="24"/>
          <w:szCs w:val="24"/>
          <w:lang w:eastAsia="zh-CN"/>
        </w:rPr>
      </w:pPr>
    </w:p>
    <w:p w:rsidR="00371CC6" w:rsidRPr="006C397D" w:rsidRDefault="00121B80" w:rsidP="006C397D">
      <w:pPr>
        <w:keepNext/>
        <w:spacing w:after="0" w:line="240" w:lineRule="auto"/>
        <w:jc w:val="both"/>
        <w:rPr>
          <w:rFonts w:ascii="Times New Roman" w:hAnsi="Times New Roman" w:cs="Times New Roman"/>
          <w:i/>
          <w:iCs/>
          <w:sz w:val="24"/>
          <w:szCs w:val="24"/>
        </w:rPr>
      </w:pPr>
      <w:r>
        <w:rPr>
          <w:rFonts w:ascii="Times New Roman" w:hAnsi="Times New Roman"/>
          <w:i/>
          <w:iCs/>
          <w:sz w:val="24"/>
          <w:szCs w:val="24"/>
          <w:u w:val="single"/>
        </w:rPr>
        <w:t>Huomautus</w:t>
      </w:r>
      <w:r>
        <w:rPr>
          <w:rFonts w:ascii="Times New Roman" w:hAnsi="Times New Roman"/>
          <w:i/>
          <w:iCs/>
          <w:sz w:val="24"/>
          <w:szCs w:val="24"/>
        </w:rPr>
        <w:t>: Määräyksessä vahvistetaan Manner-Ranskassa sijaitsevien asuin- ja toimistorakennusten sekä alemman ja ylemmän perusasteen oppilaitosten rakennusten energia- ja ympäristötehokkuutta koskeva laskentamenetelmä kolmessa liitteessä:</w:t>
      </w:r>
    </w:p>
    <w:p w:rsidR="00371CC6" w:rsidRPr="006C397D" w:rsidRDefault="00371CC6" w:rsidP="00371CC6">
      <w:pPr>
        <w:numPr>
          <w:ilvl w:val="0"/>
          <w:numId w:val="1"/>
        </w:numPr>
        <w:spacing w:after="0" w:line="240" w:lineRule="auto"/>
        <w:jc w:val="both"/>
        <w:rPr>
          <w:rFonts w:ascii="Times New Roman" w:eastAsia="Times New Roman" w:hAnsi="Times New Roman" w:cs="Times New Roman"/>
          <w:i/>
          <w:iCs/>
          <w:kern w:val="2"/>
          <w:sz w:val="24"/>
          <w:szCs w:val="24"/>
        </w:rPr>
      </w:pPr>
      <w:r>
        <w:rPr>
          <w:rFonts w:ascii="Times New Roman" w:hAnsi="Times New Roman"/>
          <w:i/>
          <w:iCs/>
          <w:sz w:val="24"/>
          <w:szCs w:val="24"/>
        </w:rPr>
        <w:t>Liite I: Energia- ja ympäristötehokkuutta koskevaa laskentamenetelmää koskevat yleiset säännöt</w:t>
      </w:r>
    </w:p>
    <w:p w:rsidR="00371CC6" w:rsidRPr="006C397D" w:rsidRDefault="00371CC6" w:rsidP="00371CC6">
      <w:pPr>
        <w:numPr>
          <w:ilvl w:val="0"/>
          <w:numId w:val="1"/>
        </w:numPr>
        <w:spacing w:after="0" w:line="240" w:lineRule="auto"/>
        <w:jc w:val="both"/>
        <w:rPr>
          <w:rFonts w:ascii="Times New Roman" w:eastAsia="Times New Roman" w:hAnsi="Times New Roman" w:cs="Times New Roman"/>
          <w:i/>
          <w:iCs/>
          <w:kern w:val="2"/>
          <w:sz w:val="24"/>
          <w:szCs w:val="24"/>
        </w:rPr>
      </w:pPr>
      <w:r>
        <w:rPr>
          <w:rFonts w:ascii="Times New Roman" w:hAnsi="Times New Roman"/>
          <w:i/>
          <w:iCs/>
          <w:sz w:val="24"/>
          <w:szCs w:val="24"/>
        </w:rPr>
        <w:t>Liite II: Laskentamenetelmä ”Th-BCE 2020”, jossa esitetään yksityiskohtaisesti energiatehokkuutta koskevaa laskentamenetelmää koskevat säännöt yhdessä rakennus- ja asuntolain L.111-9-1-A §:ssä tarkoitetun laskentavälineen kanssa</w:t>
      </w:r>
    </w:p>
    <w:p w:rsidR="00371CC6" w:rsidRPr="006C397D" w:rsidRDefault="00371CC6" w:rsidP="00371CC6">
      <w:pPr>
        <w:numPr>
          <w:ilvl w:val="0"/>
          <w:numId w:val="1"/>
        </w:numPr>
        <w:spacing w:after="0" w:line="240" w:lineRule="auto"/>
        <w:jc w:val="both"/>
        <w:rPr>
          <w:rFonts w:ascii="Times New Roman" w:eastAsia="Times New Roman" w:hAnsi="Times New Roman" w:cs="Times New Roman"/>
          <w:i/>
          <w:iCs/>
          <w:kern w:val="2"/>
          <w:sz w:val="24"/>
          <w:szCs w:val="24"/>
        </w:rPr>
      </w:pPr>
      <w:r>
        <w:rPr>
          <w:rFonts w:ascii="Times New Roman" w:hAnsi="Times New Roman"/>
          <w:i/>
          <w:iCs/>
          <w:sz w:val="24"/>
          <w:szCs w:val="24"/>
        </w:rPr>
        <w:t>Liite III: Säännöt ”Th-Bat 2020”, joiden avulla voidaan määrittää rakennuksen energiatehokkuutta koskevan laskentamenetelmän syöttötiedot lainmukaista laskentamenetelmää varten.</w:t>
      </w:r>
    </w:p>
    <w:p w:rsidR="00121B80" w:rsidRPr="006C397D" w:rsidRDefault="00121B80" w:rsidP="00371CC6">
      <w:pPr>
        <w:spacing w:after="0" w:line="240" w:lineRule="auto"/>
        <w:jc w:val="both"/>
      </w:pPr>
    </w:p>
    <w:p w:rsidR="00121B80" w:rsidRPr="006C397D" w:rsidRDefault="00121B80">
      <w:pPr>
        <w:jc w:val="both"/>
      </w:pPr>
      <w:r>
        <w:rPr>
          <w:rFonts w:ascii="Times New Roman" w:hAnsi="Times New Roman"/>
          <w:i/>
          <w:iCs/>
          <w:sz w:val="24"/>
          <w:szCs w:val="24"/>
          <w:u w:val="single"/>
        </w:rPr>
        <w:t>Viitteet:</w:t>
      </w:r>
      <w:r>
        <w:rPr>
          <w:rFonts w:ascii="Times New Roman" w:hAnsi="Times New Roman"/>
          <w:i/>
          <w:iCs/>
          <w:sz w:val="24"/>
          <w:szCs w:val="24"/>
        </w:rPr>
        <w:t xml:space="preserve"> tällä määräyksellä </w:t>
      </w:r>
      <w:r w:rsidRPr="00817B99">
        <w:rPr>
          <w:rFonts w:ascii="Times New Roman" w:hAnsi="Times New Roman"/>
          <w:i/>
          <w:iCs/>
          <w:sz w:val="24"/>
          <w:szCs w:val="24"/>
          <w:highlight w:val="yellow"/>
        </w:rPr>
        <w:t>muutettuun</w:t>
      </w:r>
      <w:r>
        <w:rPr>
          <w:rFonts w:ascii="Times New Roman" w:hAnsi="Times New Roman"/>
          <w:i/>
          <w:iCs/>
          <w:sz w:val="24"/>
          <w:szCs w:val="24"/>
        </w:rPr>
        <w:t xml:space="preserve"> tekstiin voi tutustua Légifrance-sivustolla (</w:t>
      </w:r>
      <w:hyperlink r:id="rId7" w:history="1">
        <w:r>
          <w:rPr>
            <w:rStyle w:val="Hyperlink"/>
            <w:rFonts w:ascii="Times New Roman" w:hAnsi="Times New Roman"/>
            <w:i/>
            <w:iCs/>
            <w:sz w:val="24"/>
            <w:szCs w:val="24"/>
          </w:rPr>
          <w:t>http://legifrance.gouv.fr</w:t>
        </w:r>
      </w:hyperlink>
      <w:r>
        <w:rPr>
          <w:rFonts w:ascii="Times New Roman" w:hAnsi="Times New Roman"/>
          <w:i/>
          <w:iCs/>
          <w:sz w:val="24"/>
          <w:szCs w:val="24"/>
        </w:rPr>
        <w:t>).</w:t>
      </w:r>
    </w:p>
    <w:p w:rsidR="00121B80" w:rsidRPr="006C397D" w:rsidRDefault="00121B80">
      <w:pPr>
        <w:rPr>
          <w:rFonts w:ascii="Times New Roman" w:eastAsia="Times New Roman" w:hAnsi="Times New Roman" w:cs="Times New Roman"/>
          <w:kern w:val="2"/>
          <w:sz w:val="24"/>
          <w:szCs w:val="24"/>
        </w:rPr>
      </w:pPr>
      <w:bookmarkStart w:id="0" w:name="_GoBack"/>
      <w:bookmarkEnd w:id="0"/>
    </w:p>
    <w:p w:rsidR="00371CC6" w:rsidRPr="006C397D" w:rsidRDefault="00121B80" w:rsidP="00371CC6">
      <w:pPr>
        <w:pStyle w:val="SNAutorit"/>
        <w:pageBreakBefore/>
        <w:suppressAutoHyphens w:val="0"/>
        <w:ind w:firstLine="0"/>
        <w:jc w:val="both"/>
        <w:rPr>
          <w:b w:val="0"/>
        </w:rPr>
      </w:pPr>
      <w:r>
        <w:rPr>
          <w:b w:val="0"/>
          <w:highlight w:val="yellow"/>
        </w:rPr>
        <w:lastRenderedPageBreak/>
        <w:t>Ekologisen siirtymän ministeri ja asuntoasioista vastaava apulaisministeri ekologisen siirtymän ministeriössä</w:t>
      </w:r>
    </w:p>
    <w:p w:rsidR="000A64C4" w:rsidRPr="006C397D" w:rsidRDefault="00972FD1" w:rsidP="00371CC6">
      <w:pPr>
        <w:jc w:val="both"/>
        <w:rPr>
          <w:rFonts w:ascii="Times New Roman" w:hAnsi="Times New Roman" w:cs="Times New Roman"/>
          <w:sz w:val="24"/>
          <w:szCs w:val="24"/>
        </w:rPr>
      </w:pPr>
      <w:r>
        <w:rPr>
          <w:rFonts w:ascii="Times New Roman" w:hAnsi="Times New Roman"/>
          <w:sz w:val="24"/>
          <w:szCs w:val="24"/>
        </w:rPr>
        <w:t>ottavat huomioon teknisiä määräyksiä ja tietoyhteiskunnan palveluja koskevia määräyksiä koskevien tietojen toimittamisessa noudatettavasta menettelystä 9 päivänä syyskuuta 2015 annetun Euroopan parlamentin ja neuvoston direktiivin (EU) 2015/1535 (kodifikaatio) ja erityisesti ilmoituksen nro </w:t>
      </w:r>
      <w:r w:rsidRPr="00817B99">
        <w:rPr>
          <w:rFonts w:ascii="Times New Roman" w:hAnsi="Times New Roman"/>
          <w:sz w:val="24"/>
          <w:szCs w:val="24"/>
          <w:highlight w:val="yellow"/>
        </w:rPr>
        <w:t>[vuosi]/XXX/F</w:t>
      </w:r>
      <w:r>
        <w:rPr>
          <w:rFonts w:ascii="Times New Roman" w:hAnsi="Times New Roman"/>
          <w:sz w:val="24"/>
          <w:szCs w:val="24"/>
        </w:rPr>
        <w:t>,</w:t>
      </w:r>
    </w:p>
    <w:p w:rsidR="00371CC6" w:rsidRPr="006C397D" w:rsidRDefault="00371CC6" w:rsidP="00371CC6">
      <w:pPr>
        <w:jc w:val="both"/>
        <w:rPr>
          <w:rFonts w:ascii="Times New Roman" w:hAnsi="Times New Roman" w:cs="Times New Roman"/>
          <w:sz w:val="24"/>
          <w:szCs w:val="24"/>
        </w:rPr>
      </w:pPr>
      <w:r>
        <w:rPr>
          <w:rFonts w:ascii="Times New Roman" w:hAnsi="Times New Roman"/>
          <w:sz w:val="24"/>
          <w:szCs w:val="24"/>
        </w:rPr>
        <w:t>ottavat huomioon rakennusten energiatehokkuudesta 19 päivänä toukokuuta 2010 annetun Euroopan parlamentin ja neuvoston direktiivin 2010/31/EU, sellaisena kuin se on muutettuna 30 päivänä toukokuuta 2018 annetulla Euroopan parlamentin ja neuvoston direktiivillä (EU) 2018/844, ja erityisesti sen 3, 4 ja 6 artiklan,</w:t>
      </w:r>
    </w:p>
    <w:p w:rsidR="00837B47" w:rsidRPr="006C397D" w:rsidRDefault="00837B47" w:rsidP="00371CC6">
      <w:pPr>
        <w:jc w:val="both"/>
        <w:rPr>
          <w:rFonts w:ascii="Times New Roman" w:hAnsi="Times New Roman" w:cs="Times New Roman"/>
          <w:sz w:val="24"/>
          <w:szCs w:val="24"/>
        </w:rPr>
      </w:pPr>
      <w:r>
        <w:rPr>
          <w:rFonts w:ascii="Times New Roman" w:hAnsi="Times New Roman"/>
          <w:sz w:val="24"/>
          <w:szCs w:val="24"/>
        </w:rPr>
        <w:t>ottavat huomioon rakennus- ja asuntolain ja erityisesti sen R.111-20-5 §:n,</w:t>
      </w:r>
    </w:p>
    <w:p w:rsidR="00371CC6" w:rsidRPr="006C397D" w:rsidRDefault="00371CC6" w:rsidP="00371CC6">
      <w:pPr>
        <w:jc w:val="both"/>
        <w:rPr>
          <w:rFonts w:ascii="Times New Roman" w:hAnsi="Times New Roman" w:cs="Times New Roman"/>
          <w:sz w:val="24"/>
          <w:szCs w:val="24"/>
        </w:rPr>
      </w:pPr>
      <w:r>
        <w:rPr>
          <w:rFonts w:ascii="Times New Roman" w:hAnsi="Times New Roman"/>
          <w:sz w:val="24"/>
          <w:szCs w:val="24"/>
        </w:rPr>
        <w:t xml:space="preserve">ottavat huomioon Manner-Ranskassa sijaitsevien asuin- ja toimistorakennusten sekä alemman ja ylemmän perusasteen oppilaitosten rakennusten energia- ja ympäristötehokkuutta koskevista vaatimuksista </w:t>
      </w:r>
      <w:r w:rsidRPr="00817B99">
        <w:rPr>
          <w:rFonts w:ascii="Times New Roman" w:hAnsi="Times New Roman"/>
          <w:sz w:val="24"/>
          <w:szCs w:val="24"/>
          <w:highlight w:val="yellow"/>
        </w:rPr>
        <w:t>[päivämäärä]</w:t>
      </w:r>
      <w:r>
        <w:rPr>
          <w:rFonts w:ascii="Times New Roman" w:hAnsi="Times New Roman"/>
          <w:sz w:val="24"/>
          <w:szCs w:val="24"/>
        </w:rPr>
        <w:t xml:space="preserve"> annetun määräyksen,</w:t>
      </w:r>
    </w:p>
    <w:p w:rsidR="00371CC6" w:rsidRPr="006C397D" w:rsidRDefault="00371CC6" w:rsidP="00371CC6">
      <w:pPr>
        <w:jc w:val="both"/>
        <w:rPr>
          <w:rFonts w:ascii="Times New Roman" w:hAnsi="Times New Roman" w:cs="Times New Roman"/>
          <w:sz w:val="24"/>
          <w:szCs w:val="24"/>
        </w:rPr>
      </w:pPr>
      <w:r>
        <w:rPr>
          <w:rFonts w:ascii="Times New Roman" w:hAnsi="Times New Roman"/>
          <w:sz w:val="24"/>
          <w:szCs w:val="24"/>
        </w:rPr>
        <w:t xml:space="preserve">ottavat huomioon </w:t>
      </w:r>
      <w:r>
        <w:rPr>
          <w:rFonts w:ascii="Times New Roman" w:hAnsi="Times New Roman"/>
          <w:sz w:val="24"/>
          <w:szCs w:val="24"/>
          <w:highlight w:val="yellow"/>
        </w:rPr>
        <w:t>[päivämäärä]</w:t>
      </w:r>
      <w:r>
        <w:rPr>
          <w:rFonts w:ascii="Times New Roman" w:hAnsi="Times New Roman"/>
          <w:sz w:val="24"/>
          <w:szCs w:val="24"/>
        </w:rPr>
        <w:t xml:space="preserve"> – </w:t>
      </w:r>
      <w:r>
        <w:rPr>
          <w:rFonts w:ascii="Times New Roman" w:hAnsi="Times New Roman"/>
          <w:sz w:val="24"/>
          <w:szCs w:val="24"/>
          <w:highlight w:val="yellow"/>
        </w:rPr>
        <w:t>[päivämäärä]</w:t>
      </w:r>
      <w:r>
        <w:rPr>
          <w:rFonts w:ascii="Times New Roman" w:hAnsi="Times New Roman"/>
          <w:sz w:val="24"/>
          <w:szCs w:val="24"/>
        </w:rPr>
        <w:t xml:space="preserve"> ympäristölain L. 120-1 §:n mukaisesti järjestetyssä julkisessa kuulemisessa esitetyt havainnot,</w:t>
      </w:r>
    </w:p>
    <w:p w:rsidR="00371CC6" w:rsidRPr="006C397D" w:rsidRDefault="00371CC6" w:rsidP="00371CC6">
      <w:pPr>
        <w:jc w:val="both"/>
        <w:rPr>
          <w:rFonts w:ascii="Times New Roman" w:hAnsi="Times New Roman" w:cs="Times New Roman"/>
          <w:sz w:val="24"/>
          <w:szCs w:val="24"/>
        </w:rPr>
      </w:pPr>
      <w:r>
        <w:rPr>
          <w:rFonts w:ascii="Times New Roman" w:hAnsi="Times New Roman"/>
          <w:sz w:val="24"/>
          <w:szCs w:val="24"/>
        </w:rPr>
        <w:t xml:space="preserve">ottavat huomioon standardien arvioinnista vastaavan kansallisen neuvoston </w:t>
      </w:r>
      <w:r w:rsidRPr="00817B99">
        <w:rPr>
          <w:rFonts w:ascii="Times New Roman" w:hAnsi="Times New Roman"/>
          <w:sz w:val="24"/>
          <w:szCs w:val="24"/>
          <w:highlight w:val="yellow"/>
        </w:rPr>
        <w:t>[päivämäärä]</w:t>
      </w:r>
      <w:r>
        <w:rPr>
          <w:rFonts w:ascii="Times New Roman" w:hAnsi="Times New Roman"/>
          <w:sz w:val="24"/>
          <w:szCs w:val="24"/>
        </w:rPr>
        <w:t xml:space="preserve"> antaman lausunnon,</w:t>
      </w:r>
    </w:p>
    <w:p w:rsidR="00371CC6" w:rsidRPr="006C397D" w:rsidRDefault="00371CC6" w:rsidP="00371CC6">
      <w:pPr>
        <w:jc w:val="both"/>
        <w:rPr>
          <w:rFonts w:ascii="Times New Roman" w:hAnsi="Times New Roman" w:cs="Times New Roman"/>
          <w:sz w:val="24"/>
          <w:szCs w:val="24"/>
        </w:rPr>
      </w:pPr>
      <w:r>
        <w:rPr>
          <w:rFonts w:ascii="Times New Roman" w:hAnsi="Times New Roman"/>
          <w:sz w:val="24"/>
          <w:szCs w:val="24"/>
        </w:rPr>
        <w:t xml:space="preserve">ottavat huomioon energia-alan ylimmän neuvoston </w:t>
      </w:r>
      <w:r w:rsidRPr="00817B99">
        <w:rPr>
          <w:rFonts w:ascii="Times New Roman" w:hAnsi="Times New Roman"/>
          <w:sz w:val="24"/>
          <w:szCs w:val="24"/>
          <w:highlight w:val="yellow"/>
        </w:rPr>
        <w:t>[päivämäärä]</w:t>
      </w:r>
      <w:r>
        <w:rPr>
          <w:rFonts w:ascii="Times New Roman" w:hAnsi="Times New Roman"/>
          <w:sz w:val="24"/>
          <w:szCs w:val="24"/>
        </w:rPr>
        <w:t xml:space="preserve"> antaman lausunnon,</w:t>
      </w:r>
    </w:p>
    <w:p w:rsidR="00371CC6" w:rsidRPr="006C397D" w:rsidRDefault="00371CC6" w:rsidP="00371CC6">
      <w:pPr>
        <w:jc w:val="both"/>
        <w:rPr>
          <w:rFonts w:ascii="Times New Roman" w:hAnsi="Times New Roman" w:cs="Times New Roman"/>
          <w:sz w:val="24"/>
          <w:szCs w:val="24"/>
        </w:rPr>
      </w:pPr>
      <w:r>
        <w:rPr>
          <w:rFonts w:ascii="Times New Roman" w:hAnsi="Times New Roman"/>
          <w:sz w:val="24"/>
          <w:szCs w:val="24"/>
        </w:rPr>
        <w:t xml:space="preserve">ottaa huomioon rakennusalasta ja energiatehokkuudesta vastaavan ylimmän neuvoston </w:t>
      </w:r>
      <w:r w:rsidRPr="00817B99">
        <w:rPr>
          <w:rFonts w:ascii="Times New Roman" w:hAnsi="Times New Roman"/>
          <w:sz w:val="24"/>
          <w:szCs w:val="24"/>
          <w:highlight w:val="yellow"/>
        </w:rPr>
        <w:t>[päivämäärä]</w:t>
      </w:r>
      <w:r>
        <w:rPr>
          <w:rFonts w:ascii="Times New Roman" w:hAnsi="Times New Roman"/>
          <w:sz w:val="24"/>
          <w:szCs w:val="24"/>
        </w:rPr>
        <w:t xml:space="preserve"> antaman lausunnon,</w:t>
      </w:r>
    </w:p>
    <w:p w:rsidR="00371CC6" w:rsidRPr="006C397D" w:rsidRDefault="00371CC6" w:rsidP="00371CC6">
      <w:pPr>
        <w:jc w:val="both"/>
        <w:rPr>
          <w:rFonts w:ascii="Times New Roman" w:hAnsi="Times New Roman" w:cs="Times New Roman"/>
          <w:sz w:val="24"/>
          <w:szCs w:val="24"/>
        </w:rPr>
      </w:pPr>
      <w:r>
        <w:rPr>
          <w:rFonts w:ascii="Times New Roman" w:hAnsi="Times New Roman"/>
          <w:sz w:val="24"/>
          <w:szCs w:val="24"/>
        </w:rPr>
        <w:t xml:space="preserve">ottavat huomioon Guyanan parlamentin </w:t>
      </w:r>
      <w:r w:rsidRPr="00817B99">
        <w:rPr>
          <w:rFonts w:ascii="Times New Roman" w:hAnsi="Times New Roman"/>
          <w:sz w:val="24"/>
          <w:szCs w:val="24"/>
          <w:highlight w:val="yellow"/>
        </w:rPr>
        <w:t>[päivämäärä]</w:t>
      </w:r>
      <w:r>
        <w:rPr>
          <w:rFonts w:ascii="Times New Roman" w:hAnsi="Times New Roman"/>
          <w:sz w:val="24"/>
          <w:szCs w:val="24"/>
        </w:rPr>
        <w:t xml:space="preserve"> antaman lausuntopyynnön,</w:t>
      </w:r>
    </w:p>
    <w:p w:rsidR="00371CC6" w:rsidRPr="006C397D" w:rsidRDefault="00371CC6" w:rsidP="00371CC6">
      <w:pPr>
        <w:jc w:val="both"/>
        <w:rPr>
          <w:rFonts w:ascii="Times New Roman" w:hAnsi="Times New Roman" w:cs="Times New Roman"/>
          <w:sz w:val="24"/>
          <w:szCs w:val="24"/>
        </w:rPr>
      </w:pPr>
      <w:r>
        <w:rPr>
          <w:rFonts w:ascii="Times New Roman" w:hAnsi="Times New Roman"/>
          <w:sz w:val="24"/>
          <w:szCs w:val="24"/>
        </w:rPr>
        <w:t xml:space="preserve">ottavat huomioon Martiniquen parlamentin </w:t>
      </w:r>
      <w:r w:rsidRPr="00817B99">
        <w:rPr>
          <w:rFonts w:ascii="Times New Roman" w:hAnsi="Times New Roman"/>
          <w:sz w:val="24"/>
          <w:szCs w:val="24"/>
          <w:highlight w:val="yellow"/>
        </w:rPr>
        <w:t>[päivämäärä]</w:t>
      </w:r>
      <w:r w:rsidRPr="00817B99">
        <w:rPr>
          <w:rFonts w:ascii="Times New Roman" w:hAnsi="Times New Roman"/>
          <w:sz w:val="24"/>
          <w:szCs w:val="24"/>
        </w:rPr>
        <w:t xml:space="preserve"> </w:t>
      </w:r>
      <w:r>
        <w:rPr>
          <w:rFonts w:ascii="Times New Roman" w:hAnsi="Times New Roman"/>
          <w:sz w:val="24"/>
          <w:szCs w:val="24"/>
        </w:rPr>
        <w:t>antaman lausuntopyynnön,</w:t>
      </w:r>
    </w:p>
    <w:p w:rsidR="00371CC6" w:rsidRPr="006C397D" w:rsidRDefault="00371CC6" w:rsidP="00371CC6">
      <w:pPr>
        <w:jc w:val="both"/>
        <w:rPr>
          <w:rFonts w:ascii="Times New Roman" w:hAnsi="Times New Roman" w:cs="Times New Roman"/>
          <w:sz w:val="24"/>
          <w:szCs w:val="24"/>
        </w:rPr>
      </w:pPr>
      <w:r>
        <w:rPr>
          <w:rFonts w:ascii="Times New Roman" w:hAnsi="Times New Roman"/>
          <w:sz w:val="24"/>
          <w:szCs w:val="24"/>
        </w:rPr>
        <w:t xml:space="preserve">ottavat huomioon Guadeloupen departementin valtuuston </w:t>
      </w:r>
      <w:r w:rsidRPr="00817B99">
        <w:rPr>
          <w:rFonts w:ascii="Times New Roman" w:hAnsi="Times New Roman"/>
          <w:sz w:val="24"/>
          <w:szCs w:val="24"/>
          <w:highlight w:val="yellow"/>
        </w:rPr>
        <w:t>[päivämäärä]</w:t>
      </w:r>
      <w:r>
        <w:rPr>
          <w:rFonts w:ascii="Times New Roman" w:hAnsi="Times New Roman"/>
          <w:sz w:val="24"/>
          <w:szCs w:val="24"/>
        </w:rPr>
        <w:t xml:space="preserve"> antaman lausuntopyynnön,</w:t>
      </w:r>
    </w:p>
    <w:p w:rsidR="00371CC6" w:rsidRPr="006C397D" w:rsidRDefault="00371CC6" w:rsidP="00371CC6">
      <w:pPr>
        <w:jc w:val="both"/>
        <w:rPr>
          <w:rFonts w:ascii="Times New Roman" w:hAnsi="Times New Roman" w:cs="Times New Roman"/>
          <w:sz w:val="24"/>
          <w:szCs w:val="24"/>
        </w:rPr>
      </w:pPr>
      <w:r>
        <w:rPr>
          <w:rFonts w:ascii="Times New Roman" w:hAnsi="Times New Roman"/>
          <w:sz w:val="24"/>
          <w:szCs w:val="24"/>
        </w:rPr>
        <w:t xml:space="preserve">ottavat huomioon Réunionin departementin valtuuston </w:t>
      </w:r>
      <w:r w:rsidRPr="00817B99">
        <w:rPr>
          <w:rFonts w:ascii="Times New Roman" w:hAnsi="Times New Roman"/>
          <w:sz w:val="24"/>
          <w:szCs w:val="24"/>
          <w:highlight w:val="yellow"/>
        </w:rPr>
        <w:t>[päivämäärä]</w:t>
      </w:r>
      <w:r>
        <w:rPr>
          <w:rFonts w:ascii="Times New Roman" w:hAnsi="Times New Roman"/>
          <w:sz w:val="24"/>
          <w:szCs w:val="24"/>
        </w:rPr>
        <w:t xml:space="preserve"> antaman lausuntopyynnön,</w:t>
      </w:r>
    </w:p>
    <w:p w:rsidR="00371CC6" w:rsidRPr="006C397D" w:rsidRDefault="00371CC6" w:rsidP="00371CC6">
      <w:pPr>
        <w:jc w:val="both"/>
        <w:rPr>
          <w:rFonts w:ascii="Times New Roman" w:hAnsi="Times New Roman" w:cs="Times New Roman"/>
          <w:sz w:val="24"/>
          <w:szCs w:val="24"/>
        </w:rPr>
      </w:pPr>
      <w:r>
        <w:rPr>
          <w:rFonts w:ascii="Times New Roman" w:hAnsi="Times New Roman"/>
          <w:sz w:val="24"/>
          <w:szCs w:val="24"/>
        </w:rPr>
        <w:t xml:space="preserve">ottavat huomioon Guadeloupen aluevaltuuston </w:t>
      </w:r>
      <w:r w:rsidRPr="00817B99">
        <w:rPr>
          <w:rFonts w:ascii="Times New Roman" w:hAnsi="Times New Roman"/>
          <w:sz w:val="24"/>
          <w:szCs w:val="24"/>
          <w:highlight w:val="yellow"/>
        </w:rPr>
        <w:t>[päivämäärä]</w:t>
      </w:r>
      <w:r>
        <w:rPr>
          <w:rFonts w:ascii="Times New Roman" w:hAnsi="Times New Roman"/>
          <w:sz w:val="24"/>
          <w:szCs w:val="24"/>
        </w:rPr>
        <w:t xml:space="preserve"> antaman lausuntopyynnön,</w:t>
      </w:r>
    </w:p>
    <w:p w:rsidR="00371CC6" w:rsidRPr="006C397D" w:rsidRDefault="00371CC6" w:rsidP="00371CC6">
      <w:pPr>
        <w:jc w:val="both"/>
        <w:rPr>
          <w:rFonts w:ascii="Times New Roman" w:hAnsi="Times New Roman" w:cs="Times New Roman"/>
          <w:sz w:val="24"/>
          <w:szCs w:val="24"/>
        </w:rPr>
      </w:pPr>
      <w:r>
        <w:rPr>
          <w:rFonts w:ascii="Times New Roman" w:hAnsi="Times New Roman"/>
          <w:sz w:val="24"/>
          <w:szCs w:val="24"/>
        </w:rPr>
        <w:t xml:space="preserve">ottavat huomioon Réunionin aluevaltuuston </w:t>
      </w:r>
      <w:r w:rsidRPr="00817B99">
        <w:rPr>
          <w:rFonts w:ascii="Times New Roman" w:hAnsi="Times New Roman"/>
          <w:sz w:val="24"/>
          <w:szCs w:val="24"/>
          <w:highlight w:val="yellow"/>
        </w:rPr>
        <w:t>[päivämäärä]</w:t>
      </w:r>
      <w:r>
        <w:rPr>
          <w:rFonts w:ascii="Times New Roman" w:hAnsi="Times New Roman"/>
          <w:sz w:val="24"/>
          <w:szCs w:val="24"/>
        </w:rPr>
        <w:t xml:space="preserve"> antaman lausuntopyynnön,</w:t>
      </w:r>
    </w:p>
    <w:p w:rsidR="00121B80" w:rsidRPr="006C397D" w:rsidRDefault="00371CC6" w:rsidP="00371CC6">
      <w:pPr>
        <w:jc w:val="both"/>
        <w:rPr>
          <w:rFonts w:ascii="Times New Roman" w:hAnsi="Times New Roman" w:cs="Times New Roman"/>
          <w:sz w:val="24"/>
          <w:szCs w:val="24"/>
        </w:rPr>
      </w:pPr>
      <w:r>
        <w:rPr>
          <w:rFonts w:ascii="Times New Roman" w:hAnsi="Times New Roman"/>
          <w:sz w:val="24"/>
          <w:szCs w:val="24"/>
        </w:rPr>
        <w:t xml:space="preserve">ottavat huomioon Mayotten departementin valtuuston </w:t>
      </w:r>
      <w:r w:rsidRPr="00817B99">
        <w:rPr>
          <w:rFonts w:ascii="Times New Roman" w:hAnsi="Times New Roman"/>
          <w:sz w:val="24"/>
          <w:szCs w:val="24"/>
          <w:highlight w:val="yellow"/>
        </w:rPr>
        <w:t>[päivämäärä]</w:t>
      </w:r>
      <w:r>
        <w:rPr>
          <w:rFonts w:ascii="Times New Roman" w:hAnsi="Times New Roman"/>
          <w:sz w:val="24"/>
          <w:szCs w:val="24"/>
        </w:rPr>
        <w:t xml:space="preserve"> antaman lausuntopyynnön ja</w:t>
      </w:r>
    </w:p>
    <w:p w:rsidR="00371CC6" w:rsidRPr="006C397D" w:rsidRDefault="00371CC6" w:rsidP="00371CC6">
      <w:pPr>
        <w:jc w:val="both"/>
        <w:rPr>
          <w:rFonts w:ascii="Times New Roman" w:hAnsi="Times New Roman" w:cs="Times New Roman"/>
          <w:sz w:val="24"/>
          <w:szCs w:val="24"/>
        </w:rPr>
      </w:pPr>
    </w:p>
    <w:p w:rsidR="00121B80" w:rsidRPr="006C397D" w:rsidRDefault="00121B80">
      <w:pPr>
        <w:widowControl w:val="0"/>
        <w:spacing w:after="0" w:line="240" w:lineRule="auto"/>
        <w:rPr>
          <w:rFonts w:ascii="Times New Roman" w:hAnsi="Times New Roman" w:cs="Times New Roman"/>
          <w:sz w:val="24"/>
          <w:szCs w:val="24"/>
        </w:rPr>
      </w:pPr>
    </w:p>
    <w:p w:rsidR="00121B80" w:rsidRPr="006C397D" w:rsidRDefault="00121B80" w:rsidP="006C397D">
      <w:pPr>
        <w:keepNext/>
        <w:widowControl w:val="0"/>
        <w:spacing w:after="0" w:line="240" w:lineRule="auto"/>
        <w:jc w:val="center"/>
      </w:pPr>
      <w:r>
        <w:rPr>
          <w:rFonts w:ascii="Times New Roman" w:hAnsi="Times New Roman"/>
          <w:b/>
          <w:sz w:val="24"/>
          <w:szCs w:val="24"/>
        </w:rPr>
        <w:t>määräävät seuraavaa:</w:t>
      </w:r>
    </w:p>
    <w:p w:rsidR="00121B80" w:rsidRPr="006C397D" w:rsidRDefault="00121B80" w:rsidP="006C397D">
      <w:pPr>
        <w:keepNext/>
        <w:widowControl w:val="0"/>
        <w:spacing w:after="0" w:line="240" w:lineRule="auto"/>
      </w:pPr>
      <w:r>
        <w:rPr>
          <w:rFonts w:ascii="Times New Roman" w:hAnsi="Times New Roman"/>
          <w:sz w:val="24"/>
          <w:szCs w:val="24"/>
        </w:rPr>
        <w:t> </w:t>
      </w:r>
    </w:p>
    <w:p w:rsidR="00121B80" w:rsidRPr="006C397D" w:rsidRDefault="00121B80" w:rsidP="006C397D">
      <w:pPr>
        <w:keepNext/>
        <w:widowControl w:val="0"/>
        <w:tabs>
          <w:tab w:val="left" w:pos="3030"/>
        </w:tabs>
        <w:spacing w:after="0" w:line="240" w:lineRule="auto"/>
      </w:pPr>
      <w:r>
        <w:rPr>
          <w:rFonts w:ascii="Times New Roman" w:hAnsi="Times New Roman"/>
          <w:sz w:val="24"/>
          <w:szCs w:val="24"/>
        </w:rPr>
        <w:t> </w:t>
      </w:r>
    </w:p>
    <w:p w:rsidR="00121B80" w:rsidRPr="006C397D" w:rsidRDefault="00121B80" w:rsidP="006C397D">
      <w:pPr>
        <w:pStyle w:val="SNArticle"/>
        <w:keepNext/>
        <w:rPr>
          <w:rFonts w:ascii="Times New Roman" w:hAnsi="Times New Roman" w:cs="Times New Roman"/>
        </w:rPr>
      </w:pPr>
      <w:r>
        <w:rPr>
          <w:rFonts w:ascii="Times New Roman" w:hAnsi="Times New Roman"/>
        </w:rPr>
        <w:t>1 §</w:t>
      </w:r>
    </w:p>
    <w:p w:rsidR="00121B80" w:rsidRPr="006C397D" w:rsidRDefault="00371CC6">
      <w:pPr>
        <w:widowControl w:val="0"/>
        <w:spacing w:after="0" w:line="240" w:lineRule="auto"/>
        <w:rPr>
          <w:rFonts w:ascii="Times New Roman" w:hAnsi="Times New Roman" w:cs="Times New Roman"/>
          <w:bCs/>
          <w:sz w:val="24"/>
          <w:szCs w:val="24"/>
        </w:rPr>
      </w:pPr>
      <w:r>
        <w:rPr>
          <w:rFonts w:ascii="Times New Roman" w:hAnsi="Times New Roman"/>
          <w:bCs/>
          <w:sz w:val="24"/>
          <w:szCs w:val="24"/>
        </w:rPr>
        <w:t>Hyväksytään rakennus- ja asuntolain R.111-20-5 §:ssä tarkoitettu laskentamenetelmä, joka on tämän määräyksen liitteenä.</w:t>
      </w:r>
    </w:p>
    <w:p w:rsidR="001776C9" w:rsidRPr="006C397D" w:rsidRDefault="001776C9">
      <w:pPr>
        <w:widowControl w:val="0"/>
        <w:spacing w:after="0" w:line="240" w:lineRule="auto"/>
        <w:rPr>
          <w:rFonts w:ascii="Times New Roman" w:hAnsi="Times New Roman" w:cs="Times New Roman"/>
          <w:bCs/>
          <w:sz w:val="24"/>
          <w:szCs w:val="24"/>
        </w:rPr>
      </w:pPr>
    </w:p>
    <w:p w:rsidR="006C397D" w:rsidRPr="006C397D" w:rsidRDefault="006C397D">
      <w:pPr>
        <w:widowControl w:val="0"/>
        <w:spacing w:after="0" w:line="240" w:lineRule="auto"/>
        <w:rPr>
          <w:rFonts w:ascii="Times New Roman" w:hAnsi="Times New Roman" w:cs="Times New Roman"/>
          <w:bCs/>
          <w:sz w:val="24"/>
          <w:szCs w:val="24"/>
        </w:rPr>
      </w:pPr>
    </w:p>
    <w:p w:rsidR="00121B80" w:rsidRPr="006C397D" w:rsidRDefault="00121B80" w:rsidP="006C397D">
      <w:pPr>
        <w:keepNext/>
        <w:widowControl w:val="0"/>
        <w:spacing w:after="0" w:line="240" w:lineRule="auto"/>
        <w:jc w:val="center"/>
      </w:pPr>
      <w:r>
        <w:rPr>
          <w:rFonts w:ascii="Times New Roman" w:hAnsi="Times New Roman"/>
          <w:b/>
          <w:bCs/>
          <w:sz w:val="24"/>
          <w:szCs w:val="24"/>
        </w:rPr>
        <w:lastRenderedPageBreak/>
        <w:t>2 §</w:t>
      </w:r>
    </w:p>
    <w:p w:rsidR="00121B80" w:rsidRPr="006C397D" w:rsidRDefault="00121B80" w:rsidP="006C397D">
      <w:pPr>
        <w:keepNext/>
        <w:widowControl w:val="0"/>
        <w:spacing w:after="0" w:line="240" w:lineRule="auto"/>
        <w:jc w:val="center"/>
        <w:rPr>
          <w:rFonts w:ascii="Times New Roman" w:hAnsi="Times New Roman" w:cs="Times New Roman"/>
          <w:sz w:val="24"/>
          <w:szCs w:val="24"/>
        </w:rPr>
      </w:pPr>
    </w:p>
    <w:p w:rsidR="00121B80" w:rsidRPr="006C397D" w:rsidRDefault="00371CC6" w:rsidP="006C397D">
      <w:pPr>
        <w:widowControl w:val="0"/>
        <w:spacing w:after="0" w:line="240" w:lineRule="auto"/>
        <w:jc w:val="both"/>
      </w:pPr>
      <w:r>
        <w:rPr>
          <w:rFonts w:ascii="Times New Roman" w:hAnsi="Times New Roman"/>
          <w:color w:val="000000"/>
          <w:sz w:val="24"/>
          <w:szCs w:val="24"/>
        </w:rPr>
        <w:t>Asuinympäristöstä, kaupunkisuunnittelusta ja maisemanhoidosta vastaava johtaja sekä energia- ja ilmastoasioista vastaava pääjohtaja vastaavat kukin omalta osaltaan tämän ekologisen ja solidaarisen siirtymän ministeriön virallisessa lehdessä julkaistavan määräyksen täytäntöönpanosta.</w:t>
      </w:r>
    </w:p>
    <w:p w:rsidR="00121B80" w:rsidRPr="006C397D" w:rsidRDefault="00121B80">
      <w:pPr>
        <w:widowControl w:val="0"/>
        <w:spacing w:after="0" w:line="240" w:lineRule="auto"/>
        <w:jc w:val="both"/>
      </w:pPr>
    </w:p>
    <w:p w:rsidR="00121B80" w:rsidRPr="006C397D" w:rsidRDefault="00121B80">
      <w:pPr>
        <w:widowControl w:val="0"/>
        <w:spacing w:after="0" w:line="240" w:lineRule="auto"/>
      </w:pPr>
    </w:p>
    <w:p w:rsidR="00121B80" w:rsidRPr="006C397D" w:rsidRDefault="00121B80">
      <w:pPr>
        <w:pStyle w:val="SNSignature"/>
        <w:ind w:firstLine="0"/>
        <w:jc w:val="right"/>
      </w:pPr>
    </w:p>
    <w:p w:rsidR="00121B80" w:rsidRPr="006C397D" w:rsidRDefault="00121B80">
      <w:pPr>
        <w:pStyle w:val="SNSignature"/>
        <w:ind w:firstLine="0"/>
        <w:jc w:val="right"/>
      </w:pPr>
    </w:p>
    <w:p w:rsidR="00121B80" w:rsidRPr="006C397D" w:rsidRDefault="00121B80">
      <w:pPr>
        <w:pStyle w:val="SNSignature"/>
        <w:ind w:firstLine="0"/>
      </w:pPr>
    </w:p>
    <w:p w:rsidR="00121B80" w:rsidRPr="006C397D" w:rsidRDefault="00121B80">
      <w:pPr>
        <w:widowControl w:val="0"/>
        <w:spacing w:after="0" w:line="240" w:lineRule="auto"/>
      </w:pPr>
    </w:p>
    <w:p w:rsidR="00121B80" w:rsidRPr="006C397D" w:rsidRDefault="00121B80">
      <w:pPr>
        <w:pStyle w:val="SNSignatureDroite"/>
        <w:jc w:val="left"/>
      </w:pPr>
      <w:r>
        <w:t xml:space="preserve">Ekologisen siirtymän ministeri </w:t>
      </w:r>
    </w:p>
    <w:p w:rsidR="00121B80" w:rsidRPr="006C397D" w:rsidRDefault="00121B80">
      <w:pPr>
        <w:pStyle w:val="SNSignatureDroite"/>
        <w:jc w:val="left"/>
      </w:pPr>
      <w:r>
        <w:t>Ministerin puolesta ja valtuutettuna:</w:t>
      </w:r>
    </w:p>
    <w:p w:rsidR="00371CC6" w:rsidRPr="006C397D" w:rsidRDefault="00121B80">
      <w:pPr>
        <w:pStyle w:val="SNSignatureDroite"/>
        <w:jc w:val="left"/>
      </w:pPr>
      <w:r>
        <w:t>asuinympäristöstä, kaupunkisuunnittelusta ja maisemanhoidosta vastaava johtaja</w:t>
      </w:r>
    </w:p>
    <w:p w:rsidR="00121B80" w:rsidRPr="006C397D" w:rsidRDefault="00121B80">
      <w:pPr>
        <w:pStyle w:val="SNSignatureDroite"/>
        <w:jc w:val="left"/>
      </w:pPr>
    </w:p>
    <w:p w:rsidR="00121B80" w:rsidRPr="006C397D" w:rsidRDefault="00121B80">
      <w:pPr>
        <w:pStyle w:val="SNSignatureDroite"/>
        <w:jc w:val="left"/>
      </w:pPr>
    </w:p>
    <w:p w:rsidR="00121B80" w:rsidRPr="006C397D" w:rsidRDefault="00121B80">
      <w:pPr>
        <w:pStyle w:val="SNSignatureDroite"/>
        <w:jc w:val="left"/>
      </w:pPr>
    </w:p>
    <w:p w:rsidR="00121B80" w:rsidRPr="006C397D" w:rsidRDefault="00121B80">
      <w:pPr>
        <w:pStyle w:val="SNSignatureDroite"/>
        <w:jc w:val="left"/>
      </w:pPr>
    </w:p>
    <w:p w:rsidR="00121B80" w:rsidRPr="006C397D" w:rsidRDefault="00121B80">
      <w:pPr>
        <w:pStyle w:val="SNSignatureDroite"/>
        <w:jc w:val="left"/>
      </w:pPr>
    </w:p>
    <w:p w:rsidR="00121B80" w:rsidRPr="006C397D" w:rsidRDefault="00121B80">
      <w:pPr>
        <w:pStyle w:val="SNSignature"/>
        <w:ind w:firstLine="0"/>
      </w:pPr>
    </w:p>
    <w:p w:rsidR="00121B80" w:rsidRPr="006C397D" w:rsidRDefault="00121B80">
      <w:pPr>
        <w:pStyle w:val="SNSignature"/>
        <w:ind w:firstLine="0"/>
        <w:jc w:val="right"/>
      </w:pPr>
      <w:r>
        <w:t>Ekologisen siirtymän ministeri</w:t>
      </w:r>
    </w:p>
    <w:p w:rsidR="00121B80" w:rsidRPr="006C397D" w:rsidRDefault="00121B80">
      <w:pPr>
        <w:pStyle w:val="SNSignature"/>
        <w:ind w:firstLine="0"/>
        <w:jc w:val="right"/>
      </w:pPr>
      <w:r>
        <w:t>Ministerin puolesta ja valtuutettuna:</w:t>
      </w:r>
    </w:p>
    <w:p w:rsidR="00121B80" w:rsidRPr="006C397D" w:rsidRDefault="00121B80">
      <w:pPr>
        <w:pStyle w:val="SNSignature"/>
        <w:ind w:firstLine="0"/>
        <w:jc w:val="right"/>
      </w:pPr>
      <w:r>
        <w:t>energia- ja ilmastoasioista vastaava pääjohtaja</w:t>
      </w:r>
    </w:p>
    <w:p w:rsidR="00121B80" w:rsidRPr="006C397D" w:rsidRDefault="00121B80">
      <w:pPr>
        <w:pStyle w:val="SNSignature"/>
        <w:ind w:firstLine="0"/>
        <w:jc w:val="right"/>
      </w:pPr>
    </w:p>
    <w:p w:rsidR="00121B80" w:rsidRPr="006C397D" w:rsidRDefault="00121B80">
      <w:pPr>
        <w:pStyle w:val="SNSignature"/>
        <w:ind w:firstLine="0"/>
        <w:jc w:val="right"/>
      </w:pPr>
    </w:p>
    <w:p w:rsidR="00121B80" w:rsidRPr="006C397D" w:rsidRDefault="00121B80">
      <w:pPr>
        <w:pStyle w:val="SNSignature"/>
        <w:ind w:firstLine="0"/>
        <w:jc w:val="right"/>
      </w:pPr>
    </w:p>
    <w:p w:rsidR="00121B80" w:rsidRPr="006C397D" w:rsidRDefault="00121B80">
      <w:pPr>
        <w:pStyle w:val="SNSignature"/>
        <w:ind w:firstLine="0"/>
      </w:pPr>
    </w:p>
    <w:p w:rsidR="00121B80" w:rsidRPr="006C397D" w:rsidRDefault="00121B80">
      <w:pPr>
        <w:pStyle w:val="SNSignature"/>
        <w:ind w:firstLine="0"/>
      </w:pPr>
    </w:p>
    <w:p w:rsidR="00121B80" w:rsidRPr="006C397D" w:rsidRDefault="00121B80">
      <w:pPr>
        <w:pStyle w:val="SNSignatureDroite"/>
        <w:jc w:val="left"/>
      </w:pPr>
      <w:r>
        <w:t xml:space="preserve">Asuntoasioista vastaava apulaisministeri ekologisen siirtymän ministeriössä </w:t>
      </w:r>
    </w:p>
    <w:p w:rsidR="00121B80" w:rsidRPr="006C397D" w:rsidRDefault="00121B80">
      <w:pPr>
        <w:pStyle w:val="SNSignatureDroite"/>
        <w:jc w:val="left"/>
      </w:pPr>
    </w:p>
    <w:p w:rsidR="00121B80" w:rsidRPr="006C397D" w:rsidRDefault="00121B80">
      <w:pPr>
        <w:pStyle w:val="SNSignatureDroite"/>
        <w:jc w:val="left"/>
      </w:pPr>
      <w:r>
        <w:t>Ministerin puolesta ja valtuutettuna:</w:t>
      </w:r>
    </w:p>
    <w:p w:rsidR="00121B80" w:rsidRPr="006C397D" w:rsidRDefault="00121B80">
      <w:pPr>
        <w:pStyle w:val="SNSignatureDroite"/>
        <w:jc w:val="left"/>
      </w:pPr>
      <w:r>
        <w:t>asuinympäristöstä, kaupunkisuunnittelusta ja maisemanhoidosta vastaava johtaja</w:t>
      </w:r>
    </w:p>
    <w:sectPr w:rsidR="00121B80" w:rsidRPr="006C397D">
      <w:pgSz w:w="11906" w:h="16838"/>
      <w:pgMar w:top="1133" w:right="1133" w:bottom="1133" w:left="1133" w:header="720" w:footer="720" w:gutter="0"/>
      <w:cols w:space="72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9A1" w:rsidRDefault="00D269A1" w:rsidP="0079276F">
      <w:pPr>
        <w:spacing w:after="0" w:line="240" w:lineRule="auto"/>
      </w:pPr>
      <w:r>
        <w:separator/>
      </w:r>
    </w:p>
  </w:endnote>
  <w:endnote w:type="continuationSeparator" w:id="0">
    <w:p w:rsidR="00D269A1" w:rsidRDefault="00D269A1" w:rsidP="0079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ont443">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9A1" w:rsidRDefault="00D269A1" w:rsidP="0079276F">
      <w:pPr>
        <w:spacing w:after="0" w:line="240" w:lineRule="auto"/>
      </w:pPr>
      <w:r>
        <w:separator/>
      </w:r>
    </w:p>
  </w:footnote>
  <w:footnote w:type="continuationSeparator" w:id="0">
    <w:p w:rsidR="00D269A1" w:rsidRDefault="00D269A1" w:rsidP="007927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8612A"/>
    <w:multiLevelType w:val="hybridMultilevel"/>
    <w:tmpl w:val="596E649E"/>
    <w:lvl w:ilvl="0" w:tplc="DC8EE016">
      <w:start w:val="2"/>
      <w:numFmt w:val="bullet"/>
      <w:lvlText w:val="-"/>
      <w:lvlJc w:val="left"/>
      <w:pPr>
        <w:ind w:left="720" w:hanging="360"/>
      </w:pPr>
      <w:rPr>
        <w:rFonts w:ascii="Times New Roman" w:eastAsia="font443"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7E"/>
    <w:rsid w:val="000370CB"/>
    <w:rsid w:val="000A64C4"/>
    <w:rsid w:val="00121B80"/>
    <w:rsid w:val="001776C9"/>
    <w:rsid w:val="002B5C7E"/>
    <w:rsid w:val="00304F7E"/>
    <w:rsid w:val="003305DB"/>
    <w:rsid w:val="00371CC6"/>
    <w:rsid w:val="0049409A"/>
    <w:rsid w:val="006C397D"/>
    <w:rsid w:val="0078501D"/>
    <w:rsid w:val="0079276F"/>
    <w:rsid w:val="00817B99"/>
    <w:rsid w:val="00837B47"/>
    <w:rsid w:val="00890FE9"/>
    <w:rsid w:val="008F5F95"/>
    <w:rsid w:val="00971E35"/>
    <w:rsid w:val="00972FD1"/>
    <w:rsid w:val="00A73D1D"/>
    <w:rsid w:val="00A92569"/>
    <w:rsid w:val="00AA1C12"/>
    <w:rsid w:val="00D125B4"/>
    <w:rsid w:val="00D269A1"/>
    <w:rsid w:val="00D85F5D"/>
    <w:rsid w:val="00F475E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43D3994F-6DA6-47FF-AAD0-60A77FDF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2" w:lineRule="auto"/>
    </w:pPr>
    <w:rPr>
      <w:rFonts w:ascii="Calibri" w:eastAsia="font443" w:hAnsi="Calibri" w:cs="font44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1">
    <w:name w:val="Police par défaut1"/>
  </w:style>
  <w:style w:type="character" w:customStyle="1" w:styleId="lev1">
    <w:name w:val="Élevé1"/>
    <w:rPr>
      <w:b/>
      <w:bCs/>
    </w:rPr>
  </w:style>
  <w:style w:type="character" w:customStyle="1" w:styleId="CorpsdetexteCar">
    <w:name w:val="Corps de texte Car"/>
    <w:rPr>
      <w:rFonts w:ascii="Times New Roman" w:eastAsia="Times New Roman" w:hAnsi="Times New Roman" w:cs="Times New Roman"/>
      <w:kern w:val="2"/>
      <w:sz w:val="24"/>
      <w:szCs w:val="24"/>
      <w:lang w:eastAsia="zh-CN"/>
    </w:rPr>
  </w:style>
  <w:style w:type="character" w:customStyle="1" w:styleId="SNArticleCar">
    <w:name w:val="SNArticle Car"/>
    <w:rPr>
      <w:b/>
      <w:sz w:val="24"/>
      <w:szCs w:val="24"/>
    </w:rPr>
  </w:style>
  <w:style w:type="character" w:styleId="Hyperlink">
    <w:name w:val="Hyperlink"/>
    <w:rPr>
      <w:color w:val="0563C1"/>
      <w:u w:val="single"/>
    </w:rPr>
  </w:style>
  <w:style w:type="character" w:customStyle="1" w:styleId="Marquedecommentaire1">
    <w:name w:val="Marque de commentaire1"/>
    <w:rPr>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TextedebullesCar">
    <w:name w:val="Texte de bulles Car"/>
    <w:rPr>
      <w:rFonts w:ascii="Segoe UI" w:hAnsi="Segoe UI" w:cs="Segoe UI"/>
      <w:sz w:val="18"/>
      <w:szCs w:val="18"/>
    </w:rPr>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eastAsia="font443" w:cs="Times New Roman"/>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eastAsia="font443" w:cs="Times New Roman"/>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ascii="Times New Roman" w:hAnsi="Times New Roman" w:cs="Times New Roman"/>
      <w:i/>
      <w:iCs/>
      <w:sz w:val="24"/>
      <w:szCs w:val="24"/>
    </w:rPr>
  </w:style>
  <w:style w:type="paragraph" w:customStyle="1" w:styleId="Titre1">
    <w:name w:val="Titre1"/>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20" w:line="240" w:lineRule="auto"/>
      <w:jc w:val="both"/>
    </w:pPr>
    <w:rPr>
      <w:rFonts w:ascii="Times New Roman" w:eastAsia="Times New Roman" w:hAnsi="Times New Roman" w:cs="Times New Roman"/>
      <w:kern w:val="2"/>
      <w:sz w:val="24"/>
      <w:szCs w:val="24"/>
      <w:lang w:eastAsia="zh-CN"/>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SNNORCentr">
    <w:name w:val="SNNOR+Centré"/>
    <w:next w:val="Normal"/>
    <w:pPr>
      <w:suppressAutoHyphens/>
      <w:jc w:val="center"/>
    </w:pPr>
    <w:rPr>
      <w:bCs/>
      <w:kern w:val="2"/>
      <w:sz w:val="24"/>
      <w:lang w:eastAsia="zh-CN"/>
    </w:rPr>
  </w:style>
  <w:style w:type="paragraph" w:customStyle="1" w:styleId="Corpsdetexte21">
    <w:name w:val="Corps de texte 21"/>
    <w:basedOn w:val="Normal"/>
    <w:pPr>
      <w:spacing w:after="0" w:line="240" w:lineRule="auto"/>
      <w:jc w:val="center"/>
    </w:pPr>
    <w:rPr>
      <w:rFonts w:ascii="Times New Roman" w:eastAsia="Times New Roman" w:hAnsi="Times New Roman" w:cs="Times New Roman"/>
      <w:b/>
      <w:bCs/>
      <w:kern w:val="2"/>
      <w:sz w:val="24"/>
      <w:szCs w:val="24"/>
      <w:lang w:eastAsia="zh-CN"/>
    </w:rPr>
  </w:style>
  <w:style w:type="paragraph" w:customStyle="1" w:styleId="western">
    <w:name w:val="western"/>
    <w:basedOn w:val="Normal"/>
    <w:pPr>
      <w:spacing w:before="100" w:after="119" w:line="240" w:lineRule="auto"/>
      <w:jc w:val="both"/>
    </w:pPr>
    <w:rPr>
      <w:rFonts w:ascii="Times New Roman" w:eastAsia="Times New Roman" w:hAnsi="Times New Roman" w:cs="Times New Roman"/>
      <w:kern w:val="2"/>
      <w:sz w:val="24"/>
      <w:szCs w:val="24"/>
      <w:lang w:eastAsia="zh-CN"/>
    </w:rPr>
  </w:style>
  <w:style w:type="paragraph" w:customStyle="1" w:styleId="SNSignature">
    <w:name w:val="SNSignature"/>
    <w:basedOn w:val="Normal"/>
    <w:pPr>
      <w:spacing w:after="0" w:line="240" w:lineRule="auto"/>
      <w:ind w:firstLine="720"/>
    </w:pPr>
    <w:rPr>
      <w:rFonts w:ascii="Times New Roman" w:eastAsia="Times New Roman" w:hAnsi="Times New Roman" w:cs="Times New Roman"/>
      <w:kern w:val="2"/>
      <w:sz w:val="24"/>
      <w:szCs w:val="24"/>
      <w:lang w:eastAsia="zh-CN"/>
    </w:rPr>
  </w:style>
  <w:style w:type="paragraph" w:customStyle="1" w:styleId="SNSignatureDroite">
    <w:name w:val="SNSignature Droite"/>
    <w:basedOn w:val="Normal"/>
    <w:pPr>
      <w:spacing w:after="0" w:line="240" w:lineRule="auto"/>
      <w:jc w:val="right"/>
    </w:pPr>
    <w:rPr>
      <w:rFonts w:ascii="Times New Roman" w:eastAsia="Times New Roman" w:hAnsi="Times New Roman" w:cs="Times New Roman"/>
      <w:kern w:val="2"/>
      <w:sz w:val="24"/>
      <w:szCs w:val="24"/>
      <w:lang w:eastAsia="zh-CN"/>
    </w:rPr>
  </w:style>
  <w:style w:type="paragraph" w:customStyle="1" w:styleId="SNAutorit">
    <w:name w:val="SNAutorité"/>
    <w:basedOn w:val="Normal"/>
    <w:pPr>
      <w:spacing w:before="720" w:after="240" w:line="240" w:lineRule="auto"/>
      <w:ind w:firstLine="720"/>
    </w:pPr>
    <w:rPr>
      <w:rFonts w:ascii="Times New Roman" w:eastAsia="Times New Roman" w:hAnsi="Times New Roman" w:cs="Times New Roman"/>
      <w:b/>
      <w:kern w:val="2"/>
      <w:sz w:val="24"/>
      <w:szCs w:val="24"/>
      <w:lang w:eastAsia="zh-CN"/>
    </w:rPr>
  </w:style>
  <w:style w:type="paragraph" w:customStyle="1" w:styleId="SNVisa">
    <w:name w:val="SNVisa"/>
    <w:basedOn w:val="Normal"/>
    <w:pPr>
      <w:spacing w:before="120" w:after="120" w:line="240" w:lineRule="auto"/>
      <w:ind w:firstLine="720"/>
    </w:pPr>
    <w:rPr>
      <w:rFonts w:ascii="Times New Roman" w:eastAsia="Times New Roman" w:hAnsi="Times New Roman" w:cs="Times New Roman"/>
      <w:sz w:val="24"/>
      <w:szCs w:val="24"/>
    </w:rPr>
  </w:style>
  <w:style w:type="paragraph" w:styleId="NormalWeb">
    <w:name w:val="Normal (Web)"/>
    <w:basedOn w:val="Normal"/>
    <w:pPr>
      <w:spacing w:before="280" w:after="142" w:line="288" w:lineRule="auto"/>
    </w:pPr>
    <w:rPr>
      <w:rFonts w:ascii="Times New Roman" w:eastAsia="Times New Roman" w:hAnsi="Times New Roman" w:cs="Times New Roman"/>
      <w:sz w:val="24"/>
      <w:szCs w:val="24"/>
    </w:rPr>
  </w:style>
  <w:style w:type="paragraph" w:customStyle="1" w:styleId="SNArticle">
    <w:name w:val="SNArticle"/>
    <w:basedOn w:val="Normal"/>
    <w:next w:val="BodyText"/>
    <w:pPr>
      <w:spacing w:before="240" w:after="240" w:line="240" w:lineRule="auto"/>
      <w:jc w:val="center"/>
    </w:pPr>
    <w:rPr>
      <w:b/>
      <w:sz w:val="24"/>
      <w:szCs w:val="24"/>
    </w:rPr>
  </w:style>
  <w:style w:type="paragraph" w:customStyle="1" w:styleId="Paragraphedeliste1">
    <w:name w:val="Paragraphe de liste1"/>
    <w:basedOn w:val="Normal"/>
    <w:pPr>
      <w:ind w:left="720"/>
      <w:contextualSpacing/>
    </w:pPr>
  </w:style>
  <w:style w:type="paragraph" w:customStyle="1" w:styleId="SNREPUBLIQUE">
    <w:name w:val="SNREPUBLIQUE"/>
    <w:basedOn w:val="Normal"/>
    <w:pPr>
      <w:spacing w:after="0" w:line="240" w:lineRule="auto"/>
      <w:jc w:val="center"/>
    </w:pPr>
    <w:rPr>
      <w:rFonts w:ascii="Times New Roman" w:eastAsia="Times New Roman" w:hAnsi="Times New Roman" w:cs="Times New Roman"/>
      <w:b/>
      <w:bCs/>
      <w:kern w:val="2"/>
      <w:sz w:val="24"/>
      <w:szCs w:val="20"/>
      <w:lang w:eastAsia="zh-CN"/>
    </w:rPr>
  </w:style>
  <w:style w:type="paragraph" w:customStyle="1" w:styleId="SNTimbre">
    <w:name w:val="SNTimbre"/>
    <w:basedOn w:val="Normal"/>
    <w:pPr>
      <w:widowControl w:val="0"/>
      <w:snapToGrid w:val="0"/>
      <w:spacing w:before="120" w:after="0" w:line="240" w:lineRule="auto"/>
      <w:jc w:val="center"/>
    </w:pPr>
    <w:rPr>
      <w:rFonts w:ascii="Times New Roman" w:eastAsia="Lucida Sans Unicode" w:hAnsi="Times New Roman" w:cs="Times New Roman"/>
      <w:kern w:val="2"/>
      <w:sz w:val="24"/>
      <w:szCs w:val="24"/>
      <w:lang w:eastAsia="zh-CN"/>
    </w:rPr>
  </w:style>
  <w:style w:type="paragraph" w:customStyle="1" w:styleId="Commentaire1">
    <w:name w:val="Commentaire1"/>
    <w:basedOn w:val="Normal"/>
    <w:pPr>
      <w:spacing w:line="240" w:lineRule="auto"/>
    </w:pPr>
    <w:rPr>
      <w:sz w:val="20"/>
      <w:szCs w:val="20"/>
    </w:rPr>
  </w:style>
  <w:style w:type="paragraph" w:customStyle="1" w:styleId="Objetducommentaire1">
    <w:name w:val="Objet du commentaire1"/>
    <w:basedOn w:val="Commentaire1"/>
    <w:next w:val="Commentaire1"/>
    <w:rPr>
      <w:b/>
      <w:bCs/>
    </w:rPr>
  </w:style>
  <w:style w:type="paragraph" w:customStyle="1" w:styleId="Textedebulles1">
    <w:name w:val="Texte de bulles1"/>
    <w:basedOn w:val="Normal"/>
    <w:pPr>
      <w:spacing w:after="0" w:line="240" w:lineRule="auto"/>
    </w:pPr>
    <w:rPr>
      <w:rFonts w:ascii="Segoe UI" w:hAnsi="Segoe UI" w:cs="Segoe UI"/>
      <w:sz w:val="18"/>
      <w:szCs w:val="18"/>
    </w:rPr>
  </w:style>
  <w:style w:type="paragraph" w:styleId="Header">
    <w:name w:val="header"/>
    <w:basedOn w:val="Normal"/>
    <w:pPr>
      <w:tabs>
        <w:tab w:val="center" w:pos="4536"/>
        <w:tab w:val="right" w:pos="9072"/>
      </w:tabs>
      <w:spacing w:after="0" w:line="240" w:lineRule="auto"/>
    </w:pPr>
  </w:style>
  <w:style w:type="paragraph" w:styleId="Footer">
    <w:name w:val="footer"/>
    <w:basedOn w:val="Normal"/>
    <w:pPr>
      <w:tabs>
        <w:tab w:val="center" w:pos="4536"/>
        <w:tab w:val="right" w:pos="9072"/>
      </w:tabs>
      <w:spacing w:after="0" w:line="240" w:lineRule="auto"/>
    </w:pPr>
  </w:style>
  <w:style w:type="paragraph" w:customStyle="1" w:styleId="Rvision1">
    <w:name w:val="Révision1"/>
    <w:pPr>
      <w:suppressAutoHyphens/>
    </w:pPr>
    <w:rPr>
      <w:rFonts w:ascii="Calibri" w:eastAsia="font443" w:hAnsi="Calibri" w:cs="font443"/>
      <w:sz w:val="22"/>
      <w:szCs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CommentReference">
    <w:name w:val="annotation reference"/>
    <w:uiPriority w:val="99"/>
    <w:semiHidden/>
    <w:unhideWhenUsed/>
    <w:rsid w:val="00371CC6"/>
    <w:rPr>
      <w:sz w:val="16"/>
      <w:szCs w:val="16"/>
    </w:rPr>
  </w:style>
  <w:style w:type="paragraph" w:styleId="CommentText">
    <w:name w:val="annotation text"/>
    <w:basedOn w:val="Normal"/>
    <w:link w:val="CommentTextChar"/>
    <w:uiPriority w:val="99"/>
    <w:semiHidden/>
    <w:unhideWhenUsed/>
    <w:rsid w:val="00371CC6"/>
    <w:rPr>
      <w:sz w:val="20"/>
      <w:szCs w:val="20"/>
    </w:rPr>
  </w:style>
  <w:style w:type="character" w:customStyle="1" w:styleId="CommentTextChar">
    <w:name w:val="Comment Text Char"/>
    <w:link w:val="CommentText"/>
    <w:uiPriority w:val="99"/>
    <w:semiHidden/>
    <w:rsid w:val="00371CC6"/>
    <w:rPr>
      <w:rFonts w:ascii="Calibri" w:eastAsia="font443" w:hAnsi="Calibri" w:cs="font443"/>
    </w:rPr>
  </w:style>
  <w:style w:type="paragraph" w:styleId="CommentSubject">
    <w:name w:val="annotation subject"/>
    <w:basedOn w:val="CommentText"/>
    <w:next w:val="CommentText"/>
    <w:link w:val="CommentSubjectChar"/>
    <w:uiPriority w:val="99"/>
    <w:semiHidden/>
    <w:unhideWhenUsed/>
    <w:rsid w:val="00371CC6"/>
    <w:rPr>
      <w:b/>
      <w:bCs/>
    </w:rPr>
  </w:style>
  <w:style w:type="character" w:customStyle="1" w:styleId="CommentSubjectChar">
    <w:name w:val="Comment Subject Char"/>
    <w:link w:val="CommentSubject"/>
    <w:uiPriority w:val="99"/>
    <w:semiHidden/>
    <w:rsid w:val="00371CC6"/>
    <w:rPr>
      <w:rFonts w:ascii="Calibri" w:eastAsia="font443" w:hAnsi="Calibri" w:cs="font443"/>
      <w:b/>
      <w:bCs/>
    </w:rPr>
  </w:style>
  <w:style w:type="paragraph" w:styleId="BalloonText">
    <w:name w:val="Balloon Text"/>
    <w:basedOn w:val="Normal"/>
    <w:link w:val="BalloonTextChar"/>
    <w:uiPriority w:val="99"/>
    <w:semiHidden/>
    <w:unhideWhenUsed/>
    <w:rsid w:val="00371CC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71CC6"/>
    <w:rPr>
      <w:rFonts w:ascii="Segoe UI" w:eastAsia="font443"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5058</CharactersWithSpaces>
  <SharedDoc>false</SharedDoc>
  <HLinks>
    <vt:vector size="6" baseType="variant">
      <vt:variant>
        <vt:i4>3801195</vt:i4>
      </vt:variant>
      <vt:variant>
        <vt:i4>0</vt:i4>
      </vt:variant>
      <vt:variant>
        <vt:i4>0</vt:i4>
      </vt:variant>
      <vt:variant>
        <vt:i4>5</vt:i4>
      </vt:variant>
      <vt:variant>
        <vt:lpwstr>http://www.legifrance.gouv.fr/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THIEBAUT Alois V0.10</dc:creator>
  <cp:keywords/>
  <cp:lastModifiedBy>VALTERE, Klinta</cp:lastModifiedBy>
  <cp:revision>6</cp:revision>
  <cp:lastPrinted>1899-12-31T23:00:00Z</cp:lastPrinted>
  <dcterms:created xsi:type="dcterms:W3CDTF">2020-12-11T13:33:00Z</dcterms:created>
  <dcterms:modified xsi:type="dcterms:W3CDTF">2020-12-21T16:56:00Z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jforCreatedThisOn">
    <vt:lpwstr>Wed Jan 15 14:01:39 CET 2020</vt:lpwstr>
  </property>
  <property fmtid="{D5CDD505-2E9C-101B-9397-08002B2CF9AE}" pid="9" name="jforVersion">
    <vt:lpwstr>jfor V0.7.2rc1 - see http://www.jfor.org</vt:lpwstr>
  </property>
</Properties>
</file>