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1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121B80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371CC6" w:rsidRDefault="00121B80">
            <w:pPr>
              <w:pStyle w:val="SNREPUBLIQUE"/>
              <w:snapToGrid w:val="0"/>
            </w:pPr>
            <w:r w:rsidRPr="00371CC6">
              <w:t>RÉPUBLIQUE FRANÇAISE</w:t>
            </w:r>
          </w:p>
        </w:tc>
      </w:tr>
      <w:tr w:rsidR="00121B80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:rsidR="00121B80" w:rsidRPr="00371CC6" w:rsidRDefault="00121B80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:rsidR="00121B80" w:rsidRPr="00371CC6" w:rsidRDefault="00121B80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:rsidR="00121B80" w:rsidRPr="00371CC6" w:rsidRDefault="00121B80">
            <w:pPr>
              <w:snapToGrid w:val="0"/>
            </w:pPr>
          </w:p>
        </w:tc>
      </w:tr>
      <w:tr w:rsidR="00121B80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371CC6" w:rsidRDefault="00121B80">
            <w:pPr>
              <w:pStyle w:val="SNTimbre"/>
            </w:pPr>
            <w:r w:rsidRPr="00371CC6">
              <w:t xml:space="preserve">Ministère de la transition écologique </w:t>
            </w:r>
          </w:p>
        </w:tc>
      </w:tr>
      <w:tr w:rsidR="00121B80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371CC6" w:rsidRDefault="00304F7E">
            <w:pPr>
              <w:pStyle w:val="SNTimbre"/>
              <w:jc w:val="left"/>
            </w:pPr>
            <w:r w:rsidRPr="00371CC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129540</wp:posOffset>
                      </wp:positionV>
                      <wp:extent cx="613410" cy="635"/>
                      <wp:effectExtent l="7620" t="12065" r="7620" b="635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" cy="63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C169" id="Connecteur droit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10.2pt" to="125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" strokeweight=".18mm">
                      <v:stroke joinstyle="miter"/>
                    </v:line>
                  </w:pict>
                </mc:Fallback>
              </mc:AlternateContent>
            </w:r>
          </w:p>
        </w:tc>
      </w:tr>
      <w:tr w:rsidR="00121B80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Pr="00371CC6" w:rsidRDefault="00121B80">
            <w:pPr>
              <w:pStyle w:val="SNTimbre"/>
              <w:spacing w:before="0" w:after="160"/>
            </w:pPr>
            <w:r w:rsidRPr="00371CC6">
              <w:t>Logement</w:t>
            </w:r>
          </w:p>
        </w:tc>
      </w:tr>
      <w:tr w:rsidR="00121B80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121B80" w:rsidRDefault="00121B80">
            <w:pPr>
              <w:pStyle w:val="SNTimbre"/>
              <w:jc w:val="left"/>
              <w:rPr>
                <w:highlight w:val="yellow"/>
              </w:rPr>
            </w:pPr>
          </w:p>
        </w:tc>
      </w:tr>
    </w:tbl>
    <w:p w:rsidR="00121B80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Arrêté du</w:t>
      </w:r>
    </w:p>
    <w:p w:rsidR="00121B80" w:rsidRDefault="00371CC6" w:rsidP="00D125B4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portant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approbation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méthode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calcul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/>
          <w:bCs/>
          <w:sz w:val="24"/>
          <w:szCs w:val="24"/>
        </w:rPr>
        <w:t>prévue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890FE9">
        <w:rPr>
          <w:rFonts w:ascii="Times New Roman" w:hAnsi="Times New Roman" w:cs="Times New Roman"/>
          <w:b/>
          <w:bCs/>
          <w:sz w:val="24"/>
          <w:szCs w:val="24"/>
        </w:rPr>
        <w:t>l’article R. 111-20-5 du code de la construction et de l’habitation</w:t>
      </w:r>
    </w:p>
    <w:p w:rsidR="00121B80" w:rsidRDefault="00121B80">
      <w:pPr>
        <w:pStyle w:val="SNNORCentr"/>
      </w:pPr>
      <w:r>
        <w:rPr>
          <w:szCs w:val="24"/>
        </w:rPr>
        <w:t> </w:t>
      </w:r>
      <w:r>
        <w:rPr>
          <w:rFonts w:eastAsia="Arial"/>
          <w:szCs w:val="24"/>
        </w:rPr>
        <w:t xml:space="preserve">NOR : </w:t>
      </w:r>
    </w:p>
    <w:p w:rsidR="00121B80" w:rsidRDefault="00121B80">
      <w:pPr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</w:p>
    <w:p w:rsidR="00121B80" w:rsidRDefault="00121B80" w:rsidP="00371CC6">
      <w:pPr>
        <w:jc w:val="both"/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Publics concernés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: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 xml:space="preserve">maîtres d'ouvrage, maîtres d'œuvre, constructeurs et promoteurs, architectes, bureaux d'études 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thermique et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environnement, économistes du bâtiment, contrôleurs techniques, entreprises du bâtiment, industriels des matériaux de construction et des systèmes techniques du bâtiment, fournisseurs d'énergie, en France métropolitaine.</w:t>
      </w:r>
    </w:p>
    <w:p w:rsidR="00121B80" w:rsidRDefault="00121B80">
      <w:pPr>
        <w:jc w:val="both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Objet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 : </w:t>
      </w:r>
      <w:r w:rsidR="00371CC6" w:rsidRPr="00CA4953">
        <w:rPr>
          <w:rFonts w:ascii="Times New Roman" w:hAnsi="Times New Roman" w:cs="Times New Roman"/>
          <w:i/>
          <w:iCs/>
          <w:sz w:val="24"/>
          <w:szCs w:val="24"/>
        </w:rPr>
        <w:t xml:space="preserve">fixation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méthode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calcul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 xml:space="preserve"> énergétique et environnementale des constructions de bâtiments d’habitation, de bureaux ou d’enseignement primaire ou secondaire en France métropolitaine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, pour l’application de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l’arrêté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du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XXX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relatif aux exigences de performance énergétique et environnementale des constructions de bâtiments d’habitation, de bureaux ou d’enseignement primaire ou secondaire en France métropolitaine</w:t>
      </w:r>
    </w:p>
    <w:p w:rsidR="00371CC6" w:rsidRDefault="00121B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Entrée en vigueur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 : </w:t>
      </w:r>
      <w:r w:rsidR="00371CC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Le présent arrêté s’applique à compter </w:t>
      </w:r>
      <w:r w:rsidR="00371CC6" w:rsidRPr="00CA495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du 1er juillet 2021</w:t>
      </w:r>
      <w:r w:rsidR="00371CC6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.</w:t>
      </w:r>
    </w:p>
    <w:p w:rsidR="00371CC6" w:rsidRDefault="00371C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</w:pPr>
    </w:p>
    <w:p w:rsidR="00371CC6" w:rsidRDefault="00121B80" w:rsidP="00371C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Notice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 : </w:t>
      </w:r>
      <w:r w:rsidR="00371CC6" w:rsidRPr="00CA495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L’arrêté</w:t>
      </w:r>
      <w:r w:rsidR="00371CC6" w:rsidRPr="00CA495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bidi="hi-IN"/>
        </w:rPr>
        <w:t xml:space="preserve"> fixe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 xml:space="preserve"> la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méthode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calcul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 xml:space="preserve"> des 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>performance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71CC6" w:rsidRPr="00371CC6">
        <w:rPr>
          <w:rFonts w:ascii="Times New Roman" w:hAnsi="Times New Roman" w:cs="Times New Roman"/>
          <w:i/>
          <w:iCs/>
          <w:sz w:val="24"/>
          <w:szCs w:val="24"/>
        </w:rPr>
        <w:t xml:space="preserve"> énergétique et environnementale des constructions de bâtiments d’habitation, de bureaux ou d’enseignement primaire ou secondaire en France métropolitaine</w:t>
      </w:r>
      <w:r w:rsidR="00371CC6">
        <w:rPr>
          <w:rFonts w:ascii="Times New Roman" w:hAnsi="Times New Roman" w:cs="Times New Roman"/>
          <w:i/>
          <w:iCs/>
          <w:sz w:val="24"/>
          <w:szCs w:val="24"/>
        </w:rPr>
        <w:t>, au travers de trois annexes :</w:t>
      </w:r>
    </w:p>
    <w:p w:rsidR="00371CC6" w:rsidRPr="00371CC6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Annexe I : Règles générales pour le calcul de la performance énergétique et environnementale</w:t>
      </w:r>
    </w:p>
    <w:p w:rsidR="00371CC6" w:rsidRPr="00371CC6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Annexe II : Méthode de calcul « Th-BCE 2020 », détaillant les règles de calcul de la performance énergétique, associées à l’outil de calcul prévu à l’article L.111-9-1-A du code de la construction et de l’habitation</w:t>
      </w:r>
    </w:p>
    <w:p w:rsidR="00371CC6" w:rsidRDefault="00371CC6" w:rsidP="00371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Annexe III : Règles « Th-Bat 2020 », permettant de </w:t>
      </w:r>
      <w:r w:rsidRPr="00371CC6">
        <w:rPr>
          <w:rFonts w:ascii="Times New Roman" w:hAnsi="Times New Roman" w:cs="Times New Roman"/>
          <w:i/>
          <w:iCs/>
          <w:sz w:val="24"/>
          <w:szCs w:val="24"/>
        </w:rPr>
        <w:t>détermin</w:t>
      </w:r>
      <w:r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371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371CC6">
        <w:rPr>
          <w:rFonts w:ascii="Times New Roman" w:hAnsi="Times New Roman" w:cs="Times New Roman"/>
          <w:i/>
          <w:iCs/>
          <w:sz w:val="24"/>
          <w:szCs w:val="24"/>
        </w:rPr>
        <w:t>es données d’entrée aux calculs de la performance énergétique du bâtiment pour le calcul réglementaire</w:t>
      </w:r>
    </w:p>
    <w:p w:rsidR="00121B80" w:rsidRDefault="00121B80" w:rsidP="00371CC6">
      <w:pPr>
        <w:spacing w:after="0" w:line="240" w:lineRule="auto"/>
        <w:jc w:val="both"/>
      </w:pPr>
      <w:r>
        <w:t xml:space="preserve"> </w:t>
      </w:r>
    </w:p>
    <w:p w:rsidR="00121B80" w:rsidRDefault="00121B80">
      <w:pPr>
        <w:jc w:val="both"/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Références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 texte </w:t>
      </w:r>
      <w:r w:rsidRPr="00371CC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modifié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par le présent arrêté peut être consulté, dans sa rédaction, sur le site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Legifrance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hyperlink r:id="rId7" w:history="1">
        <w:r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www.legifrance.gouv.fr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121B80" w:rsidRDefault="00121B80">
      <w:pPr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371CC6" w:rsidRPr="00371CC6" w:rsidRDefault="00121B80" w:rsidP="00371CC6">
      <w:pPr>
        <w:pStyle w:val="SNAutorit"/>
        <w:pageBreakBefore/>
        <w:suppressAutoHyphens w:val="0"/>
        <w:ind w:firstLine="0"/>
        <w:jc w:val="both"/>
        <w:rPr>
          <w:b w:val="0"/>
        </w:rPr>
      </w:pPr>
      <w:r w:rsidRPr="00371CC6">
        <w:rPr>
          <w:b w:val="0"/>
          <w:highlight w:val="yellow"/>
          <w:lang w:eastAsia="fr-FR"/>
        </w:rPr>
        <w:lastRenderedPageBreak/>
        <w:t xml:space="preserve">La ministre de la transition écologique, </w:t>
      </w:r>
      <w:r w:rsidR="0079276F">
        <w:rPr>
          <w:b w:val="0"/>
          <w:highlight w:val="yellow"/>
          <w:lang w:eastAsia="fr-FR"/>
        </w:rPr>
        <w:t>l</w:t>
      </w:r>
      <w:r w:rsidRPr="00371CC6">
        <w:rPr>
          <w:b w:val="0"/>
          <w:highlight w:val="yellow"/>
          <w:lang w:eastAsia="fr-FR"/>
        </w:rPr>
        <w:t>a ministre déléguée auprès de la ministre de la transition écologique, chargée du logement</w:t>
      </w:r>
      <w:r w:rsidRPr="00371CC6">
        <w:rPr>
          <w:b w:val="0"/>
          <w:highlight w:val="yellow"/>
        </w:rPr>
        <w:t>,</w:t>
      </w:r>
    </w:p>
    <w:p w:rsidR="000A64C4" w:rsidRDefault="00972FD1" w:rsidP="00371C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Vu</w:t>
      </w:r>
      <w:r w:rsidR="000A64C4" w:rsidRPr="000A64C4">
        <w:rPr>
          <w:rFonts w:ascii="Times New Roman" w:hAnsi="Times New Roman" w:cs="Times New Roman"/>
          <w:sz w:val="24"/>
          <w:szCs w:val="24"/>
        </w:rPr>
        <w:t xml:space="preserve"> la directive (UE) 2015/1535 du Parlement européen et du Conseil du 9 septembre 2015, prévoyant une procédure d’information dans le domaine des réglementations techniques et des règles relatives aux services de la société de l’information (texte codifié), et notamment la notification n° </w:t>
      </w:r>
      <w:r w:rsidR="000A64C4" w:rsidRPr="00972FD1">
        <w:rPr>
          <w:rFonts w:ascii="Times New Roman" w:hAnsi="Times New Roman" w:cs="Times New Roman"/>
          <w:sz w:val="24"/>
          <w:szCs w:val="24"/>
          <w:highlight w:val="yellow"/>
        </w:rPr>
        <w:t>année/XXX/F</w:t>
      </w:r>
    </w:p>
    <w:bookmarkEnd w:id="0"/>
    <w:p w:rsid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>Vu la directive 2010/31/UE du Parlement européen et du Conseil du 19 mai 2010 sur la performance énergétique des bâtiments modifiée par la directive 2018/844 du Parlement européen et du Conseil du 30 mai 2018, notamment ses articles 3, 4 et 6 ;</w:t>
      </w:r>
    </w:p>
    <w:p w:rsidR="00837B47" w:rsidRPr="00371CC6" w:rsidRDefault="00837B47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de la construction et de l’habitation, notamment son article R.111-20-5 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l’arrêté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 xml:space="preserve"> relatif aux exigences de performance énergétique et environnementale des constructions de bâtiments d’habitation, de bureaux ou d’enseignement primaire ou secondaire en France métropolitaine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les observations formulées lors de la consultation du public réalisée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 xml:space="preserve">XXX </w:t>
      </w:r>
      <w:r w:rsidRPr="00371CC6">
        <w:rPr>
          <w:rFonts w:ascii="Times New Roman" w:hAnsi="Times New Roman" w:cs="Times New Roman"/>
          <w:sz w:val="24"/>
          <w:szCs w:val="24"/>
        </w:rPr>
        <w:t xml:space="preserve">au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, en application de l'article L. 120-1 du code de l'environnement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l'avis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conseil national d’évaluation des normes</w:t>
      </w:r>
      <w:r w:rsidRPr="00371CC6">
        <w:rPr>
          <w:rFonts w:ascii="Times New Roman" w:hAnsi="Times New Roman" w:cs="Times New Roman"/>
          <w:sz w:val="24"/>
          <w:szCs w:val="24"/>
        </w:rPr>
        <w:t xml:space="preserve">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l’avis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conseil supérieur de l’énergie</w:t>
      </w:r>
      <w:r w:rsidRPr="00371CC6">
        <w:rPr>
          <w:rFonts w:ascii="Times New Roman" w:hAnsi="Times New Roman" w:cs="Times New Roman"/>
          <w:sz w:val="24"/>
          <w:szCs w:val="24"/>
        </w:rPr>
        <w:t xml:space="preserve">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l’avis du conseil supérieur de la construction et de l’efficacité énergétique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>Vu la lettre de saisine de l’assemblée de Guyane en date du 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>Vu la lettre de saisine de l’assemblée de Martinique en date du 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la lettre de saisine du conseil départemental de Guadeloupe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la lettre de saisine du conseil départemental de La Réunion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la lettre de saisine du conseil régional de Guadeloupe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371CC6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la lettre de saisine du conseil régional de La Réunion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121B80" w:rsidRP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  <w:r w:rsidRPr="00371CC6">
        <w:rPr>
          <w:rFonts w:ascii="Times New Roman" w:hAnsi="Times New Roman" w:cs="Times New Roman"/>
          <w:sz w:val="24"/>
          <w:szCs w:val="24"/>
        </w:rPr>
        <w:t xml:space="preserve">Vu la lettre de saisine du conseil départemental de Mayotte en date du </w:t>
      </w:r>
      <w:r w:rsidRPr="00371CC6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371CC6">
        <w:rPr>
          <w:rFonts w:ascii="Times New Roman" w:hAnsi="Times New Roman" w:cs="Times New Roman"/>
          <w:sz w:val="24"/>
          <w:szCs w:val="24"/>
        </w:rPr>
        <w:t> ;</w:t>
      </w:r>
    </w:p>
    <w:p w:rsidR="00371CC6" w:rsidRDefault="00371CC6" w:rsidP="00371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B80" w:rsidRDefault="00121B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B80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Arrêtent :</w:t>
      </w:r>
    </w:p>
    <w:p w:rsidR="00121B80" w:rsidRDefault="00121B80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21B80" w:rsidRDefault="00121B80">
      <w:pPr>
        <w:widowControl w:val="0"/>
        <w:tabs>
          <w:tab w:val="left" w:pos="303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1B80" w:rsidRDefault="00121B80">
      <w:pPr>
        <w:pStyle w:val="SNArticle"/>
      </w:pPr>
      <w:r>
        <w:t>Article 1</w:t>
      </w:r>
      <w:r>
        <w:rPr>
          <w:vertAlign w:val="superscript"/>
        </w:rPr>
        <w:t>er</w:t>
      </w:r>
    </w:p>
    <w:p w:rsidR="00121B80" w:rsidRDefault="00371CC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méthode de </w:t>
      </w:r>
      <w:r w:rsidRPr="00371CC6">
        <w:rPr>
          <w:rFonts w:ascii="Times New Roman" w:hAnsi="Times New Roman" w:cs="Times New Roman"/>
          <w:bCs/>
          <w:sz w:val="24"/>
          <w:szCs w:val="24"/>
        </w:rPr>
        <w:t>calcul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jointe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annexe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au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présent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arrêté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71CC6">
        <w:rPr>
          <w:rFonts w:ascii="Times New Roman" w:hAnsi="Times New Roman" w:cs="Times New Roman"/>
          <w:bCs/>
          <w:sz w:val="24"/>
          <w:szCs w:val="24"/>
        </w:rPr>
        <w:t>et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prévue</w:t>
      </w:r>
      <w:r>
        <w:rPr>
          <w:rFonts w:ascii="Times New Roman" w:hAnsi="Times New Roman" w:cs="Times New Roman"/>
          <w:bCs/>
          <w:sz w:val="24"/>
          <w:szCs w:val="24"/>
        </w:rPr>
        <w:t xml:space="preserve"> à l’</w:t>
      </w:r>
      <w:r w:rsidRPr="00371CC6">
        <w:rPr>
          <w:rFonts w:ascii="Times New Roman" w:hAnsi="Times New Roman" w:cs="Times New Roman"/>
          <w:bCs/>
          <w:sz w:val="24"/>
          <w:szCs w:val="24"/>
        </w:rPr>
        <w:t>article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B47">
        <w:rPr>
          <w:rFonts w:ascii="Times New Roman" w:hAnsi="Times New Roman" w:cs="Times New Roman"/>
          <w:bCs/>
          <w:sz w:val="24"/>
          <w:szCs w:val="24"/>
        </w:rPr>
        <w:t>R.111-20-5 du code de la construction et de l’habitation</w:t>
      </w:r>
      <w:r w:rsidRPr="00371CC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bCs/>
          <w:sz w:val="24"/>
          <w:szCs w:val="24"/>
        </w:rPr>
        <w:t>approuvée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76C9" w:rsidRDefault="001776C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B80" w:rsidRDefault="00121B80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371CC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21B80" w:rsidRDefault="00121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B80" w:rsidRDefault="00371CC6" w:rsidP="00371CC6">
      <w:pPr>
        <w:pageBreakBefore/>
        <w:widowControl w:val="0"/>
        <w:spacing w:after="0" w:line="240" w:lineRule="auto"/>
        <w:jc w:val="both"/>
      </w:pPr>
      <w:r w:rsidRPr="00371C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 directeur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l’habitat,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de l’urbanisme et des paysages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directeur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général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l’énergie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climat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sont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chargés,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chacun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concerne,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l’exécution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présent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arrêté,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sera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publié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au Bulletin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officiel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ministère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CC6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transition écologique et solidaire.</w:t>
      </w:r>
    </w:p>
    <w:p w:rsidR="00121B80" w:rsidRDefault="00371CC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B80" w:rsidRDefault="00121B80">
      <w:pPr>
        <w:widowControl w:val="0"/>
        <w:spacing w:after="0" w:line="240" w:lineRule="auto"/>
      </w:pPr>
    </w:p>
    <w:p w:rsidR="00121B80" w:rsidRDefault="00121B80">
      <w:pPr>
        <w:pStyle w:val="SNSignature"/>
        <w:ind w:firstLine="0"/>
        <w:jc w:val="right"/>
      </w:pPr>
    </w:p>
    <w:p w:rsidR="00121B80" w:rsidRDefault="00121B80">
      <w:pPr>
        <w:pStyle w:val="SNSignature"/>
        <w:ind w:firstLine="0"/>
        <w:jc w:val="right"/>
      </w:pPr>
    </w:p>
    <w:p w:rsidR="00121B80" w:rsidRDefault="00121B80">
      <w:pPr>
        <w:pStyle w:val="SNSignature"/>
        <w:ind w:firstLine="0"/>
      </w:pPr>
    </w:p>
    <w:p w:rsidR="00121B80" w:rsidRDefault="00121B80">
      <w:pPr>
        <w:widowControl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21B80" w:rsidRPr="00371CC6" w:rsidRDefault="00121B80">
      <w:pPr>
        <w:pStyle w:val="SNSignatureDroite"/>
        <w:jc w:val="left"/>
      </w:pPr>
      <w:r w:rsidRPr="00371CC6">
        <w:t xml:space="preserve">La ministre de la transition écologique </w:t>
      </w:r>
    </w:p>
    <w:p w:rsidR="00121B80" w:rsidRPr="00371CC6" w:rsidRDefault="00121B80">
      <w:pPr>
        <w:pStyle w:val="SNSignatureDroite"/>
        <w:jc w:val="left"/>
      </w:pPr>
      <w:r w:rsidRPr="00371CC6">
        <w:t>Pour</w:t>
      </w:r>
      <w:r w:rsidRPr="00371CC6">
        <w:rPr>
          <w:color w:val="000000"/>
        </w:rPr>
        <w:t xml:space="preserve"> la ministre </w:t>
      </w:r>
      <w:r w:rsidRPr="00371CC6">
        <w:t>et par délégation :</w:t>
      </w:r>
    </w:p>
    <w:p w:rsidR="00371CC6" w:rsidRPr="00371CC6" w:rsidRDefault="00121B80">
      <w:pPr>
        <w:pStyle w:val="SNSignatureDroite"/>
        <w:jc w:val="left"/>
      </w:pPr>
      <w:r w:rsidRPr="00371CC6">
        <w:t>Le directeur de l’habitat, de l’urbanisme et des paysages,</w:t>
      </w:r>
    </w:p>
    <w:p w:rsidR="00121B80" w:rsidRPr="00371CC6" w:rsidRDefault="00121B80">
      <w:pPr>
        <w:pStyle w:val="SNSignatureDroite"/>
        <w:jc w:val="left"/>
      </w:pPr>
    </w:p>
    <w:p w:rsidR="00121B80" w:rsidRPr="00371CC6" w:rsidRDefault="00121B80">
      <w:pPr>
        <w:pStyle w:val="SNSignatureDroite"/>
        <w:jc w:val="left"/>
      </w:pPr>
    </w:p>
    <w:p w:rsidR="00121B80" w:rsidRPr="00371CC6" w:rsidRDefault="00121B80">
      <w:pPr>
        <w:pStyle w:val="SNSignatureDroite"/>
        <w:jc w:val="left"/>
      </w:pPr>
    </w:p>
    <w:p w:rsidR="00121B80" w:rsidRPr="00371CC6" w:rsidRDefault="00121B80">
      <w:pPr>
        <w:pStyle w:val="SNSignatureDroite"/>
        <w:jc w:val="left"/>
      </w:pPr>
    </w:p>
    <w:p w:rsidR="00121B80" w:rsidRPr="00371CC6" w:rsidRDefault="00121B80">
      <w:pPr>
        <w:pStyle w:val="SNSignatureDroite"/>
        <w:jc w:val="left"/>
      </w:pPr>
    </w:p>
    <w:p w:rsidR="00121B80" w:rsidRPr="00371CC6" w:rsidRDefault="00121B80">
      <w:pPr>
        <w:pStyle w:val="SNSignature"/>
        <w:ind w:firstLine="0"/>
      </w:pPr>
    </w:p>
    <w:p w:rsidR="00121B80" w:rsidRPr="00371CC6" w:rsidRDefault="00121B80">
      <w:pPr>
        <w:pStyle w:val="SNSignature"/>
        <w:ind w:firstLine="0"/>
        <w:jc w:val="right"/>
      </w:pPr>
      <w:r w:rsidRPr="00371CC6">
        <w:t>La minis</w:t>
      </w:r>
      <w:r w:rsidR="00371CC6" w:rsidRPr="00371CC6">
        <w:t>tre de la transition écologique</w:t>
      </w:r>
      <w:r w:rsidRPr="00371CC6">
        <w:t>,</w:t>
      </w:r>
    </w:p>
    <w:p w:rsidR="00121B80" w:rsidRPr="00371CC6" w:rsidRDefault="00121B80">
      <w:pPr>
        <w:pStyle w:val="SNSignature"/>
        <w:ind w:firstLine="0"/>
        <w:jc w:val="right"/>
      </w:pPr>
      <w:r w:rsidRPr="00371CC6">
        <w:t>Pour la ministre et par délégation :</w:t>
      </w:r>
    </w:p>
    <w:p w:rsidR="00121B80" w:rsidRPr="00371CC6" w:rsidRDefault="00121B80">
      <w:pPr>
        <w:pStyle w:val="SNSignature"/>
        <w:ind w:firstLine="0"/>
        <w:jc w:val="right"/>
      </w:pPr>
      <w:r w:rsidRPr="00371CC6">
        <w:t xml:space="preserve">Le directeur </w:t>
      </w:r>
      <w:r w:rsidRPr="00371CC6">
        <w:rPr>
          <w:color w:val="000000"/>
        </w:rPr>
        <w:t xml:space="preserve">général </w:t>
      </w:r>
      <w:r w:rsidR="00371CC6" w:rsidRPr="00371CC6">
        <w:rPr>
          <w:color w:val="000000"/>
        </w:rPr>
        <w:t xml:space="preserve">de l’énergie et du </w:t>
      </w:r>
      <w:r w:rsidR="00371CC6">
        <w:rPr>
          <w:color w:val="000000"/>
        </w:rPr>
        <w:t>climat</w:t>
      </w:r>
      <w:r w:rsidRPr="00371CC6">
        <w:t>,</w:t>
      </w:r>
    </w:p>
    <w:p w:rsidR="00121B80" w:rsidRPr="00371CC6" w:rsidRDefault="00121B80">
      <w:pPr>
        <w:pStyle w:val="SNSignature"/>
        <w:ind w:firstLine="0"/>
        <w:jc w:val="right"/>
      </w:pPr>
    </w:p>
    <w:p w:rsidR="00121B80" w:rsidRPr="00371CC6" w:rsidRDefault="00121B80">
      <w:pPr>
        <w:pStyle w:val="SNSignature"/>
        <w:ind w:firstLine="0"/>
        <w:jc w:val="right"/>
      </w:pPr>
    </w:p>
    <w:p w:rsidR="00121B80" w:rsidRPr="00371CC6" w:rsidRDefault="00121B80">
      <w:pPr>
        <w:pStyle w:val="SNSignature"/>
        <w:ind w:firstLine="0"/>
        <w:jc w:val="right"/>
      </w:pPr>
    </w:p>
    <w:p w:rsidR="00121B80" w:rsidRPr="00371CC6" w:rsidRDefault="00121B80">
      <w:pPr>
        <w:pStyle w:val="SNSignature"/>
        <w:ind w:firstLine="0"/>
      </w:pPr>
    </w:p>
    <w:p w:rsidR="00121B80" w:rsidRPr="00371CC6" w:rsidRDefault="00121B80">
      <w:pPr>
        <w:pStyle w:val="SNSignature"/>
        <w:ind w:firstLine="0"/>
      </w:pPr>
    </w:p>
    <w:p w:rsidR="00121B80" w:rsidRPr="00371CC6" w:rsidRDefault="00121B80">
      <w:pPr>
        <w:pStyle w:val="SNSignatureDroite"/>
        <w:jc w:val="left"/>
      </w:pPr>
      <w:r w:rsidRPr="00371CC6">
        <w:t xml:space="preserve">La ministre déléguée auprès de la ministre de la transition écologique </w:t>
      </w:r>
    </w:p>
    <w:p w:rsidR="00121B80" w:rsidRPr="00371CC6" w:rsidRDefault="00121B80">
      <w:pPr>
        <w:pStyle w:val="SNSignatureDroite"/>
        <w:jc w:val="left"/>
      </w:pPr>
      <w:r w:rsidRPr="00371CC6">
        <w:t>Chargée du logement</w:t>
      </w:r>
    </w:p>
    <w:p w:rsidR="00121B80" w:rsidRPr="00371CC6" w:rsidRDefault="00121B80">
      <w:pPr>
        <w:pStyle w:val="SNSignatureDroite"/>
        <w:jc w:val="left"/>
      </w:pPr>
      <w:r w:rsidRPr="00371CC6">
        <w:t>Pour la ministre et par délégation :</w:t>
      </w:r>
    </w:p>
    <w:p w:rsidR="00121B80" w:rsidRPr="00371CC6" w:rsidRDefault="00121B80">
      <w:pPr>
        <w:pStyle w:val="SNSignatureDroite"/>
        <w:jc w:val="left"/>
      </w:pPr>
      <w:r w:rsidRPr="00371CC6">
        <w:t>Le directeur de l’habitat, de l’urbanisme et des paysages,</w:t>
      </w:r>
    </w:p>
    <w:p w:rsidR="00121B80" w:rsidRPr="00371CC6" w:rsidRDefault="00121B80">
      <w:pPr>
        <w:pStyle w:val="SNSignatureDroite"/>
      </w:pPr>
    </w:p>
    <w:p w:rsidR="00121B80" w:rsidRPr="00371CC6" w:rsidRDefault="00121B80">
      <w:pPr>
        <w:pStyle w:val="SNSignatureDroite"/>
      </w:pPr>
    </w:p>
    <w:p w:rsidR="00121B80" w:rsidRPr="00371CC6" w:rsidRDefault="00121B80">
      <w:pPr>
        <w:pStyle w:val="SNSignatureDroite"/>
      </w:pPr>
    </w:p>
    <w:p w:rsidR="00121B80" w:rsidRPr="00371CC6" w:rsidRDefault="00121B80">
      <w:pPr>
        <w:pStyle w:val="SNSignatureDroite"/>
      </w:pPr>
    </w:p>
    <w:p w:rsidR="00121B80" w:rsidRPr="00371CC6" w:rsidRDefault="00121B80">
      <w:pPr>
        <w:pStyle w:val="SNSignatureDroite"/>
        <w:jc w:val="left"/>
      </w:pPr>
    </w:p>
    <w:p w:rsidR="00121B80" w:rsidRPr="00371CC6" w:rsidRDefault="00121B80" w:rsidP="00371CC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1B80" w:rsidRDefault="00121B80" w:rsidP="00371CC6">
      <w:pPr>
        <w:widowControl w:val="0"/>
        <w:spacing w:after="0" w:line="240" w:lineRule="auto"/>
        <w:jc w:val="right"/>
      </w:pPr>
    </w:p>
    <w:sectPr w:rsidR="0012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33" w:bottom="1133" w:left="1133" w:header="72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CB" w:rsidRDefault="000370CB" w:rsidP="0079276F">
      <w:pPr>
        <w:spacing w:after="0" w:line="240" w:lineRule="auto"/>
      </w:pPr>
      <w:r>
        <w:separator/>
      </w:r>
    </w:p>
  </w:endnote>
  <w:endnote w:type="continuationSeparator" w:id="0">
    <w:p w:rsidR="000370CB" w:rsidRDefault="000370CB" w:rsidP="0079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43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F" w:rsidRDefault="007927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F" w:rsidRDefault="007927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F" w:rsidRDefault="007927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CB" w:rsidRDefault="000370CB" w:rsidP="0079276F">
      <w:pPr>
        <w:spacing w:after="0" w:line="240" w:lineRule="auto"/>
      </w:pPr>
      <w:r>
        <w:separator/>
      </w:r>
    </w:p>
  </w:footnote>
  <w:footnote w:type="continuationSeparator" w:id="0">
    <w:p w:rsidR="000370CB" w:rsidRDefault="000370CB" w:rsidP="0079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F" w:rsidRDefault="007927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F" w:rsidRDefault="007927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F" w:rsidRDefault="007927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612A"/>
    <w:multiLevelType w:val="hybridMultilevel"/>
    <w:tmpl w:val="596E649E"/>
    <w:lvl w:ilvl="0" w:tplc="DC8EE016">
      <w:start w:val="2"/>
      <w:numFmt w:val="bullet"/>
      <w:lvlText w:val="-"/>
      <w:lvlJc w:val="left"/>
      <w:pPr>
        <w:ind w:left="720" w:hanging="360"/>
      </w:pPr>
      <w:rPr>
        <w:rFonts w:ascii="Times New Roman" w:eastAsia="font44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E"/>
    <w:rsid w:val="000370CB"/>
    <w:rsid w:val="000A64C4"/>
    <w:rsid w:val="00121B80"/>
    <w:rsid w:val="001776C9"/>
    <w:rsid w:val="002B5C7E"/>
    <w:rsid w:val="00304F7E"/>
    <w:rsid w:val="003305DB"/>
    <w:rsid w:val="00371CC6"/>
    <w:rsid w:val="0078501D"/>
    <w:rsid w:val="0079276F"/>
    <w:rsid w:val="00837B47"/>
    <w:rsid w:val="00890FE9"/>
    <w:rsid w:val="008F5F95"/>
    <w:rsid w:val="00972FD1"/>
    <w:rsid w:val="00AA1C12"/>
    <w:rsid w:val="00D125B4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D3EC295"/>
  <w15:chartTrackingRefBased/>
  <w15:docId w15:val="{43D3994F-6DA6-47FF-AAD0-60A77FDF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font443" w:hAnsi="Calibri" w:cs="font443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lev1">
    <w:name w:val="Élevé1"/>
    <w:rPr>
      <w:b/>
      <w:bCs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NArticleCar">
    <w:name w:val="SNArticle Car"/>
    <w:rPr>
      <w:b/>
      <w:sz w:val="24"/>
      <w:szCs w:val="24"/>
    </w:rPr>
  </w:style>
  <w:style w:type="character" w:styleId="Lienhypertexte">
    <w:name w:val="Hyperlink"/>
    <w:rPr>
      <w:color w:val="0563C1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font443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font44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Times New Roman" w:hAnsi="Times New Roman" w:cs="Times New Roman"/>
      <w:i/>
      <w:iCs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NNORCentr">
    <w:name w:val="SNNOR+Centré"/>
    <w:next w:val="Normal"/>
    <w:pPr>
      <w:suppressAutoHyphens/>
      <w:jc w:val="center"/>
    </w:pPr>
    <w:rPr>
      <w:bCs/>
      <w:kern w:val="2"/>
      <w:sz w:val="24"/>
      <w:lang w:eastAsia="zh-CN"/>
    </w:rPr>
  </w:style>
  <w:style w:type="paragraph" w:customStyle="1" w:styleId="Corpsdetexte21">
    <w:name w:val="Corps de texte 21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100" w:after="119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SignatureDroite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NAutorit">
    <w:name w:val="SNAutorité"/>
    <w:basedOn w:val="Normal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kern w:val="2"/>
      <w:sz w:val="24"/>
      <w:szCs w:val="24"/>
      <w:lang w:eastAsia="zh-CN"/>
    </w:rPr>
  </w:style>
  <w:style w:type="paragraph" w:customStyle="1" w:styleId="SNVisa">
    <w:name w:val="SNVisa"/>
    <w:basedOn w:val="Normal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rticle">
    <w:name w:val="SNArticle"/>
    <w:basedOn w:val="Normal"/>
    <w:next w:val="Corpsdetexte"/>
    <w:pPr>
      <w:spacing w:before="240" w:after="240" w:line="240" w:lineRule="auto"/>
      <w:jc w:val="center"/>
    </w:pPr>
    <w:rPr>
      <w:b/>
      <w:sz w:val="24"/>
      <w:szCs w:val="24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zh-CN"/>
    </w:rPr>
  </w:style>
  <w:style w:type="paragraph" w:customStyle="1" w:styleId="SNTimbre">
    <w:name w:val="SNTimbre"/>
    <w:basedOn w:val="Normal"/>
    <w:pPr>
      <w:widowControl w:val="0"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customStyle="1" w:styleId="Textedebulles1">
    <w:name w:val="Texte de bulles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vision1">
    <w:name w:val="Révision1"/>
    <w:pPr>
      <w:suppressAutoHyphens/>
    </w:pPr>
    <w:rPr>
      <w:rFonts w:ascii="Calibri" w:eastAsia="font443" w:hAnsi="Calibri" w:cs="font443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371CC6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371CC6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371CC6"/>
    <w:rPr>
      <w:rFonts w:ascii="Calibri" w:eastAsia="font443" w:hAnsi="Calibri" w:cs="font443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371CC6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371CC6"/>
    <w:rPr>
      <w:rFonts w:ascii="Calibri" w:eastAsia="font443" w:hAnsi="Calibri" w:cs="font443"/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37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371CC6"/>
    <w:rPr>
      <w:rFonts w:ascii="Segoe UI" w:eastAsia="font443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4823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 V0.10</dc:creator>
  <cp:keywords/>
  <cp:lastModifiedBy>THIEBAUT Alois</cp:lastModifiedBy>
  <cp:revision>3</cp:revision>
  <cp:lastPrinted>1899-12-31T23:00:00Z</cp:lastPrinted>
  <dcterms:created xsi:type="dcterms:W3CDTF">2020-12-11T13:33:00Z</dcterms:created>
  <dcterms:modified xsi:type="dcterms:W3CDTF">2020-12-11T13:38:00Z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jforCreatedThisOn">
    <vt:lpwstr>Wed Jan 15 14:01:39 CET 2020</vt:lpwstr>
  </property>
  <property fmtid="{D5CDD505-2E9C-101B-9397-08002B2CF9AE}" pid="9" name="jforVersion">
    <vt:lpwstr>jfor V0.7.2rc1 - see http://www.jfor.org</vt:lpwstr>
  </property>
</Properties>
</file>